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widowControl/>
      </w:pPr>
      <w:r>
        <w:t xml:space="preserve">Математические</w:t>
      </w:r>
      <w:r>
        <w:t xml:space="preserve"> </w:t>
      </w:r>
      <w:r>
        <w:t xml:space="preserve">интерпретации</w:t>
      </w:r>
      <w:r>
        <w:t xml:space="preserve"> </w:t>
      </w:r>
      <w:r>
        <w:t xml:space="preserve">Книги</w:t>
      </w:r>
      <w:r>
        <w:t xml:space="preserve"> </w:t>
      </w:r>
      <w:r>
        <w:t xml:space="preserve">Перемен</w:t>
      </w:r>
      <w:r>
        <w:t xml:space="preserve"> </w:t>
      </w:r>
      <w:r>
        <w:t xml:space="preserve">и</w:t>
      </w:r>
      <w:r>
        <w:t xml:space="preserve"> </w:t>
      </w:r>
      <w:r>
        <w:t xml:space="preserve">границы</w:t>
      </w:r>
      <w:r>
        <w:t xml:space="preserve"> </w:t>
      </w:r>
      <w:r>
        <w:t xml:space="preserve">новизны</w:t>
      </w:r>
      <w:r>
        <w:t xml:space="preserve"> </w:t>
      </w:r>
      <w:r>
        <w:t xml:space="preserve">KLT</w:t>
      </w:r>
      <w:r>
        <w:t xml:space="preserve"> </w:t>
      </w:r>
      <w:r>
        <w:t xml:space="preserve">ARBD</w:t>
      </w:r>
    </w:p>
    <w:p>
      <w:pPr>
        <w:pStyle w:val="Subtitle"/>
        <w:widowControl/>
      </w:pPr>
      <w:r>
        <w:t xml:space="preserve">Источниковедческое</w:t>
      </w:r>
      <w:r>
        <w:t xml:space="preserve"> </w:t>
      </w:r>
      <w:r>
        <w:t xml:space="preserve">дополнение</w:t>
      </w:r>
      <w:r>
        <w:t xml:space="preserve"> </w:t>
      </w:r>
      <w:r>
        <w:t xml:space="preserve">к</w:t>
      </w:r>
      <w:r>
        <w:t xml:space="preserve"> </w:t>
      </w:r>
      <w:r>
        <w:t xml:space="preserve">монографии</w:t>
      </w:r>
      <w:r>
        <w:t xml:space="preserve"> </w:t>
      </w:r>
      <w:r>
        <w:t xml:space="preserve">версии</w:t>
      </w:r>
      <w:r>
        <w:t xml:space="preserve"> </w:t>
      </w:r>
      <w:r>
        <w:t xml:space="preserve">0</w:t>
      </w:r>
      <w:r>
        <w:t xml:space="preserve"> </w:t>
      </w:r>
      <w:r>
        <w:t xml:space="preserve">3</w:t>
      </w:r>
    </w:p>
    <w:p>
      <w:pPr>
        <w:pStyle w:val="Author"/>
        <w:widowControl/>
      </w:pPr>
      <w:r>
        <w:t xml:space="preserve">Исследовательский</w:t>
      </w:r>
      <w:r>
        <w:t xml:space="preserve"> </w:t>
      </w:r>
      <w:r>
        <w:t xml:space="preserve">материал</w:t>
      </w:r>
      <w:r>
        <w:t xml:space="preserve"> </w:t>
      </w:r>
      <w:r>
        <w:t xml:space="preserve">для</w:t>
      </w:r>
      <w:r>
        <w:t xml:space="preserve"> </w:t>
      </w:r>
      <w:r>
        <w:t xml:space="preserve">Ивана</w:t>
      </w:r>
      <w:r>
        <w:t xml:space="preserve"> </w:t>
      </w:r>
      <w:r>
        <w:t xml:space="preserve">Борисовича</w:t>
      </w:r>
      <w:r>
        <w:t xml:space="preserve"> </w:t>
      </w:r>
      <w:r>
        <w:t xml:space="preserve">Курпишева</w:t>
      </w:r>
    </w:p>
    <w:p>
      <w:pPr>
        <w:pStyle w:val="Date"/>
        <w:widowControl/>
      </w:pPr>
      <w:r>
        <w:t xml:space="preserve">20</w:t>
      </w:r>
      <w:r>
        <w:t xml:space="preserve"> </w:t>
      </w:r>
      <w:r>
        <w:t xml:space="preserve">октября</w:t>
      </w:r>
      <w:r>
        <w:t xml:space="preserve"> </w:t>
      </w:r>
      <w:r>
        <w:t xml:space="preserve">2026</w:t>
      </w:r>
      <w:r>
        <w:t xml:space="preserve"> </w:t>
      </w:r>
      <w:r>
        <w:t xml:space="preserve">года</w:t>
      </w:r>
    </w:p>
    <w:bookmarkStart w:id="20" w:name="результат-исследования"/>
    <w:p>
      <w:pPr>
        <w:pStyle w:val="Heading2"/>
        <w:widowControl/>
      </w:pPr>
      <w:r>
        <w:t xml:space="preserve">1 Результат исследования</w:t>
      </w:r>
    </w:p>
    <w:p>
      <w:pPr>
        <w:pStyle w:val="FirstParagraph"/>
        <w:widowControl/>
      </w:pPr>
      <w:r>
        <w:t xml:space="preserve">Главное изменение относительно библиографии от 19 октября — установлено точное математическое предшествование трёхбитного профиля α у Andreas Schöter. Это требует уточнить атрибуцию гл. 4 и 16 монографии. Авторская привязка этого профиля к ролям Δ, Υ, Ξ остаётся отдельной конструкцией Курпишева, но сама формула и разбиение на восемь классов не являются новыми.</w:t>
      </w:r>
    </w:p>
    <w:p>
      <w:pPr>
        <w:pStyle w:val="BodyText"/>
        <w:widowControl/>
      </w:pPr>
      <w:r>
        <w:t xml:space="preserve">Проективная модель P20 и гармоническое дополнение P22 математически состоятельны при заявленных условиях. Ни их корректность, ни отсутствие найденного дословного аналога не устанавливают мировой приоритет. Ниже доказано, что множество точек P20 после явной обратимой перекодировки является обычным аффинным знаковым кубом. Содержательная задача — обоснование выбранных меток, операторных типов, контекстов и целевых наблюдений.</w:t>
      </w:r>
    </w:p>
    <w:p>
      <w:pPr>
        <w:pStyle w:val="BodyText"/>
        <w:widowControl/>
      </w:pPr>
      <w:r>
        <w:rPr>
          <w:bCs/>
          <w:b/>
        </w:rPr>
        <w:t xml:space="preserve">Итоговый статус:</w:t>
      </w:r>
      <w:r>
        <w:t xml:space="preserve"> </w:t>
      </w:r>
      <w:r>
        <w:rPr>
          <w:rStyle w:val="VerbatimChar"/>
        </w:rPr>
        <w:t xml:space="preserve">global_priority = NOT_ESTABLISHED</w:t>
      </w:r>
      <w:r>
        <w:t xml:space="preserve">; внешняя проверка интерпретации и прогноза —</w:t>
      </w:r>
      <w:r>
        <w:t xml:space="preserve"> </w:t>
      </w:r>
      <w:r>
        <w:rPr>
          <w:rStyle w:val="VerbatimChar"/>
        </w:rPr>
        <w:t xml:space="preserve">NOT_RUN</w:t>
      </w:r>
      <w:r>
        <w:t xml:space="preserve">; при недостаточности основания —</w:t>
      </w:r>
      <w:r>
        <w:t xml:space="preserve"> </w:t>
      </w:r>
      <w:r>
        <w:rPr>
          <w:rStyle w:val="VerbatimChar"/>
        </w:rPr>
        <w:t xml:space="preserve">ABSTAIN</w:t>
      </w:r>
      <w:r>
        <w:t xml:space="preserve">;</w:t>
      </w:r>
      <w:r>
        <w:t xml:space="preserve"> </w:t>
      </w:r>
      <w:r>
        <w:rPr>
          <w:rStyle w:val="VerbatimChar"/>
        </w:rPr>
        <w:t xml:space="preserve">truth_layer_promotion = 0</w:t>
      </w:r>
      <w:r>
        <w:t xml:space="preserve">. Слова «авторская конструкция» здесь обозначают документированное решение в корпусе Курпишева. Они не удостоверяют независимое от всех предшественников изобретение, первое опубликование или историческое признание.</w:t>
      </w:r>
    </w:p>
    <w:p>
      <w:pPr>
        <w:pStyle w:val="BodyText"/>
        <w:widowControl/>
      </w:pPr>
      <w:r>
        <w:t xml:space="preserve">Дополнение не заменяет исходную монографию и не меняет её файлы. Оно содержит поправки к атрибуции, доказательства уточнений, матрицу из 20 утверждений и библиографическое обновление. Проверки выполнены с помощью вычислительных средств и ИИ; внешняя научная рецензия не проводилась.</w:t>
      </w:r>
    </w:p>
    <w:bookmarkEnd w:id="20"/>
    <w:bookmarkStart w:id="21" w:name="корпус-и-правила-проверки"/>
    <w:p>
      <w:pPr>
        <w:pStyle w:val="Heading2"/>
        <w:widowControl/>
      </w:pPr>
      <w:r>
        <w:t xml:space="preserve">2 Корпус и правила проверки</w:t>
      </w:r>
    </w:p>
    <w:p>
      <w:pPr>
        <w:pStyle w:val="FirstParagraph"/>
        <w:widowControl/>
      </w:pPr>
      <w:r>
        <w:t xml:space="preserve">Прочитаны предоставленные монография, протокол поиска и библиографический реестр из 71 записи. Формулы сверялись по</w:t>
      </w:r>
      <w:r>
        <w:t xml:space="preserve"> </w:t>
      </w:r>
      <w:r>
        <w:rPr>
          <w:rStyle w:val="VerbatimChar"/>
        </w:rPr>
        <w:t xml:space="preserve">BOOK_RU.md</w:t>
      </w:r>
      <w:r>
        <w:t xml:space="preserve"> </w:t>
      </w:r>
      <w:r>
        <w:t xml:space="preserve">той же папки: извлечение текста DOCX недостаточно надёжно сохраняет математические обозначения. Ссылки на исходные файлы и SHA-256 прочитанных снимков приведены в</w:t>
      </w:r>
      <w:r>
        <w:t xml:space="preserve"> </w:t>
      </w:r>
      <w:r>
        <w:rPr>
          <w:rStyle w:val="VerbatimChar"/>
        </w:rPr>
        <w:t xml:space="preserve">SOURCE_AUDIT.json</w:t>
      </w:r>
      <w:r>
        <w:t xml:space="preserve">.</w:t>
      </w:r>
    </w:p>
    <w:p>
      <w:pPr>
        <w:pStyle w:val="BodyText"/>
        <w:widowControl/>
      </w:pPr>
      <w:r>
        <w:t xml:space="preserve">Собственные источники проверены двумя маршрутами. Из библиотеки прочитаны полный TEX об информационной сохранности KASVD [K6] и HTML гексаграммного поля v1.7 [K7]. В Google Drive заново прочитан KASVD R4M.1 v0.1.1 [K3], особенно §2–5. Оригинальные Том I и Том V целиком в этом цикле не рецензировались: их определения сопоставляются через конкретные ссылки и формулировки v0.3 и K7. Совпадение этих производных изложений не объявляется независимым подтверждением исходных томов.</w:t>
      </w:r>
    </w:p>
    <w:p>
      <w:pPr>
        <w:pStyle w:val="BodyText"/>
        <w:widowControl/>
      </w:pPr>
      <w:r>
        <w:t xml:space="preserve">Используются четыре уровня доступа: полный первичный текст с проверкой выбранных результатов; авторский текст через HTML; частичное превью или неполное извлечение иллюстраций; аннотация либо метаданные. Полный доступ к файлу не равен проверке каждой его теоремы. Для отрицательного вывода о приоритете недостаточно того, что поисковая система не нашла публикацию.</w:t>
      </w:r>
    </w:p>
    <w:p>
      <w:pPr>
        <w:pStyle w:val="BodyText"/>
        <w:widowControl/>
      </w:pPr>
      <w:r>
        <w:t xml:space="preserve">Ссылки вида [N08] сохраняют идентификаторы реестра v0.3. Новые записи — N38, K6, K7. Итого в производном реестре 74 записи; N35 и N38 описывают оригинал и перевод одной работы, поэтому это не 74 независимых исследования. Старые поля сохранены; уточнения 20 октября вынесены в</w:t>
      </w:r>
      <w:r>
        <w:t xml:space="preserve"> </w:t>
      </w:r>
      <w:r>
        <w:rPr>
          <w:rStyle w:val="VerbatimChar"/>
        </w:rPr>
        <w:t xml:space="preserve">review_2026_10_20</w:t>
      </w:r>
      <w:r>
        <w:t xml:space="preserve">. Неперепроверенные записи не получили нового статуса доступа.</w:t>
      </w:r>
    </w:p>
    <w:bookmarkEnd w:id="21"/>
    <w:bookmarkStart w:id="27" w:name="результаты-чтения-первоисточников"/>
    <w:p>
      <w:pPr>
        <w:pStyle w:val="Heading2"/>
        <w:widowControl/>
      </w:pPr>
      <w:r>
        <w:t xml:space="preserve">3 Результаты чтения первоисточников</w:t>
      </w:r>
    </w:p>
    <w:bookmarkStart w:id="22" w:name="goldenberg"/>
    <w:p>
      <w:pPr>
        <w:pStyle w:val="Heading3"/>
        <w:widowControl/>
      </w:pPr>
      <w:r>
        <w:t xml:space="preserve">Goldenberg</w:t>
      </w:r>
    </w:p>
    <w:p>
      <w:pPr>
        <w:pStyle w:val="FirstParagraph"/>
        <w:widowControl/>
      </w:pPr>
      <w:r>
        <w:t xml:space="preserve">В университетском архиве получен полный скан статьи 1975 года [N31]. Проверены покоординатные XOR и AND, различение кольца и поля, обратимость изменения через маску и классы симметрии. Теорема 7, с. 163, уже даёт единственную маску между двумя состояниями. Лемма 5 и таблица VII используют пары отражения 1–6, 2–5, 3–4. Это другой позиционный фактор, хотя после перестановки координат он изоморфен α как линейное отображение.</w:t>
      </w:r>
    </w:p>
    <w:p>
      <w:pPr>
        <w:pStyle w:val="BodyText"/>
        <w:widowControl/>
      </w:pPr>
      <w:r>
        <w:t xml:space="preserve">В лемме 6, с. 168–169, обнаружена конкретная проблема спуска умножения на классы. Контрпример D5 ниже проверяет опубликованное определение, не опровергая корректную аддитивную часть работы.</w:t>
      </w:r>
    </w:p>
    <w:bookmarkEnd w:id="22"/>
    <w:bookmarkStart w:id="23" w:name="schöter"/>
    <w:p>
      <w:pPr>
        <w:pStyle w:val="Heading3"/>
        <w:widowControl/>
      </w:pPr>
      <w:r>
        <w:t xml:space="preserve">Schöter</w:t>
      </w:r>
    </w:p>
    <w:p>
      <w:pPr>
        <w:pStyle w:val="FirstParagraph"/>
        <w:widowControl/>
      </w:pPr>
      <w:r>
        <w:t xml:space="preserve">Получен полный авторский PDF 1998 года [N04] и прочитан текст</w:t>
      </w:r>
      <w:r>
        <w:t xml:space="preserve"> </w:t>
      </w:r>
      <w:r>
        <w:rPr>
          <w:iCs/>
          <w:i/>
        </w:rPr>
        <w:t xml:space="preserve">Correctness and Correspondence</w:t>
      </w:r>
      <w:r>
        <w:t xml:space="preserve"> </w:t>
      </w:r>
      <w:r>
        <w:t xml:space="preserve">1999 года [N08]. В §3.3, определении 2, авторская с. 9, задано</w:t>
      </w:r>
    </w:p>
    <w:p>
      <w:pPr>
        <w:pStyle w:val="BodyText"/>
        <w:widowControl/>
      </w:pPr>
      <m:oMathPara>
        <m:oMathParaPr>
          <m:jc m:val="center"/>
        </m:oMathParaPr>
        <m:oMath>
          <m:r>
            <m:t>R</m:t>
          </m:r>
          <m:d>
            <m:dPr>
              <m:begChr m:val="("/>
              <m:endChr m:val=")"/>
              <m:sepChr m:val=""/>
              <m:grow/>
            </m:dPr>
            <m:e>
              <m:d>
                <m:dPr>
                  <m:begChr m:val="["/>
                  <m:endChr m:val="]"/>
                  <m:sepChr m:val=""/>
                  <m:grow/>
                </m:dPr>
                <m:e>
                  <m:r>
                    <m:t>a</m:t>
                  </m:r>
                  <m:r>
                    <m:rPr>
                      <m:sty m:val="p"/>
                    </m:rPr>
                    <m:t>,</m:t>
                  </m:r>
                  <m:r>
                    <m:t>b</m:t>
                  </m:r>
                  <m:r>
                    <m:rPr>
                      <m:sty m:val="p"/>
                    </m:rPr>
                    <m:t>,</m:t>
                  </m:r>
                  <m:r>
                    <m:t>c</m:t>
                  </m:r>
                  <m:r>
                    <m:rPr>
                      <m:sty m:val="p"/>
                    </m:rPr>
                    <m:t>,</m:t>
                  </m:r>
                  <m:r>
                    <m:t>d</m:t>
                  </m:r>
                  <m:r>
                    <m:rPr>
                      <m:sty m:val="p"/>
                    </m:rPr>
                    <m:t>,</m:t>
                  </m:r>
                  <m:r>
                    <m:t>e</m:t>
                  </m:r>
                  <m:r>
                    <m:rPr>
                      <m:sty m:val="p"/>
                    </m:rPr>
                    <m:t>,</m:t>
                  </m:r>
                  <m:r>
                    <m:t>f</m:t>
                  </m:r>
                </m:e>
              </m:d>
            </m:e>
          </m:d>
          <m:r>
            <m:rPr>
              <m:sty m:val="p"/>
            </m:rPr>
            <m:t>=</m:t>
          </m:r>
          <m:d>
            <m:dPr>
              <m:begChr m:val="["/>
              <m:endChr m:val="]"/>
              <m:sepChr m:val=""/>
              <m:grow/>
            </m:dPr>
            <m:e>
              <m:r>
                <m:t>a</m:t>
              </m:r>
              <m:r>
                <m:rPr>
                  <m:sty m:val="p"/>
                </m:rPr>
                <m:t>⊕</m:t>
              </m:r>
              <m:r>
                <m:t>d</m:t>
              </m:r>
              <m:r>
                <m:rPr>
                  <m:sty m:val="p"/>
                </m:rPr>
                <m:t>,</m:t>
              </m:r>
              <m:r>
                <m:t>b</m:t>
              </m:r>
              <m:r>
                <m:rPr>
                  <m:sty m:val="p"/>
                </m:rPr>
                <m:t>⊕</m:t>
              </m:r>
              <m:r>
                <m:t>e</m:t>
              </m:r>
              <m:r>
                <m:rPr>
                  <m:sty m:val="p"/>
                </m:rPr>
                <m:t>,</m:t>
              </m:r>
              <m:r>
                <m:t>c</m:t>
              </m:r>
              <m:r>
                <m:rPr>
                  <m:sty m:val="p"/>
                </m:rPr>
                <m:t>⊕</m:t>
              </m:r>
              <m:r>
                <m:t>f</m:t>
              </m:r>
            </m:e>
          </m:d>
          <m:r>
            <m:rPr>
              <m:sty m:val="p"/>
            </m:rPr>
            <m:t>.</m:t>
          </m:r>
        </m:oMath>
      </m:oMathPara>
    </w:p>
    <w:p>
      <w:pPr>
        <w:pStyle w:val="FirstParagraph"/>
        <w:widowControl/>
      </w:pPr>
      <w:r>
        <w:t xml:space="preserve">Это буквально α монографии. Теорема 5 и §3.4 с таблицей 1 задают восемь классов по восемь гексаграмм. В</w:t>
      </w:r>
      <w:r>
        <w:t xml:space="preserve"> </w:t>
      </w:r>
      <w:r>
        <w:rPr>
          <w:iCs/>
          <w:i/>
        </w:rPr>
        <w:t xml:space="preserve">Bipolar Change</w:t>
      </w:r>
      <w:r>
        <w:t xml:space="preserve"> </w:t>
      </w:r>
      <w:r>
        <w:t xml:space="preserve">[N06], уравнения 9–10, обмен триграммами даёт дублированный результат</w:t>
      </w:r>
      <w:r>
        <w:t xml:space="preserve"> </w:t>
      </w:r>
      <m:oMath>
        <m:d>
          <m:dPr>
            <m:begChr m:val="("/>
            <m:endChr m:val=")"/>
            <m:sepChr m:val=""/>
            <m:grow/>
          </m:dPr>
          <m:e>
            <m:r>
              <m:t>α</m:t>
            </m:r>
            <m:d>
              <m:dPr>
                <m:begChr m:val="("/>
                <m:endChr m:val=")"/>
                <m:sepChr m:val=""/>
                <m:grow/>
              </m:dPr>
              <m:e>
                <m:r>
                  <m:t>h</m:t>
                </m:r>
              </m:e>
            </m:d>
            <m:r>
              <m:rPr>
                <m:sty m:val="p"/>
              </m:rPr>
              <m:t>,</m:t>
            </m:r>
            <m:r>
              <m:t>α</m:t>
            </m:r>
            <m:d>
              <m:dPr>
                <m:begChr m:val="("/>
                <m:endChr m:val=")"/>
                <m:sepChr m:val=""/>
                <m:grow/>
              </m:dPr>
              <m:e>
                <m:r>
                  <m:t>h</m:t>
                </m:r>
              </m:e>
            </m:d>
          </m:e>
        </m:d>
      </m:oMath>
      <w:r>
        <w:t xml:space="preserve">.</w:t>
      </w:r>
    </w:p>
    <w:p>
      <w:pPr>
        <w:pStyle w:val="BodyText"/>
        <w:widowControl/>
      </w:pPr>
      <w:r>
        <w:t xml:space="preserve">Выходные данные N08 требуют аккуратности. Примечание авторской рукописи указывает</w:t>
      </w:r>
      <w:r>
        <w:t xml:space="preserve"> </w:t>
      </w:r>
      <w:r>
        <w:rPr>
          <w:iCs/>
          <w:i/>
        </w:rPr>
        <w:t xml:space="preserve">The Oracle</w:t>
      </w:r>
      <w:r>
        <w:t xml:space="preserve"> </w:t>
      </w:r>
      <w:r>
        <w:t xml:space="preserve">2(8), февраль 1999, 25–37; сама рукопись имеет 17 страниц. Ссылка в работе 2008 года даёт 27–35. Предпочтительно цитировать раздел и номер определения; окончательная журнальная пагинация требует скана выпуска. Математическое совпадение от этой разницы не зависит.</w:t>
      </w:r>
    </w:p>
    <w:bookmarkEnd w:id="23"/>
    <w:bookmarkStart w:id="24" w:name="cook-и-idea"/>
    <w:p>
      <w:pPr>
        <w:pStyle w:val="Heading3"/>
        <w:widowControl/>
      </w:pPr>
      <w:r>
        <w:t xml:space="preserve">Cook и IDEA</w:t>
      </w:r>
    </w:p>
    <w:p>
      <w:pPr>
        <w:pStyle w:val="FirstParagraph"/>
        <w:widowControl/>
      </w:pPr>
      <w:r>
        <w:t xml:space="preserve">Для книги Cook [N03] доступны авторское превью, аннотация и каталог STEDT: 2006 год, 660 страниц, ISBN 0944613446. Они устанавливают предмет работы — комбинаторное построение последовательности. Полная система LRS и её доказательства не прочитаны. Нельзя ни приравнять её к P20/P22, ни исключить пересечение на основании превью.</w:t>
      </w:r>
    </w:p>
    <w:p>
      <w:pPr>
        <w:pStyle w:val="BodyText"/>
        <w:widowControl/>
      </w:pPr>
      <w:r>
        <w:t xml:space="preserve">Для IDEA [N13] проверена аннотация PubMed и выходные данные. Указаны intrication, turnover, mutual и марковский анализ. Полный текст IEEE и институциональная копия не получены. Не установлены точные области операторов, схема отбора и вид сходимости. Поэтому сопоставление с Δ, Υ, Ξ пока ограничено постановкой задачи; одинаковое число операторов не является математическим соответствием.</w:t>
      </w:r>
    </w:p>
    <w:bookmarkEnd w:id="24"/>
    <w:bookmarkStart w:id="25" w:name="X10f867549a6898880ac40c972d1812dcd7185be"/>
    <w:p>
      <w:pPr>
        <w:pStyle w:val="Heading3"/>
        <w:widowControl/>
      </w:pPr>
      <w:r>
        <w:t xml:space="preserve">Dong Guangbi и китайская комбинаторная линия</w:t>
      </w:r>
    </w:p>
    <w:p>
      <w:pPr>
        <w:pStyle w:val="FirstParagraph"/>
        <w:widowControl/>
      </w:pPr>
      <w:r>
        <w:t xml:space="preserve">Официальная запись N35 и издательская запись перевода N38 связывают статью 1985 года, VII(3), с. 12–19, с английской главой 1996 года, с. 125–135. Превью содержит с. 125–126; формула с. 126 сверена по изображению. Для построения упорядоченных знаков Dong вводит некоммутирующие</w:t>
      </w:r>
      <w:r>
        <w:t xml:space="preserve"> </w:t>
      </w:r>
      <m:oMath>
        <m:r>
          <m:t>X</m:t>
        </m:r>
        <m:r>
          <m:rPr>
            <m:sty m:val="p"/>
          </m:rPr>
          <m:t>,</m:t>
        </m:r>
        <m:r>
          <m:t>Y</m:t>
        </m:r>
      </m:oMath>
      <w:r>
        <w:t xml:space="preserve">. Коммутативное разложение</w:t>
      </w:r>
      <w:r>
        <w:t xml:space="preserve"> </w:t>
      </w:r>
      <m:oMath>
        <m:sSup>
          <m:e>
            <m:d>
              <m:dPr>
                <m:begChr m:val="("/>
                <m:endChr m:val=")"/>
                <m:sepChr m:val=""/>
                <m:grow/>
              </m:dPr>
              <m:e>
                <m:r>
                  <m:t>X</m:t>
                </m:r>
                <m:r>
                  <m:rPr>
                    <m:sty m:val="p"/>
                  </m:rPr>
                  <m:t>+</m:t>
                </m:r>
                <m:r>
                  <m:t>Y</m:t>
                </m:r>
              </m:e>
            </m:d>
          </m:e>
          <m:sup>
            <m:r>
              <m:t>n</m:t>
            </m:r>
          </m:sup>
        </m:sSup>
      </m:oMath>
      <w:r>
        <w:t xml:space="preserve"> </w:t>
      </w:r>
      <w:r>
        <w:t xml:space="preserve">предлагается для подсчёта количества. Это различение структуры слова и агрегированных чисел непосредственно относится к вопросу сохранения информации. Последующие геометрический и групповой разделы не прочитаны.</w:t>
      </w:r>
    </w:p>
    <w:p>
      <w:pPr>
        <w:pStyle w:val="BodyText"/>
        <w:widowControl/>
      </w:pPr>
      <w:r>
        <w:t xml:space="preserve">Упомянутые Dong авторы Shen Zhongtao, Xue Xueqian и Ding Chaowu остаются поисковыми ориентирами: конкретные их первичные публикации здесь не получены и не используются как доказательства.</w:t>
      </w:r>
    </w:p>
    <w:p>
      <w:pPr>
        <w:pStyle w:val="BodyText"/>
        <w:widowControl/>
      </w:pPr>
      <w:r>
        <w:t xml:space="preserve">Для Sun Li и Zhang Pei [N36] найден текст журнального документа:</w:t>
      </w:r>
      <w:r>
        <w:t xml:space="preserve"> </w:t>
      </w:r>
      <w:r>
        <w:rPr>
          <w:iCs/>
          <w:i/>
        </w:rPr>
        <w:t xml:space="preserve">周易研究</w:t>
      </w:r>
      <w:r>
        <w:t xml:space="preserve">, 2019, №2, общий №154, с. 5–13. Авторская строка различает Sun Li как автора и Zhang Pei как подготовившего текст. Работа рассматривает квадрат 8×8, сумму 260 и преобразования порядка. Иллюстрации извлечены неполно; алгоритм всех стадий не воспроизведён. Девять показанных стадий нельзя без пересчёта назвать периодом девять. Утверждение о кратчайшем пути и гипотеза исторического происхождения остаются непроверенными.</w:t>
      </w:r>
    </w:p>
    <w:bookmarkEnd w:id="25"/>
    <w:bookmarkStart w:id="26" w:name="проективная-литература"/>
    <w:p>
      <w:pPr>
        <w:pStyle w:val="Heading3"/>
        <w:widowControl/>
      </w:pPr>
      <w:r>
        <w:t xml:space="preserve">Проективная литература</w:t>
      </w:r>
    </w:p>
    <w:p>
      <w:pPr>
        <w:pStyle w:val="FirstParagraph"/>
        <w:widowControl/>
      </w:pPr>
      <w:r>
        <w:t xml:space="preserve">У Cameron [M1], §4.5, предложения 4.20–4.21, проверены классические основания двойного отношения и гармоничности. У Palmer [N28] выборочно прочитаны разделы о конечных проективных геометриях и «Ицзин». В них не установлен точный аналог P20. Они показывают необходимость осторожности с широкой формулировкой «первое проективное прочтение», но не доказывают эквивалентность моделей.</w:t>
      </w:r>
    </w:p>
    <w:bookmarkEnd w:id="26"/>
    <w:bookmarkEnd w:id="27"/>
    <w:bookmarkStart w:id="28" w:name="соглашения-и-предмет-сравнения"/>
    <w:p>
      <w:pPr>
        <w:pStyle w:val="Heading2"/>
        <w:widowControl/>
      </w:pPr>
      <w:r>
        <w:t xml:space="preserve">4 Соглашения и предмет сравнения</w:t>
      </w:r>
    </w:p>
    <w:p>
      <w:pPr>
        <w:pStyle w:val="FirstParagraph"/>
        <w:widowControl/>
      </w:pPr>
      <w:r>
        <w:t xml:space="preserve">Пусть</w:t>
      </w:r>
      <w:r>
        <w:t xml:space="preserve"> </w:t>
      </w:r>
      <m:oMath>
        <m:r>
          <m:t>H</m:t>
        </m:r>
        <m:r>
          <m:rPr>
            <m:sty m:val="p"/>
          </m:rPr>
          <m:t>=</m:t>
        </m:r>
        <m:sSubSup>
          <m:e>
            <m:r>
              <m:rPr>
                <m:sty m:val="p"/>
                <m:scr m:val="double-struck"/>
              </m:rPr>
              <m:t>F</m:t>
            </m:r>
          </m:e>
          <m:sub>
            <m:r>
              <m:t>2</m:t>
            </m:r>
          </m:sub>
          <m:sup>
            <m:r>
              <m:t>6</m:t>
            </m:r>
          </m:sup>
        </m:sSubSup>
      </m:oMath>
      <w:r>
        <w:t xml:space="preserve">, первая координата — нижняя черта, 0 обозначает прерывистую, 1 — сплошную. Маска</w:t>
      </w:r>
      <w:r>
        <w:t xml:space="preserve"> </w:t>
      </w:r>
      <m:oMath>
        <m:r>
          <m:t>m</m:t>
        </m:r>
        <m:r>
          <m:rPr>
            <m:sty m:val="p"/>
          </m:rPr>
          <m:t>∈</m:t>
        </m:r>
        <m:r>
          <m:t>H</m:t>
        </m:r>
      </m:oMath>
      <w:r>
        <w:t xml:space="preserve"> </w:t>
      </w:r>
      <w:r>
        <w:t xml:space="preserve">действует как</w:t>
      </w:r>
      <w:r>
        <w:t xml:space="preserve"> </w:t>
      </w:r>
      <m:oMath>
        <m:r>
          <m:t>h</m:t>
        </m:r>
        <m:r>
          <m:rPr>
            <m:sty m:val="p"/>
          </m:rPr>
          <m:t>↦</m:t>
        </m:r>
        <m:r>
          <m:t>h</m:t>
        </m:r>
        <m:r>
          <m:rPr>
            <m:sty m:val="p"/>
          </m:rPr>
          <m:t>⊕</m:t>
        </m:r>
        <m:r>
          <m:t>m</m:t>
        </m:r>
      </m:oMath>
      <w:r>
        <w:t xml:space="preserve">. Это векторное пространство и аддитивная группа; умножение поля</w:t>
      </w:r>
      <w:r>
        <w:t xml:space="preserve"> </w:t>
      </w:r>
      <m:oMath>
        <m:r>
          <m:rPr>
            <m:sty m:val="p"/>
          </m:rPr>
          <m:t>G</m:t>
        </m:r>
        <m:r>
          <m:rPr>
            <m:sty m:val="p"/>
          </m:rPr>
          <m:t>F</m:t>
        </m:r>
        <m:d>
          <m:dPr>
            <m:begChr m:val="("/>
            <m:endChr m:val=")"/>
            <m:sepChr m:val=""/>
            <m:grow/>
          </m:dPr>
          <m:e>
            <m:r>
              <m:t>64</m:t>
            </m:r>
          </m:e>
        </m:d>
      </m:oMath>
      <w:r>
        <w:t xml:space="preserve"> </w:t>
      </w:r>
      <w:r>
        <w:t xml:space="preserve">не задано. При покоординатном AND получается булево кольцо, которое не является полем.</w:t>
      </w:r>
    </w:p>
    <w:p>
      <w:pPr>
        <w:pStyle w:val="BodyText"/>
        <w:widowControl/>
      </w:pPr>
      <m:oMathPara>
        <m:oMathParaPr>
          <m:jc m:val="center"/>
        </m:oMathParaPr>
        <m:oMath>
          <m:r>
            <m:t>α</m:t>
          </m:r>
          <m:d>
            <m:dPr>
              <m:begChr m:val="("/>
              <m:endChr m:val=")"/>
              <m:sepChr m:val=""/>
              <m:grow/>
            </m:dPr>
            <m:e>
              <m:r>
                <m:t>h</m:t>
              </m:r>
            </m:e>
          </m:d>
          <m:r>
            <m:rPr>
              <m:sty m:val="p"/>
            </m:rPr>
            <m:t>=</m:t>
          </m:r>
          <m:d>
            <m:dPr>
              <m:begChr m:val="("/>
              <m:endChr m:val=")"/>
              <m:sepChr m:val=""/>
              <m:grow/>
            </m:dPr>
            <m:e>
              <m:sSub>
                <m:e>
                  <m:r>
                    <m:t>h</m:t>
                  </m:r>
                </m:e>
                <m:sub>
                  <m:r>
                    <m:t>1</m:t>
                  </m:r>
                </m:sub>
              </m:sSub>
              <m:r>
                <m:rPr>
                  <m:sty m:val="p"/>
                </m:rPr>
                <m:t>⊕</m:t>
              </m:r>
              <m:sSub>
                <m:e>
                  <m:r>
                    <m:t>h</m:t>
                  </m:r>
                </m:e>
                <m:sub>
                  <m:r>
                    <m:t>4</m:t>
                  </m:r>
                </m:sub>
              </m:sSub>
              <m:r>
                <m:rPr>
                  <m:sty m:val="p"/>
                </m:rPr>
                <m:t>,</m:t>
              </m:r>
              <m:sSub>
                <m:e>
                  <m:r>
                    <m:t>h</m:t>
                  </m:r>
                </m:e>
                <m:sub>
                  <m:r>
                    <m:t>2</m:t>
                  </m:r>
                </m:sub>
              </m:sSub>
              <m:r>
                <m:rPr>
                  <m:sty m:val="p"/>
                </m:rPr>
                <m:t>⊕</m:t>
              </m:r>
              <m:sSub>
                <m:e>
                  <m:r>
                    <m:t>h</m:t>
                  </m:r>
                </m:e>
                <m:sub>
                  <m:r>
                    <m:t>5</m:t>
                  </m:r>
                </m:sub>
              </m:sSub>
              <m:r>
                <m:rPr>
                  <m:sty m:val="p"/>
                </m:rPr>
                <m:t>,</m:t>
              </m:r>
              <m:sSub>
                <m:e>
                  <m:r>
                    <m:t>h</m:t>
                  </m:r>
                </m:e>
                <m:sub>
                  <m:r>
                    <m:t>3</m:t>
                  </m:r>
                </m:sub>
              </m:sSub>
              <m:r>
                <m:rPr>
                  <m:sty m:val="p"/>
                </m:rPr>
                <m:t>⊕</m:t>
              </m:r>
              <m:sSub>
                <m:e>
                  <m:r>
                    <m:t>h</m:t>
                  </m:r>
                </m:e>
                <m:sub>
                  <m:r>
                    <m:t>6</m:t>
                  </m:r>
                </m:sub>
              </m:sSub>
            </m:e>
          </m:d>
          <m:r>
            <m:rPr>
              <m:sty m:val="p"/>
            </m:rPr>
            <m:t>,</m:t>
          </m:r>
          <m:r>
            <m:t>  </m:t>
          </m:r>
          <m:r>
            <m:t>K</m:t>
          </m:r>
          <m:r>
            <m:rPr>
              <m:sty m:val="p"/>
            </m:rPr>
            <m:t>=</m:t>
          </m:r>
          <m:r>
            <m:rPr>
              <m:sty m:val="p"/>
            </m:rPr>
            <m:t>ker</m:t>
          </m:r>
          <m:r>
            <m:t>α</m:t>
          </m:r>
          <m:r>
            <m:rPr>
              <m:sty m:val="p"/>
            </m:rPr>
            <m:t>=</m:t>
          </m:r>
          <m:r>
            <m:rPr>
              <m:sty m:val="p"/>
            </m:rPr>
            <m:t>{</m:t>
          </m:r>
          <m:d>
            <m:dPr>
              <m:begChr m:val="("/>
              <m:endChr m:val=")"/>
              <m:sepChr m:val=""/>
              <m:grow/>
            </m:dPr>
            <m:e>
              <m:r>
                <m:t>u</m:t>
              </m:r>
              <m:r>
                <m:rPr>
                  <m:sty m:val="p"/>
                </m:rPr>
                <m:t>,</m:t>
              </m:r>
              <m:r>
                <m:t>u</m:t>
              </m:r>
            </m:e>
          </m:d>
          <m:r>
            <m:rPr>
              <m:sty m:val="p"/>
            </m:rPr>
            <m:t>:</m:t>
          </m:r>
          <m:r>
            <m:t>u</m:t>
          </m:r>
          <m:r>
            <m:rPr>
              <m:sty m:val="p"/>
            </m:rPr>
            <m:t>∈</m:t>
          </m:r>
          <m:sSubSup>
            <m:e>
              <m:r>
                <m:rPr>
                  <m:sty m:val="p"/>
                  <m:scr m:val="double-struck"/>
                </m:rPr>
                <m:t>F</m:t>
              </m:r>
            </m:e>
            <m:sub>
              <m:r>
                <m:t>2</m:t>
              </m:r>
            </m:sub>
            <m:sup>
              <m:r>
                <m:t>3</m:t>
              </m:r>
            </m:sup>
          </m:sSubSup>
          <m:r>
            <m:rPr>
              <m:sty m:val="p"/>
            </m:rPr>
            <m:t>}</m:t>
          </m:r>
          <m:r>
            <m:rPr>
              <m:sty m:val="p"/>
            </m:rPr>
            <m:t>.</m:t>
          </m:r>
        </m:oMath>
      </m:oMathPara>
    </w:p>
    <w:p>
      <w:pPr>
        <w:pStyle w:val="FirstParagraph"/>
        <w:widowControl/>
      </w:pPr>
      <w:r>
        <w:t xml:space="preserve">Карта α сохраняет три бита из шести. Её линейность совместима с XOR, но не означает совместимость с любыми операциями. Назначения</w:t>
      </w:r>
      <w:r>
        <w:t xml:space="preserve"> </w:t>
      </w:r>
      <m:oMath>
        <m:r>
          <m:t>a</m:t>
        </m:r>
        <m:r>
          <m:rPr>
            <m:sty m:val="p"/>
          </m:rPr>
          <m:t>:</m:t>
        </m:r>
        <m:r>
          <m:t>Υ</m:t>
        </m:r>
        <m:r>
          <m:rPr>
            <m:sty m:val="p"/>
          </m:rPr>
          <m:t>→</m:t>
        </m:r>
        <m:r>
          <m:t>Ξ</m:t>
        </m:r>
      </m:oMath>
      <w:r>
        <w:t xml:space="preserve">,</w:t>
      </w:r>
      <w:r>
        <w:t xml:space="preserve"> </w:t>
      </w:r>
      <m:oMath>
        <m:r>
          <m:t>b</m:t>
        </m:r>
        <m:r>
          <m:rPr>
            <m:sty m:val="p"/>
          </m:rPr>
          <m:t>:</m:t>
        </m:r>
        <m:r>
          <m:t>Ξ</m:t>
        </m:r>
        <m:r>
          <m:rPr>
            <m:sty m:val="p"/>
          </m:rPr>
          <m:t>→</m:t>
        </m:r>
        <m:r>
          <m:t>Δ</m:t>
        </m:r>
      </m:oMath>
      <w:r>
        <w:t xml:space="preserve"> </w:t>
      </w:r>
      <w:r>
        <w:t xml:space="preserve">через</w:t>
      </w:r>
      <w:r>
        <w:t xml:space="preserve"> </w:t>
      </w:r>
      <m:oMath>
        <m:r>
          <m:t>B</m:t>
        </m:r>
      </m:oMath>
      <w:r>
        <w:t xml:space="preserve">,</w:t>
      </w:r>
      <w:r>
        <w:t xml:space="preserve"> </w:t>
      </w:r>
      <m:oMath>
        <m:r>
          <m:t>c</m:t>
        </m:r>
        <m:r>
          <m:rPr>
            <m:sty m:val="p"/>
          </m:rPr>
          <m:t>:</m:t>
        </m:r>
        <m:r>
          <m:t>Δ</m:t>
        </m:r>
        <m:r>
          <m:rPr>
            <m:sty m:val="p"/>
          </m:rPr>
          <m:t>→</m:t>
        </m:r>
        <m:r>
          <m:t>Υ</m:t>
        </m:r>
      </m:oMath>
      <w:r>
        <w:t xml:space="preserve"> </w:t>
      </w:r>
      <w:r>
        <w:t xml:space="preserve">добавляют направленность и интерпретацию. XOR сам по себе симметричен и таких ролей не содержит.</w:t>
      </w:r>
    </w:p>
    <w:p>
      <w:pPr>
        <w:pStyle w:val="BodyText"/>
        <w:widowControl/>
      </w:pPr>
      <w:r>
        <w:t xml:space="preserve">Атрибуция H15 должна поэтому разделять известное позиционное соответствие и авторское операторное чтение. Тождество формул устанавливает предшествование результата, но не устанавливает, каким историческим путём автор пришёл к своей конструкции.</w:t>
      </w:r>
    </w:p>
    <w:bookmarkEnd w:id="28"/>
    <w:bookmarkStart w:id="32" w:name="что-сохраняет-проективное-представление"/>
    <w:p>
      <w:pPr>
        <w:pStyle w:val="Heading2"/>
        <w:widowControl/>
      </w:pPr>
      <w:r>
        <w:t xml:space="preserve">5 Что сохраняет проективное представление</w:t>
      </w:r>
    </w:p>
    <w:bookmarkStart w:id="29" w:name="d1-инъективность-и-знаковое-действие"/>
    <w:p>
      <w:pPr>
        <w:pStyle w:val="Heading3"/>
        <w:widowControl/>
      </w:pPr>
      <w:r>
        <w:t xml:space="preserve">D1 Инъективность и знаковое действие</w:t>
      </w:r>
    </w:p>
    <w:p>
      <w:pPr>
        <w:pStyle w:val="FirstParagraph"/>
        <w:widowControl/>
      </w:pPr>
      <w:r>
        <w:t xml:space="preserve">Для</w:t>
      </w:r>
      <w:r>
        <w:t xml:space="preserve"> </w:t>
      </w:r>
      <m:oMath>
        <m:sSub>
          <m:e>
            <m:r>
              <m:t>s</m:t>
            </m:r>
          </m:e>
          <m:sub>
            <m:r>
              <m:t>i</m:t>
            </m:r>
          </m:sub>
        </m:sSub>
        <m:r>
          <m:rPr>
            <m:sty m:val="p"/>
          </m:rPr>
          <m:t>=</m:t>
        </m:r>
        <m:sSup>
          <m:e>
            <m:d>
              <m:dPr>
                <m:begChr m:val="("/>
                <m:endChr m:val=")"/>
                <m:sepChr m:val=""/>
                <m:grow/>
              </m:dPr>
              <m:e>
                <m:r>
                  <m:rPr>
                    <m:sty m:val="p"/>
                  </m:rPr>
                  <m:t>−</m:t>
                </m:r>
                <m:r>
                  <m:t>1</m:t>
                </m:r>
              </m:e>
            </m:d>
          </m:e>
          <m:sup>
            <m:sSub>
              <m:e>
                <m:r>
                  <m:t>h</m:t>
                </m:r>
              </m:e>
              <m:sub>
                <m:r>
                  <m:t>i</m:t>
                </m:r>
              </m:sub>
            </m:sSub>
          </m:sup>
        </m:sSup>
      </m:oMath>
      <w:r>
        <w:t xml:space="preserve"> </w:t>
      </w:r>
      <w:r>
        <w:t xml:space="preserve">и</w:t>
      </w:r>
      <w:r>
        <w:t xml:space="preserve"> </w:t>
      </w:r>
      <m:oMath>
        <m:r>
          <m:t>p</m:t>
        </m:r>
        <m:r>
          <m:rPr>
            <m:sty m:val="p"/>
          </m:rPr>
          <m:t>=</m:t>
        </m:r>
        <m:nary>
          <m:naryPr>
            <m:chr m:val="∏"/>
            <m:limLoc m:val="undOvr"/>
            <m:subHide m:val="off"/>
            <m:supHide m:val="off"/>
          </m:naryPr>
          <m:sub>
            <m:r>
              <m:t>i</m:t>
            </m:r>
            <m:r>
              <m:rPr>
                <m:sty m:val="p"/>
              </m:rPr>
              <m:t>=</m:t>
            </m:r>
            <m:r>
              <m:t>1</m:t>
            </m:r>
          </m:sub>
          <m:sup>
            <m:r>
              <m:t>6</m:t>
            </m:r>
          </m:sup>
          <m:e>
            <m:sSub>
              <m:e>
                <m:r>
                  <m:t>s</m:t>
                </m:r>
              </m:e>
              <m:sub>
                <m:r>
                  <m:t>i</m:t>
                </m:r>
              </m:sub>
            </m:sSub>
          </m:e>
        </m:nary>
      </m:oMath>
      <w:r>
        <w:t xml:space="preserve"> </w:t>
      </w:r>
      <w:r>
        <w:t xml:space="preserve">монография задаёт</w:t>
      </w:r>
    </w:p>
    <w:p>
      <w:pPr>
        <w:pStyle w:val="BodyText"/>
        <w:widowControl/>
      </w:pPr>
      <m:oMathPara>
        <m:oMathParaPr>
          <m:jc m:val="center"/>
        </m:oMathParaPr>
        <m:oMath>
          <m:r>
            <m:t>v</m:t>
          </m:r>
          <m:d>
            <m:dPr>
              <m:begChr m:val="("/>
              <m:endChr m:val=")"/>
              <m:sepChr m:val=""/>
              <m:grow/>
            </m:dPr>
            <m:e>
              <m:r>
                <m:t>h</m:t>
              </m:r>
            </m:e>
          </m:d>
          <m:r>
            <m:rPr>
              <m:sty m:val="p"/>
            </m:rPr>
            <m:t>=</m:t>
          </m:r>
          <m:d>
            <m:dPr>
              <m:begChr m:val="("/>
              <m:endChr m:val=")"/>
              <m:sepChr m:val=""/>
              <m:grow/>
            </m:dPr>
            <m:e>
              <m:sSub>
                <m:e>
                  <m:r>
                    <m:t>s</m:t>
                  </m:r>
                </m:e>
                <m:sub>
                  <m:r>
                    <m:t>1</m:t>
                  </m:r>
                </m:sub>
              </m:sSub>
              <m:r>
                <m:rPr>
                  <m:sty m:val="p"/>
                </m:rPr>
                <m:t>,</m:t>
              </m:r>
              <m:sSub>
                <m:e>
                  <m:r>
                    <m:t>s</m:t>
                  </m:r>
                </m:e>
                <m:sub>
                  <m:r>
                    <m:t>2</m:t>
                  </m:r>
                </m:sub>
              </m:sSub>
              <m:r>
                <m:rPr>
                  <m:sty m:val="p"/>
                </m:rPr>
                <m:t>,</m:t>
              </m:r>
              <m:sSub>
                <m:e>
                  <m:r>
                    <m:t>s</m:t>
                  </m:r>
                </m:e>
                <m:sub>
                  <m:r>
                    <m:t>3</m:t>
                  </m:r>
                </m:sub>
              </m:sSub>
              <m:r>
                <m:rPr>
                  <m:sty m:val="p"/>
                </m:rPr>
                <m:t>,</m:t>
              </m:r>
              <m:sSub>
                <m:e>
                  <m:r>
                    <m:t>s</m:t>
                  </m:r>
                </m:e>
                <m:sub>
                  <m:r>
                    <m:t>4</m:t>
                  </m:r>
                </m:sub>
              </m:sSub>
              <m:r>
                <m:rPr>
                  <m:sty m:val="p"/>
                </m:rPr>
                <m:t>,</m:t>
              </m:r>
              <m:sSub>
                <m:e>
                  <m:r>
                    <m:t>s</m:t>
                  </m:r>
                </m:e>
                <m:sub>
                  <m:r>
                    <m:t>5</m:t>
                  </m:r>
                </m:sub>
              </m:sSub>
              <m:r>
                <m:rPr>
                  <m:sty m:val="p"/>
                </m:rPr>
                <m:t>,</m:t>
              </m:r>
              <m:sSub>
                <m:e>
                  <m:r>
                    <m:t>s</m:t>
                  </m:r>
                </m:e>
                <m:sub>
                  <m:r>
                    <m:t>6</m:t>
                  </m:r>
                </m:sub>
              </m:sSub>
              <m:r>
                <m:rPr>
                  <m:sty m:val="p"/>
                </m:rPr>
                <m:t>,</m:t>
              </m:r>
              <m:r>
                <m:t>p</m:t>
              </m:r>
            </m:e>
          </m:d>
          <m:r>
            <m:rPr>
              <m:sty m:val="p"/>
            </m:rPr>
            <m:t>,</m:t>
          </m:r>
          <m:r>
            <m:t>  </m:t>
          </m:r>
          <m:r>
            <m:t>j</m:t>
          </m:r>
          <m:d>
            <m:dPr>
              <m:begChr m:val="("/>
              <m:endChr m:val=")"/>
              <m:sepChr m:val=""/>
              <m:grow/>
            </m:dPr>
            <m:e>
              <m:r>
                <m:t>h</m:t>
              </m:r>
            </m:e>
          </m:d>
          <m:r>
            <m:rPr>
              <m:sty m:val="p"/>
            </m:rPr>
            <m:t>=</m:t>
          </m:r>
          <m:d>
            <m:dPr>
              <m:begChr m:val="["/>
              <m:endChr m:val="]"/>
              <m:sepChr m:val=""/>
              <m:grow/>
            </m:dPr>
            <m:e>
              <m:r>
                <m:t>v</m:t>
              </m:r>
              <m:d>
                <m:dPr>
                  <m:begChr m:val="("/>
                  <m:endChr m:val=")"/>
                  <m:sepChr m:val=""/>
                  <m:grow/>
                </m:dPr>
                <m:e>
                  <m:r>
                    <m:t>h</m:t>
                  </m:r>
                </m:e>
              </m:d>
            </m:e>
          </m:d>
          <m:r>
            <m:rPr>
              <m:sty m:val="p"/>
            </m:rPr>
            <m:t>∈</m:t>
          </m:r>
          <m:sSup>
            <m:e>
              <m:r>
                <m:rPr>
                  <m:sty m:val="p"/>
                  <m:scr m:val="double-struck"/>
                </m:rPr>
                <m:t>P</m:t>
              </m:r>
            </m:e>
            <m:sup>
              <m:r>
                <m:t>6</m:t>
              </m:r>
            </m:sup>
          </m:sSup>
          <m:d>
            <m:dPr>
              <m:begChr m:val="("/>
              <m:endChr m:val=")"/>
              <m:sepChr m:val=""/>
              <m:grow/>
            </m:dPr>
            <m:e>
              <m:r>
                <m:rPr>
                  <m:sty m:val="p"/>
                  <m:scr m:val="double-struck"/>
                </m:rPr>
                <m:t>Q</m:t>
              </m:r>
            </m:e>
          </m:d>
          <m:r>
            <m:rPr>
              <m:sty m:val="p"/>
            </m:rPr>
            <m:t>.</m:t>
          </m:r>
        </m:oMath>
      </m:oMathPara>
    </w:p>
    <w:p>
      <w:pPr>
        <w:pStyle w:val="FirstParagraph"/>
        <w:widowControl/>
      </w:pPr>
      <w:r>
        <w:t xml:space="preserve">Если</w:t>
      </w:r>
      <w:r>
        <w:t xml:space="preserve"> </w:t>
      </w:r>
      <m:oMath>
        <m:r>
          <m:t>v</m:t>
        </m:r>
        <m:d>
          <m:dPr>
            <m:begChr m:val="("/>
            <m:endChr m:val=")"/>
            <m:sepChr m:val=""/>
            <m:grow/>
          </m:dPr>
          <m:e>
            <m:r>
              <m:t>k</m:t>
            </m:r>
          </m:e>
        </m:d>
        <m:r>
          <m:rPr>
            <m:sty m:val="p"/>
          </m:rPr>
          <m:t>=</m:t>
        </m:r>
        <m:r>
          <m:t>λ</m:t>
        </m:r>
        <m:r>
          <m:t>v</m:t>
        </m:r>
        <m:d>
          <m:dPr>
            <m:begChr m:val="("/>
            <m:endChr m:val=")"/>
            <m:sepChr m:val=""/>
            <m:grow/>
          </m:dPr>
          <m:e>
            <m:r>
              <m:t>h</m:t>
            </m:r>
          </m:e>
        </m:d>
      </m:oMath>
      <w:r>
        <w:t xml:space="preserve">, то</w:t>
      </w:r>
      <w:r>
        <w:t xml:space="preserve"> </w:t>
      </w:r>
      <m:oMath>
        <m:r>
          <m:t>λ</m:t>
        </m:r>
        <m:r>
          <m:rPr>
            <m:sty m:val="p"/>
          </m:rPr>
          <m:t>=</m:t>
        </m:r>
        <m:r>
          <m:rPr>
            <m:sty m:val="p"/>
          </m:rPr>
          <m:t>±</m:t>
        </m:r>
        <m:r>
          <m:t>1</m:t>
        </m:r>
      </m:oMath>
      <w:r>
        <w:t xml:space="preserve">. При</w:t>
      </w:r>
      <w:r>
        <w:t xml:space="preserve"> </w:t>
      </w:r>
      <m:oMath>
        <m:r>
          <m:t>λ</m:t>
        </m:r>
        <m:r>
          <m:rPr>
            <m:sty m:val="p"/>
          </m:rPr>
          <m:t>=</m:t>
        </m:r>
        <m:r>
          <m:t>1</m:t>
        </m:r>
      </m:oMath>
      <w:r>
        <w:t xml:space="preserve"> </w:t>
      </w:r>
      <w:r>
        <w:t xml:space="preserve">имеем</w:t>
      </w:r>
      <w:r>
        <w:t xml:space="preserve"> </w:t>
      </w:r>
      <m:oMath>
        <m:r>
          <m:t>k</m:t>
        </m:r>
        <m:r>
          <m:rPr>
            <m:sty m:val="p"/>
          </m:rPr>
          <m:t>=</m:t>
        </m:r>
        <m:r>
          <m:t>h</m:t>
        </m:r>
      </m:oMath>
      <w:r>
        <w:t xml:space="preserve">. При</w:t>
      </w:r>
      <w:r>
        <w:t xml:space="preserve"> </w:t>
      </w:r>
      <m:oMath>
        <m:r>
          <m:t>λ</m:t>
        </m:r>
        <m:r>
          <m:rPr>
            <m:sty m:val="p"/>
          </m:rPr>
          <m:t>=</m:t>
        </m:r>
        <m:r>
          <m:rPr>
            <m:sty m:val="p"/>
          </m:rPr>
          <m:t>−</m:t>
        </m:r>
        <m:r>
          <m:t>1</m:t>
        </m:r>
      </m:oMath>
      <w:r>
        <w:t xml:space="preserve"> </w:t>
      </w:r>
      <w:r>
        <w:t xml:space="preserve">первые шесть координат дают дополнение всех черт, но их произведение не меняется, тогда как последняя координата должна сменить знак. Противоречие. Следовательно,</w:t>
      </w:r>
      <w:r>
        <w:t xml:space="preserve"> </w:t>
      </w:r>
      <m:oMath>
        <m:r>
          <m:t>j</m:t>
        </m:r>
      </m:oMath>
      <w:r>
        <w:t xml:space="preserve"> </w:t>
      </w:r>
      <w:r>
        <w:t xml:space="preserve">инъективна. Без седьмой координаты</w:t>
      </w:r>
      <w:r>
        <w:t xml:space="preserve"> </w:t>
      </w:r>
      <m:oMath>
        <m:r>
          <m:t>h</m:t>
        </m:r>
      </m:oMath>
      <w:r>
        <w:t xml:space="preserve"> </w:t>
      </w:r>
      <w:r>
        <w:t xml:space="preserve">и</w:t>
      </w:r>
      <w:r>
        <w:t xml:space="preserve"> </w:t>
      </w:r>
      <m:oMath>
        <m:r>
          <m:t>h</m:t>
        </m:r>
        <m:r>
          <m:rPr>
            <m:sty m:val="p"/>
          </m:rPr>
          <m:t>⊕</m:t>
        </m:r>
        <m:r>
          <m:t>111111</m:t>
        </m:r>
      </m:oMath>
      <w:r>
        <w:t xml:space="preserve"> </w:t>
      </w:r>
      <w:r>
        <w:t xml:space="preserve">проектируются в одну точку: остаются 32 точки.</w:t>
      </w:r>
    </w:p>
    <w:p>
      <w:pPr>
        <w:pStyle w:val="BodyText"/>
        <w:widowControl/>
      </w:pPr>
      <w:r>
        <w:t xml:space="preserve">При</w:t>
      </w:r>
      <w:r>
        <w:t xml:space="preserve"> </w:t>
      </w:r>
      <m:oMath>
        <m:r>
          <m:t>ρ</m:t>
        </m:r>
        <m:d>
          <m:dPr>
            <m:begChr m:val="("/>
            <m:endChr m:val=")"/>
            <m:sepChr m:val=""/>
            <m:grow/>
          </m:dPr>
          <m:e>
            <m:r>
              <m:t>m</m:t>
            </m:r>
          </m:e>
        </m:d>
        <m:r>
          <m:rPr>
            <m:sty m:val="p"/>
          </m:rPr>
          <m:t>=</m:t>
        </m:r>
        <m:r>
          <m:rPr>
            <m:sty m:val="p"/>
          </m:rPr>
          <m:t>diag</m:t>
        </m:r>
        <m:d>
          <m:dPr>
            <m:begChr m:val="("/>
            <m:endChr m:val=")"/>
            <m:sepChr m:val=""/>
            <m:grow/>
          </m:dPr>
          <m:e>
            <m:r>
              <m:t>v</m:t>
            </m:r>
            <m:d>
              <m:dPr>
                <m:begChr m:val="("/>
                <m:endChr m:val=")"/>
                <m:sepChr m:val=""/>
                <m:grow/>
              </m:dPr>
              <m:e>
                <m:r>
                  <m:t>m</m:t>
                </m:r>
              </m:e>
            </m:d>
          </m:e>
        </m:d>
      </m:oMath>
      <w:r>
        <w:t xml:space="preserve"> </w:t>
      </w:r>
      <w:r>
        <w:t xml:space="preserve">имеем</w:t>
      </w:r>
      <w:r>
        <w:t xml:space="preserve"> </w:t>
      </w:r>
      <m:oMath>
        <m:r>
          <m:t>v</m:t>
        </m:r>
        <m:d>
          <m:dPr>
            <m:begChr m:val="("/>
            <m:endChr m:val=")"/>
            <m:sepChr m:val=""/>
            <m:grow/>
          </m:dPr>
          <m:e>
            <m:r>
              <m:t>h</m:t>
            </m:r>
            <m:r>
              <m:rPr>
                <m:sty m:val="p"/>
              </m:rPr>
              <m:t>⊕</m:t>
            </m:r>
            <m:r>
              <m:t>m</m:t>
            </m:r>
          </m:e>
        </m:d>
        <m:r>
          <m:rPr>
            <m:sty m:val="p"/>
          </m:rPr>
          <m:t>=</m:t>
        </m:r>
        <m:r>
          <m:t>ρ</m:t>
        </m:r>
        <m:d>
          <m:dPr>
            <m:begChr m:val="("/>
            <m:endChr m:val=")"/>
            <m:sepChr m:val=""/>
            <m:grow/>
          </m:dPr>
          <m:e>
            <m:r>
              <m:t>m</m:t>
            </m:r>
          </m:e>
        </m:d>
        <m:r>
          <m:t>v</m:t>
        </m:r>
        <m:d>
          <m:dPr>
            <m:begChr m:val="("/>
            <m:endChr m:val=")"/>
            <m:sepChr m:val=""/>
            <m:grow/>
          </m:dPr>
          <m:e>
            <m:r>
              <m:t>h</m:t>
            </m:r>
          </m:e>
        </m:d>
      </m:oMath>
      <w:r>
        <w:t xml:space="preserve">. Произведение семи диагональных элементов равно единице, поэтому</w:t>
      </w:r>
      <w:r>
        <w:t xml:space="preserve"> </w:t>
      </w:r>
      <m:oMath>
        <m:r>
          <m:t>ρ</m:t>
        </m:r>
        <m:d>
          <m:dPr>
            <m:begChr m:val="("/>
            <m:endChr m:val=")"/>
            <m:sepChr m:val=""/>
            <m:grow/>
          </m:dPr>
          <m:e>
            <m:r>
              <m:t>m</m:t>
            </m:r>
          </m:e>
        </m:d>
        <m:r>
          <m:rPr>
            <m:sty m:val="p"/>
          </m:rPr>
          <m:t>∈</m:t>
        </m:r>
        <m:r>
          <m:t>S</m:t>
        </m:r>
        <m:r>
          <m:t>O</m:t>
        </m:r>
        <m:d>
          <m:dPr>
            <m:begChr m:val="("/>
            <m:endChr m:val=")"/>
            <m:sepChr m:val=""/>
            <m:grow/>
          </m:dPr>
          <m:e>
            <m:r>
              <m:t>7</m:t>
            </m:r>
            <m:r>
              <m:rPr>
                <m:sty m:val="p"/>
              </m:rPr>
              <m:t>,</m:t>
            </m:r>
            <m:r>
              <m:rPr>
                <m:sty m:val="p"/>
                <m:scr m:val="double-struck"/>
              </m:rPr>
              <m:t>Q</m:t>
            </m:r>
          </m:e>
        </m:d>
      </m:oMath>
      <w:r>
        <w:t xml:space="preserve">. Это точная реализация XOR выбранными знаковыми матрицами; исходная алгебра действия остаётся классической.</w:t>
      </w:r>
    </w:p>
    <w:bookmarkEnd w:id="29"/>
    <w:bookmarkStart w:id="30" w:name="d2-эквивалентность-аффинному-кубу"/>
    <w:p>
      <w:pPr>
        <w:pStyle w:val="Heading3"/>
        <w:widowControl/>
      </w:pPr>
      <w:r>
        <w:t xml:space="preserve">D2 Эквивалентность аффинному кубу</w:t>
      </w:r>
    </w:p>
    <w:p>
      <w:pPr>
        <w:pStyle w:val="FirstParagraph"/>
        <w:widowControl/>
      </w:pPr>
      <w:r>
        <w:t xml:space="preserve">Пусть</w:t>
      </w:r>
      <w:r>
        <w:t xml:space="preserve"> </w:t>
      </w:r>
      <m:oMath>
        <m:r>
          <m:t>t</m:t>
        </m:r>
        <m:r>
          <m:rPr>
            <m:sty m:val="p"/>
          </m:rPr>
          <m:t>=</m:t>
        </m:r>
        <m:nary>
          <m:naryPr>
            <m:chr m:val="∑"/>
            <m:limLoc m:val="undOvr"/>
            <m:subHide m:val="off"/>
            <m:supHide m:val="on"/>
          </m:naryPr>
          <m:sub>
            <m:r>
              <m:t>i</m:t>
            </m:r>
          </m:sub>
          <m:sup>
            <m:r>
              <m:t>​</m:t>
            </m:r>
          </m:sup>
          <m:e>
            <m:sSub>
              <m:e>
                <m:r>
                  <m:t>h</m:t>
                </m:r>
              </m:e>
              <m:sub>
                <m:r>
                  <m:t>i</m:t>
                </m:r>
              </m:sub>
            </m:sSub>
          </m:e>
        </m:nary>
        <m:r>
          <m:t> </m:t>
        </m:r>
        <m:r>
          <m:rPr>
            <m:sty m:val="p"/>
          </m:rPr>
          <m:t>(</m:t>
        </m:r>
        <m:r>
          <m:rPr>
            <m:sty m:val="p"/>
          </m:rPr>
          <m:t>mod</m:t>
        </m:r>
        <m:r>
          <m:t> </m:t>
        </m:r>
        <m:r>
          <m:t>2</m:t>
        </m:r>
        <m:r>
          <m:rPr>
            <m:sty m:val="p"/>
          </m:rPr>
          <m:t>)</m:t>
        </m:r>
      </m:oMath>
      <w:r>
        <w:t xml:space="preserve"> </w:t>
      </w:r>
      <w:r>
        <w:t xml:space="preserve">и</w:t>
      </w:r>
      <w:r>
        <w:t xml:space="preserve"> </w:t>
      </w:r>
      <m:oMath>
        <m:r>
          <m:t>L</m:t>
        </m:r>
        <m:r>
          <m:t>h</m:t>
        </m:r>
        <m:r>
          <m:rPr>
            <m:sty m:val="p"/>
          </m:rPr>
          <m:t>=</m:t>
        </m:r>
        <m:r>
          <m:t>h</m:t>
        </m:r>
        <m:r>
          <m:rPr>
            <m:sty m:val="p"/>
          </m:rPr>
          <m:t>+</m:t>
        </m:r>
        <m:r>
          <m:t>t</m:t>
        </m:r>
        <m:r>
          <m:rPr>
            <m:sty m:val="b"/>
          </m:rPr>
          <m:t>1</m:t>
        </m:r>
      </m:oMath>
      <w:r>
        <w:t xml:space="preserve">. Над</w:t>
      </w:r>
      <w:r>
        <w:t xml:space="preserve"> </w:t>
      </w:r>
      <m:oMath>
        <m:sSub>
          <m:e>
            <m:r>
              <m:rPr>
                <m:sty m:val="p"/>
                <m:scr m:val="double-struck"/>
              </m:rPr>
              <m:t>F</m:t>
            </m:r>
          </m:e>
          <m:sub>
            <m:r>
              <m:t>2</m:t>
            </m:r>
          </m:sub>
        </m:sSub>
      </m:oMath>
      <w:r>
        <w:t xml:space="preserve"> </w:t>
      </w:r>
      <w:r>
        <w:t xml:space="preserve">матрица</w:t>
      </w:r>
      <w:r>
        <w:t xml:space="preserve"> </w:t>
      </w:r>
      <m:oMath>
        <m:r>
          <m:t>L</m:t>
        </m:r>
        <m:r>
          <m:rPr>
            <m:sty m:val="p"/>
          </m:rPr>
          <m:t>=</m:t>
        </m:r>
        <m:r>
          <m:t>I</m:t>
        </m:r>
        <m:r>
          <m:rPr>
            <m:sty m:val="p"/>
          </m:rPr>
          <m:t>+</m:t>
        </m:r>
        <m:r>
          <m:t>J</m:t>
        </m:r>
      </m:oMath>
      <w:r>
        <w:t xml:space="preserve">, где все элементы</w:t>
      </w:r>
      <w:r>
        <w:t xml:space="preserve"> </w:t>
      </w:r>
      <m:oMath>
        <m:r>
          <m:t>J</m:t>
        </m:r>
      </m:oMath>
      <w:r>
        <w:t xml:space="preserve"> </w:t>
      </w:r>
      <w:r>
        <w:t xml:space="preserve">равны единице. Поскольку</w:t>
      </w:r>
      <w:r>
        <w:t xml:space="preserve"> </w:t>
      </w:r>
      <m:oMath>
        <m:sSup>
          <m:e>
            <m:r>
              <m:t>J</m:t>
            </m:r>
          </m:e>
          <m:sup>
            <m:r>
              <m:t>2</m:t>
            </m:r>
          </m:sup>
        </m:sSup>
        <m:r>
          <m:rPr>
            <m:sty m:val="p"/>
          </m:rPr>
          <m:t>=</m:t>
        </m:r>
        <m:r>
          <m:t>6</m:t>
        </m:r>
        <m:r>
          <m:t>J</m:t>
        </m:r>
        <m:r>
          <m:rPr>
            <m:sty m:val="p"/>
          </m:rPr>
          <m:t>=</m:t>
        </m:r>
        <m:r>
          <m:t>0</m:t>
        </m:r>
      </m:oMath>
      <w:r>
        <w:t xml:space="preserve"> </w:t>
      </w:r>
      <w:r>
        <w:t xml:space="preserve">и</w:t>
      </w:r>
      <w:r>
        <w:t xml:space="preserve"> </w:t>
      </w:r>
      <m:oMath>
        <m:r>
          <m:t>2</m:t>
        </m:r>
        <m:r>
          <m:t>J</m:t>
        </m:r>
        <m:r>
          <m:rPr>
            <m:sty m:val="p"/>
          </m:rPr>
          <m:t>=</m:t>
        </m:r>
        <m:r>
          <m:t>0</m:t>
        </m:r>
      </m:oMath>
      <w:r>
        <w:t xml:space="preserve">, получаем</w:t>
      </w:r>
      <w:r>
        <w:t xml:space="preserve"> </w:t>
      </w:r>
      <m:oMath>
        <m:sSup>
          <m:e>
            <m:r>
              <m:t>L</m:t>
            </m:r>
          </m:e>
          <m:sup>
            <m:r>
              <m:t>2</m:t>
            </m:r>
          </m:sup>
        </m:sSup>
        <m:r>
          <m:rPr>
            <m:sty m:val="p"/>
          </m:rPr>
          <m:t>=</m:t>
        </m:r>
        <m:r>
          <m:t>I</m:t>
        </m:r>
      </m:oMath>
      <w:r>
        <w:t xml:space="preserve">. Это обратимая перекодировка шести битов.</w:t>
      </w:r>
    </w:p>
    <w:p>
      <w:pPr>
        <w:pStyle w:val="BodyText"/>
        <w:widowControl/>
      </w:pPr>
      <w:r>
        <w:t xml:space="preserve">Нормировка по ненулевой последней координате даёт</w:t>
      </w:r>
    </w:p>
    <w:p>
      <w:pPr>
        <w:pStyle w:val="BodyText"/>
        <w:widowControl/>
      </w:pPr>
      <m:oMathPara>
        <m:oMathParaPr>
          <m:jc m:val="center"/>
        </m:oMathParaPr>
        <m:oMath>
          <m:r>
            <m:t>j</m:t>
          </m:r>
          <m:d>
            <m:dPr>
              <m:begChr m:val="("/>
              <m:endChr m:val=")"/>
              <m:sepChr m:val=""/>
              <m:grow/>
            </m:dPr>
            <m:e>
              <m:r>
                <m:t>h</m:t>
              </m:r>
            </m:e>
          </m:d>
          <m:r>
            <m:rPr>
              <m:sty m:val="p"/>
            </m:rPr>
            <m:t>=</m:t>
          </m:r>
          <m:d>
            <m:dPr>
              <m:begChr m:val="["/>
              <m:endChr m:val="]"/>
              <m:sepChr m:val=""/>
              <m:grow/>
            </m:dPr>
            <m:e>
              <m:sSub>
                <m:e>
                  <m:r>
                    <m:t>s</m:t>
                  </m:r>
                </m:e>
                <m:sub>
                  <m:r>
                    <m:t>1</m:t>
                  </m:r>
                </m:sub>
              </m:sSub>
              <m:r>
                <m:t>p</m:t>
              </m:r>
              <m:r>
                <m:rPr>
                  <m:sty m:val="p"/>
                </m:rPr>
                <m:t>,</m:t>
              </m:r>
              <m:sSub>
                <m:e>
                  <m:r>
                    <m:t>s</m:t>
                  </m:r>
                </m:e>
                <m:sub>
                  <m:r>
                    <m:t>2</m:t>
                  </m:r>
                </m:sub>
              </m:sSub>
              <m:r>
                <m:t>p</m:t>
              </m:r>
              <m:r>
                <m:rPr>
                  <m:sty m:val="p"/>
                </m:rPr>
                <m:t>,</m:t>
              </m:r>
              <m:sSub>
                <m:e>
                  <m:r>
                    <m:t>s</m:t>
                  </m:r>
                </m:e>
                <m:sub>
                  <m:r>
                    <m:t>3</m:t>
                  </m:r>
                </m:sub>
              </m:sSub>
              <m:r>
                <m:t>p</m:t>
              </m:r>
              <m:r>
                <m:rPr>
                  <m:sty m:val="p"/>
                </m:rPr>
                <m:t>,</m:t>
              </m:r>
              <m:sSub>
                <m:e>
                  <m:r>
                    <m:t>s</m:t>
                  </m:r>
                </m:e>
                <m:sub>
                  <m:r>
                    <m:t>4</m:t>
                  </m:r>
                </m:sub>
              </m:sSub>
              <m:r>
                <m:t>p</m:t>
              </m:r>
              <m:r>
                <m:rPr>
                  <m:sty m:val="p"/>
                </m:rPr>
                <m:t>,</m:t>
              </m:r>
              <m:sSub>
                <m:e>
                  <m:r>
                    <m:t>s</m:t>
                  </m:r>
                </m:e>
                <m:sub>
                  <m:r>
                    <m:t>5</m:t>
                  </m:r>
                </m:sub>
              </m:sSub>
              <m:r>
                <m:t>p</m:t>
              </m:r>
              <m:r>
                <m:rPr>
                  <m:sty m:val="p"/>
                </m:rPr>
                <m:t>,</m:t>
              </m:r>
              <m:sSub>
                <m:e>
                  <m:r>
                    <m:t>s</m:t>
                  </m:r>
                </m:e>
                <m:sub>
                  <m:r>
                    <m:t>6</m:t>
                  </m:r>
                </m:sub>
              </m:sSub>
              <m:r>
                <m:t>p</m:t>
              </m:r>
              <m:r>
                <m:rPr>
                  <m:sty m:val="p"/>
                </m:rPr>
                <m:t>,</m:t>
              </m:r>
              <m:r>
                <m:t>1</m:t>
              </m:r>
            </m:e>
          </m:d>
          <m:r>
            <m:rPr>
              <m:sty m:val="p"/>
            </m:rPr>
            <m:t>=</m:t>
          </m:r>
          <m:d>
            <m:dPr>
              <m:begChr m:val="["/>
              <m:endChr m:val="]"/>
              <m:sepChr m:val=""/>
              <m:grow/>
            </m:dPr>
            <m:e>
              <m:sSup>
                <m:e>
                  <m:d>
                    <m:dPr>
                      <m:begChr m:val="("/>
                      <m:endChr m:val=")"/>
                      <m:sepChr m:val=""/>
                      <m:grow/>
                    </m:dPr>
                    <m:e>
                      <m:r>
                        <m:rPr>
                          <m:sty m:val="p"/>
                        </m:rPr>
                        <m:t>−</m:t>
                      </m:r>
                      <m:r>
                        <m:t>1</m:t>
                      </m:r>
                    </m:e>
                  </m:d>
                </m:e>
                <m:sup>
                  <m:sSub>
                    <m:e>
                      <m:d>
                        <m:dPr>
                          <m:begChr m:val="("/>
                          <m:endChr m:val=")"/>
                          <m:sepChr m:val=""/>
                          <m:grow/>
                        </m:dPr>
                        <m:e>
                          <m:r>
                            <m:t>L</m:t>
                          </m:r>
                          <m:r>
                            <m:t>h</m:t>
                          </m:r>
                        </m:e>
                      </m:d>
                    </m:e>
                    <m:sub>
                      <m:r>
                        <m:t>1</m:t>
                      </m:r>
                    </m:sub>
                  </m:sSub>
                </m:sup>
              </m:sSup>
              <m:r>
                <m:rPr>
                  <m:sty m:val="p"/>
                </m:rPr>
                <m:t>,</m:t>
              </m:r>
              <m:r>
                <m:rPr>
                  <m:sty m:val="p"/>
                </m:rPr>
                <m:t>…</m:t>
              </m:r>
              <m:r>
                <m:rPr>
                  <m:sty m:val="p"/>
                </m:rPr>
                <m:t>,</m:t>
              </m:r>
              <m:sSup>
                <m:e>
                  <m:d>
                    <m:dPr>
                      <m:begChr m:val="("/>
                      <m:endChr m:val=")"/>
                      <m:sepChr m:val=""/>
                      <m:grow/>
                    </m:dPr>
                    <m:e>
                      <m:r>
                        <m:rPr>
                          <m:sty m:val="p"/>
                        </m:rPr>
                        <m:t>−</m:t>
                      </m:r>
                      <m:r>
                        <m:t>1</m:t>
                      </m:r>
                    </m:e>
                  </m:d>
                </m:e>
                <m:sup>
                  <m:sSub>
                    <m:e>
                      <m:d>
                        <m:dPr>
                          <m:begChr m:val="("/>
                          <m:endChr m:val=")"/>
                          <m:sepChr m:val=""/>
                          <m:grow/>
                        </m:dPr>
                        <m:e>
                          <m:r>
                            <m:t>L</m:t>
                          </m:r>
                          <m:r>
                            <m:t>h</m:t>
                          </m:r>
                        </m:e>
                      </m:d>
                    </m:e>
                    <m:sub>
                      <m:r>
                        <m:t>6</m:t>
                      </m:r>
                    </m:sub>
                  </m:sSub>
                </m:sup>
              </m:sSup>
              <m:r>
                <m:rPr>
                  <m:sty m:val="p"/>
                </m:rPr>
                <m:t>,</m:t>
              </m:r>
              <m:r>
                <m:t>1</m:t>
              </m:r>
            </m:e>
          </m:d>
          <m:r>
            <m:rPr>
              <m:sty m:val="p"/>
            </m:rPr>
            <m:t>.</m:t>
          </m:r>
        </m:oMath>
      </m:oMathPara>
    </w:p>
    <w:p>
      <w:pPr>
        <w:pStyle w:val="FirstParagraph"/>
        <w:widowControl/>
      </w:pPr>
      <w:r>
        <w:t xml:space="preserve">Следовательно,</w:t>
      </w:r>
      <w:r>
        <w:t xml:space="preserve"> </w:t>
      </w:r>
      <w:r>
        <w:rPr>
          <w:bCs/>
          <w:b/>
        </w:rPr>
        <w:t xml:space="preserve">как неразмеченное множество точек</w:t>
      </w:r>
      <w:r>
        <w:t xml:space="preserve"> </w:t>
      </w:r>
      <m:oMath>
        <m:r>
          <m:t>j</m:t>
        </m:r>
        <m:d>
          <m:dPr>
            <m:begChr m:val="("/>
            <m:endChr m:val=")"/>
            <m:sepChr m:val=""/>
            <m:grow/>
          </m:dPr>
          <m:e>
            <m:r>
              <m:t>H</m:t>
            </m:r>
          </m:e>
        </m:d>
      </m:oMath>
      <w:r>
        <w:t xml:space="preserve"> </w:t>
      </w:r>
      <w:r>
        <w:t xml:space="preserve">совпадает со стандартным знаковым кубом в аффинной карте</w:t>
      </w:r>
      <w:r>
        <w:t xml:space="preserve"> </w:t>
      </w:r>
      <m:oMath>
        <m:sSub>
          <m:e>
            <m:r>
              <m:t>x</m:t>
            </m:r>
          </m:e>
          <m:sub>
            <m:r>
              <m:t>7</m:t>
            </m:r>
          </m:sub>
        </m:sSub>
        <m:r>
          <m:rPr>
            <m:sty m:val="p"/>
          </m:rPr>
          <m:t>≠</m:t>
        </m:r>
        <m:r>
          <m:t>0</m:t>
        </m:r>
      </m:oMath>
      <w:r>
        <w:t xml:space="preserve">. Новая карта обозначений и согласование с операторами могут быть авторским выбором; новый геометрический тип 64 точек этим не получен. Здесь не утверждается, что все содержательные метки и наблюдения сохраняются при перекодировке автоматически: их надо переносить через</w:t>
      </w:r>
      <w:r>
        <w:t xml:space="preserve"> </w:t>
      </w:r>
      <m:oMath>
        <m:r>
          <m:t>L</m:t>
        </m:r>
      </m:oMath>
      <w:r>
        <w:t xml:space="preserve">.</w:t>
      </w:r>
    </w:p>
    <w:p>
      <w:pPr>
        <w:pStyle w:val="BodyText"/>
        <w:widowControl/>
      </w:pPr>
      <w:r>
        <w:t xml:space="preserve">Седьмая знаковая координата является общей проверкой чётности. Расстояние между поднятыми знаковыми словами равно</w:t>
      </w:r>
      <w:r>
        <w:t xml:space="preserve"> </w:t>
      </w:r>
      <m:oMath>
        <m:r>
          <m:t>w</m:t>
        </m:r>
        <m:d>
          <m:dPr>
            <m:begChr m:val="("/>
            <m:endChr m:val=")"/>
            <m:sepChr m:val=""/>
            <m:grow/>
          </m:dPr>
          <m:e>
            <m:r>
              <m:t>m</m:t>
            </m:r>
          </m:e>
        </m:d>
        <m:r>
          <m:rPr>
            <m:sty m:val="p"/>
          </m:rPr>
          <m:t>+</m:t>
        </m:r>
        <m:d>
          <m:dPr>
            <m:begChr m:val="("/>
            <m:endChr m:val=")"/>
            <m:sepChr m:val=""/>
            <m:grow/>
          </m:dPr>
          <m:e>
            <m:r>
              <m:t>w</m:t>
            </m:r>
            <m:d>
              <m:dPr>
                <m:begChr m:val="("/>
                <m:endChr m:val=")"/>
                <m:sepChr m:val=""/>
                <m:grow/>
              </m:dPr>
              <m:e>
                <m:r>
                  <m:t>m</m:t>
                </m:r>
              </m:e>
            </m:d>
            <m:r>
              <m:t> </m:t>
            </m:r>
            <m:r>
              <m:rPr>
                <m:sty m:val="p"/>
              </m:rPr>
              <m:t>mod</m:t>
            </m:r>
            <m:r>
              <m:t> </m:t>
            </m:r>
            <m:r>
              <m:t>2</m:t>
            </m:r>
          </m:e>
        </m:d>
      </m:oMath>
      <w:r>
        <w:t xml:space="preserve">, где</w:t>
      </w:r>
      <w:r>
        <w:t xml:space="preserve"> </w:t>
      </w:r>
      <m:oMath>
        <m:r>
          <m:t>w</m:t>
        </m:r>
      </m:oMath>
      <w:r>
        <w:t xml:space="preserve"> </w:t>
      </w:r>
      <w:r>
        <w:t xml:space="preserve">— число изменённых битов. Это объясняет роль добавленной координаты без привлечения философского толкования.</w:t>
      </w:r>
    </w:p>
    <w:bookmarkEnd w:id="30"/>
    <w:bookmarkStart w:id="31" w:name="Xdca24cd8cc5f62e4d2d94cf4c020655725e37c0"/>
    <w:p>
      <w:pPr>
        <w:pStyle w:val="Heading3"/>
        <w:widowControl/>
      </w:pPr>
      <w:r>
        <w:t xml:space="preserve">D3 Минимальность в точно указанном классе</w:t>
      </w:r>
    </w:p>
    <w:p>
      <w:pPr>
        <w:pStyle w:val="FirstParagraph"/>
        <w:widowControl/>
      </w:pPr>
      <w:r>
        <w:t xml:space="preserve">Рассмотрим истинное линейное представление</w:t>
      </w:r>
      <w:r>
        <w:t xml:space="preserve"> </w:t>
      </w:r>
      <m:oMath>
        <m:sSubSup>
          <m:e>
            <m:r>
              <m:rPr>
                <m:sty m:val="p"/>
                <m:scr m:val="double-struck"/>
              </m:rPr>
              <m:t>F</m:t>
            </m:r>
          </m:e>
          <m:sub>
            <m:r>
              <m:t>2</m:t>
            </m:r>
          </m:sub>
          <m:sup>
            <m:r>
              <m:t>6</m:t>
            </m:r>
          </m:sup>
        </m:sSubSup>
      </m:oMath>
      <w:r>
        <w:t xml:space="preserve"> </w:t>
      </w:r>
      <w:r>
        <w:t xml:space="preserve">действительными диагональными знаковыми матрицами размера</w:t>
      </w:r>
      <w:r>
        <w:t xml:space="preserve"> </w:t>
      </w:r>
      <m:oMath>
        <m:r>
          <m:t>d</m:t>
        </m:r>
      </m:oMath>
      <w:r>
        <w:t xml:space="preserve">. Его диагональные элементы — характеры</w:t>
      </w:r>
      <w:r>
        <w:t xml:space="preserve"> </w:t>
      </w:r>
      <m:oMath>
        <m:sSub>
          <m:e>
            <m:r>
              <m:t>χ</m:t>
            </m:r>
          </m:e>
          <m:sub>
            <m:r>
              <m:t>1</m:t>
            </m:r>
          </m:sub>
        </m:sSub>
        <m:r>
          <m:rPr>
            <m:sty m:val="p"/>
          </m:rPr>
          <m:t>,</m:t>
        </m:r>
        <m:r>
          <m:rPr>
            <m:sty m:val="p"/>
          </m:rPr>
          <m:t>…</m:t>
        </m:r>
        <m:r>
          <m:rPr>
            <m:sty m:val="p"/>
          </m:rPr>
          <m:t>,</m:t>
        </m:r>
        <m:sSub>
          <m:e>
            <m:r>
              <m:t>χ</m:t>
            </m:r>
          </m:e>
          <m:sub>
            <m:r>
              <m:t>d</m:t>
            </m:r>
          </m:sub>
        </m:sSub>
      </m:oMath>
      <w:r>
        <w:t xml:space="preserve"> </w:t>
      </w:r>
      <w:r>
        <w:t xml:space="preserve">со значениями</w:t>
      </w:r>
      <w:r>
        <w:t xml:space="preserve"> </w:t>
      </w:r>
      <m:oMath>
        <m:r>
          <m:rPr>
            <m:sty m:val="p"/>
          </m:rPr>
          <m:t>±</m:t>
        </m:r>
        <m:r>
          <m:t>1</m:t>
        </m:r>
      </m:oMath>
      <w:r>
        <w:t xml:space="preserve">. Проективное действие различает только отношения</w:t>
      </w:r>
      <w:r>
        <w:t xml:space="preserve"> </w:t>
      </w:r>
      <m:oMath>
        <m:sSub>
          <m:e>
            <m:r>
              <m:t>χ</m:t>
            </m:r>
          </m:e>
          <m:sub>
            <m:r>
              <m:t>i</m:t>
            </m:r>
          </m:sub>
        </m:sSub>
        <m:sSub>
          <m:e>
            <m:r>
              <m:t>χ</m:t>
            </m:r>
          </m:e>
          <m:sub>
            <m:r>
              <m:t>d</m:t>
            </m:r>
          </m:sub>
        </m:sSub>
      </m:oMath>
      <w:r>
        <w:t xml:space="preserve">, то есть не более</w:t>
      </w:r>
      <w:r>
        <w:t xml:space="preserve"> </w:t>
      </w:r>
      <m:oMath>
        <m:r>
          <m:t>d</m:t>
        </m:r>
        <m:r>
          <m:rPr>
            <m:sty m:val="p"/>
          </m:rPr>
          <m:t>−</m:t>
        </m:r>
        <m:r>
          <m:t>1</m:t>
        </m:r>
      </m:oMath>
      <w:r>
        <w:t xml:space="preserve"> </w:t>
      </w:r>
      <w:r>
        <w:t xml:space="preserve">независимых двоичных признаков. Для верного проективного действия нужны шесть независимых характеров, откуда</w:t>
      </w:r>
      <w:r>
        <w:t xml:space="preserve"> </w:t>
      </w:r>
      <m:oMath>
        <m:r>
          <m:t>d</m:t>
        </m:r>
        <m:r>
          <m:rPr>
            <m:sty m:val="p"/>
          </m:rPr>
          <m:t>≥</m:t>
        </m:r>
        <m:r>
          <m:t>7</m:t>
        </m:r>
      </m:oMath>
      <w:r>
        <w:t xml:space="preserve">. Наличие свободной орбиты из 64 точек также требует этой верности. Представление D1 достигает границы.</w:t>
      </w:r>
    </w:p>
    <w:p>
      <w:pPr>
        <w:pStyle w:val="BodyText"/>
        <w:widowControl/>
      </w:pPr>
      <w:r>
        <w:t xml:space="preserve">Это не минимальная размерность любого размещения 64 точек: на</w:t>
      </w:r>
      <w:r>
        <w:t xml:space="preserve"> </w:t>
      </w:r>
      <m:oMath>
        <m:sSup>
          <m:e>
            <m:r>
              <m:rPr>
                <m:sty m:val="p"/>
                <m:scr m:val="double-struck"/>
              </m:rPr>
              <m:t>P</m:t>
            </m:r>
          </m:e>
          <m:sup>
            <m:r>
              <m:t>1</m:t>
            </m:r>
          </m:sup>
        </m:sSup>
        <m:d>
          <m:dPr>
            <m:begChr m:val="("/>
            <m:endChr m:val=")"/>
            <m:sepChr m:val=""/>
            <m:grow/>
          </m:dPr>
          <m:e>
            <m:r>
              <m:rPr>
                <m:sty m:val="p"/>
                <m:scr m:val="double-struck"/>
              </m:rPr>
              <m:t>Q</m:t>
            </m:r>
          </m:e>
        </m:d>
      </m:oMath>
      <w:r>
        <w:t xml:space="preserve"> </w:t>
      </w:r>
      <w:r>
        <w:t xml:space="preserve">можно выбрать 64 различные рациональные точки. Утверждение относится именно к указанному знаковому линейному представлению группы с верным индуцированным проективным действием; произвольные проективные представления здесь не классифицируются.</w:t>
      </w:r>
    </w:p>
    <w:bookmarkEnd w:id="31"/>
    <w:bookmarkEnd w:id="32"/>
    <w:bookmarkStart w:id="34" w:name="X7fc103fef039c78c394e3332f79cd8c7ff1fbb3"/>
    <w:p>
      <w:pPr>
        <w:pStyle w:val="Heading2"/>
        <w:widowControl/>
      </w:pPr>
      <w:r>
        <w:t xml:space="preserve">6 Гармоническое дополнение и дополнительные данные</w:t>
      </w:r>
    </w:p>
    <w:bookmarkStart w:id="33" w:name="Xf36c64f37102a640ef07ac6b45277a63f6199d5"/>
    <w:p>
      <w:pPr>
        <w:pStyle w:val="Heading3"/>
        <w:widowControl/>
      </w:pPr>
      <w:r>
        <w:t xml:space="preserve">D4 Четвёрка и отсутствие внутренних третьих точек</w:t>
      </w:r>
    </w:p>
    <w:p>
      <w:pPr>
        <w:pStyle w:val="FirstParagraph"/>
        <w:widowControl/>
      </w:pPr>
      <w:r>
        <w:t xml:space="preserve">Для двух различных состояний выберем именно подъёмы</w:t>
      </w:r>
      <w:r>
        <w:t xml:space="preserve"> </w:t>
      </w:r>
      <m:oMath>
        <m:r>
          <m:t>v</m:t>
        </m:r>
        <m:r>
          <m:rPr>
            <m:sty m:val="p"/>
          </m:rPr>
          <m:t>=</m:t>
        </m:r>
        <m:r>
          <m:t>v</m:t>
        </m:r>
        <m:d>
          <m:dPr>
            <m:begChr m:val="("/>
            <m:endChr m:val=")"/>
            <m:sepChr m:val=""/>
            <m:grow/>
          </m:dPr>
          <m:e>
            <m:r>
              <m:t>h</m:t>
            </m:r>
          </m:e>
        </m:d>
      </m:oMath>
      <w:r>
        <w:t xml:space="preserve"> </w:t>
      </w:r>
      <w:r>
        <w:t xml:space="preserve">и</w:t>
      </w:r>
      <w:r>
        <w:t xml:space="preserve"> </w:t>
      </w:r>
      <m:oMath>
        <m:r>
          <m:t>w</m:t>
        </m:r>
        <m:r>
          <m:rPr>
            <m:sty m:val="p"/>
          </m:rPr>
          <m:t>=</m:t>
        </m:r>
        <m:r>
          <m:t>v</m:t>
        </m:r>
        <m:d>
          <m:dPr>
            <m:begChr m:val="("/>
            <m:endChr m:val=")"/>
            <m:sepChr m:val=""/>
            <m:grow/>
          </m:dPr>
          <m:e>
            <m:r>
              <m:t>k</m:t>
            </m:r>
          </m:e>
        </m:d>
      </m:oMath>
      <w:r>
        <w:t xml:space="preserve"> </w:t>
      </w:r>
      <w:r>
        <w:t xml:space="preserve">из P20. На их двумерной линейной оболочке зададим</w:t>
      </w:r>
    </w:p>
    <w:p>
      <w:pPr>
        <w:pStyle w:val="BodyText"/>
        <w:widowControl/>
      </w:pPr>
      <m:oMathPara>
        <m:oMathParaPr>
          <m:jc m:val="center"/>
        </m:oMathParaPr>
        <m:oMath>
          <m:r>
            <m:t>R</m:t>
          </m:r>
          <m:r>
            <m:rPr>
              <m:sty m:val="p"/>
            </m:rPr>
            <m:t>=</m:t>
          </m:r>
          <m:d>
            <m:dPr>
              <m:begChr m:val="["/>
              <m:endChr m:val="]"/>
              <m:sepChr m:val=""/>
              <m:grow/>
            </m:dPr>
            <m:e>
              <m:r>
                <m:t>v</m:t>
              </m:r>
            </m:e>
          </m:d>
          <m:r>
            <m:rPr>
              <m:sty m:val="p"/>
            </m:rPr>
            <m:t>,</m:t>
          </m:r>
          <m:r>
            <m:t> </m:t>
          </m:r>
          <m:r>
            <m:t>I</m:t>
          </m:r>
          <m:r>
            <m:rPr>
              <m:sty m:val="p"/>
            </m:rPr>
            <m:t>=</m:t>
          </m:r>
          <m:d>
            <m:dPr>
              <m:begChr m:val="["/>
              <m:endChr m:val="]"/>
              <m:sepChr m:val=""/>
              <m:grow/>
            </m:dPr>
            <m:e>
              <m:r>
                <m:t>w</m:t>
              </m:r>
            </m:e>
          </m:d>
          <m:r>
            <m:rPr>
              <m:sty m:val="p"/>
            </m:rPr>
            <m:t>,</m:t>
          </m:r>
          <m:r>
            <m:t> </m:t>
          </m:r>
          <m:r>
            <m:t>U</m:t>
          </m:r>
          <m:r>
            <m:rPr>
              <m:sty m:val="p"/>
            </m:rPr>
            <m:t>=</m:t>
          </m:r>
          <m:d>
            <m:dPr>
              <m:begChr m:val="["/>
              <m:endChr m:val="]"/>
              <m:sepChr m:val=""/>
              <m:grow/>
            </m:dPr>
            <m:e>
              <m:r>
                <m:t>v</m:t>
              </m:r>
              <m:r>
                <m:rPr>
                  <m:sty m:val="p"/>
                </m:rPr>
                <m:t>+</m:t>
              </m:r>
              <m:r>
                <m:t>w</m:t>
              </m:r>
            </m:e>
          </m:d>
          <m:r>
            <m:rPr>
              <m:sty m:val="p"/>
            </m:rPr>
            <m:t>,</m:t>
          </m:r>
          <m:r>
            <m:t> </m:t>
          </m:r>
          <m:r>
            <m:t>D</m:t>
          </m:r>
          <m:r>
            <m:rPr>
              <m:sty m:val="p"/>
            </m:rPr>
            <m:t>=</m:t>
          </m:r>
          <m:d>
            <m:dPr>
              <m:begChr m:val="["/>
              <m:endChr m:val="]"/>
              <m:sepChr m:val=""/>
              <m:grow/>
            </m:dPr>
            <m:e>
              <m:r>
                <m:t>v</m:t>
              </m:r>
              <m:r>
                <m:rPr>
                  <m:sty m:val="p"/>
                </m:rPr>
                <m:t>+</m:t>
              </m:r>
              <m:r>
                <m:t>2</m:t>
              </m:r>
              <m:r>
                <m:t>w</m:t>
              </m:r>
            </m:e>
          </m:d>
          <m:r>
            <m:rPr>
              <m:sty m:val="p"/>
            </m:rPr>
            <m:t>.</m:t>
          </m:r>
        </m:oMath>
      </m:oMathPara>
    </w:p>
    <w:p>
      <w:pPr>
        <w:pStyle w:val="FirstParagraph"/>
        <w:widowControl/>
      </w:pPr>
      <w:r>
        <w:t xml:space="preserve">В принятой в монографии конвенции</w:t>
      </w:r>
    </w:p>
    <w:p>
      <w:pPr>
        <w:pStyle w:val="BodyText"/>
        <w:widowControl/>
      </w:pPr>
      <m:oMathPara>
        <m:oMathParaPr>
          <m:jc m:val="center"/>
        </m:oMathParaPr>
        <m:oMath>
          <m:r>
            <m:t>λ</m:t>
          </m:r>
          <m:d>
            <m:dPr>
              <m:begChr m:val="("/>
              <m:endChr m:val=")"/>
              <m:sepChr m:val=""/>
              <m:grow/>
            </m:dPr>
            <m:e>
              <m:r>
                <m:t>R</m:t>
              </m:r>
              <m:r>
                <m:rPr>
                  <m:sty m:val="p"/>
                </m:rPr>
                <m:t>,</m:t>
              </m:r>
              <m:r>
                <m:t>I</m:t>
              </m:r>
              <m:r>
                <m:rPr>
                  <m:sty m:val="p"/>
                </m:rPr>
                <m:t>,</m:t>
              </m:r>
              <m:r>
                <m:t>U</m:t>
              </m:r>
              <m:r>
                <m:rPr>
                  <m:sty m:val="p"/>
                </m:rPr>
                <m:t>,</m:t>
              </m:r>
              <m:r>
                <m:t>D</m:t>
              </m:r>
            </m:e>
          </m:d>
          <m:r>
            <m:rPr>
              <m:sty m:val="p"/>
            </m:rPr>
            <m:t>=</m:t>
          </m:r>
          <m:f>
            <m:fPr>
              <m:type m:val="bar"/>
            </m:fPr>
            <m:num>
              <m:r>
                <m:rPr>
                  <m:sty m:val="p"/>
                </m:rPr>
                <m:t>det</m:t>
              </m:r>
              <m:d>
                <m:dPr>
                  <m:begChr m:val="("/>
                  <m:endChr m:val=")"/>
                  <m:sepChr m:val=""/>
                  <m:grow/>
                </m:dPr>
                <m:e>
                  <m:r>
                    <m:t>U</m:t>
                  </m:r>
                  <m:r>
                    <m:rPr>
                      <m:sty m:val="p"/>
                    </m:rPr>
                    <m:t>,</m:t>
                  </m:r>
                  <m:r>
                    <m:t>R</m:t>
                  </m:r>
                </m:e>
              </m:d>
              <m:r>
                <m:rPr>
                  <m:sty m:val="p"/>
                </m:rPr>
                <m:t>det</m:t>
              </m:r>
              <m:d>
                <m:dPr>
                  <m:begChr m:val="("/>
                  <m:endChr m:val=")"/>
                  <m:sepChr m:val=""/>
                  <m:grow/>
                </m:dPr>
                <m:e>
                  <m:r>
                    <m:t>I</m:t>
                  </m:r>
                  <m:r>
                    <m:rPr>
                      <m:sty m:val="p"/>
                    </m:rPr>
                    <m:t>,</m:t>
                  </m:r>
                  <m:r>
                    <m:t>D</m:t>
                  </m:r>
                </m:e>
              </m:d>
            </m:num>
            <m:den>
              <m:r>
                <m:rPr>
                  <m:sty m:val="p"/>
                </m:rPr>
                <m:t>det</m:t>
              </m:r>
              <m:d>
                <m:dPr>
                  <m:begChr m:val="("/>
                  <m:endChr m:val=")"/>
                  <m:sepChr m:val=""/>
                  <m:grow/>
                </m:dPr>
                <m:e>
                  <m:r>
                    <m:t>U</m:t>
                  </m:r>
                  <m:r>
                    <m:rPr>
                      <m:sty m:val="p"/>
                    </m:rPr>
                    <m:t>,</m:t>
                  </m:r>
                  <m:r>
                    <m:t>D</m:t>
                  </m:r>
                </m:e>
              </m:d>
              <m:r>
                <m:rPr>
                  <m:sty m:val="p"/>
                </m:rPr>
                <m:t>det</m:t>
              </m:r>
              <m:d>
                <m:dPr>
                  <m:begChr m:val="("/>
                  <m:endChr m:val=")"/>
                  <m:sepChr m:val=""/>
                  <m:grow/>
                </m:dPr>
                <m:e>
                  <m:r>
                    <m:t>I</m:t>
                  </m:r>
                  <m:r>
                    <m:rPr>
                      <m:sty m:val="p"/>
                    </m:rPr>
                    <m:t>,</m:t>
                  </m:r>
                  <m:r>
                    <m:t>R</m:t>
                  </m:r>
                </m:e>
              </m:d>
            </m:den>
          </m:f>
          <m:r>
            <m:rPr>
              <m:sty m:val="p"/>
            </m:rPr>
            <m:t>=</m:t>
          </m:r>
          <m:r>
            <m:rPr>
              <m:sty m:val="p"/>
            </m:rPr>
            <m:t>−</m:t>
          </m:r>
          <m:r>
            <m:t>1</m:t>
          </m:r>
          <m:r>
            <m:rPr>
              <m:sty m:val="p"/>
            </m:rPr>
            <m:t>.</m:t>
          </m:r>
        </m:oMath>
      </m:oMathPara>
    </w:p>
    <w:p>
      <w:pPr>
        <w:pStyle w:val="FirstParagraph"/>
        <w:widowControl/>
      </w:pPr>
      <w:r>
        <w:t xml:space="preserve">Достаточно вычислить это для координат</w:t>
      </w:r>
      <w:r>
        <w:t xml:space="preserve"> </w:t>
      </w:r>
      <m:oMath>
        <m:d>
          <m:dPr>
            <m:begChr m:val="("/>
            <m:endChr m:val=")"/>
            <m:sepChr m:val=""/>
            <m:grow/>
          </m:dPr>
          <m:e>
            <m:r>
              <m:t>1</m:t>
            </m:r>
            <m:r>
              <m:rPr>
                <m:sty m:val="p"/>
              </m:rPr>
              <m:t>,</m:t>
            </m:r>
            <m:r>
              <m:t>0</m:t>
            </m:r>
          </m:e>
        </m:d>
        <m:r>
          <m:rPr>
            <m:sty m:val="p"/>
          </m:rPr>
          <m:t>,</m:t>
        </m:r>
        <m:d>
          <m:dPr>
            <m:begChr m:val="("/>
            <m:endChr m:val=")"/>
            <m:sepChr m:val=""/>
            <m:grow/>
          </m:dPr>
          <m:e>
            <m:r>
              <m:t>0</m:t>
            </m:r>
            <m:r>
              <m:rPr>
                <m:sty m:val="p"/>
              </m:rPr>
              <m:t>,</m:t>
            </m:r>
            <m:r>
              <m:t>1</m:t>
            </m:r>
          </m:e>
        </m:d>
        <m:r>
          <m:rPr>
            <m:sty m:val="p"/>
          </m:rPr>
          <m:t>,</m:t>
        </m:r>
        <m:d>
          <m:dPr>
            <m:begChr m:val="("/>
            <m:endChr m:val=")"/>
            <m:sepChr m:val=""/>
            <m:grow/>
          </m:dPr>
          <m:e>
            <m:r>
              <m:t>1</m:t>
            </m:r>
            <m:r>
              <m:rPr>
                <m:sty m:val="p"/>
              </m:rPr>
              <m:t>,</m:t>
            </m:r>
            <m:r>
              <m:t>1</m:t>
            </m:r>
          </m:e>
        </m:d>
        <m:r>
          <m:rPr>
            <m:sty m:val="p"/>
          </m:rPr>
          <m:t>,</m:t>
        </m:r>
        <m:d>
          <m:dPr>
            <m:begChr m:val="("/>
            <m:endChr m:val=")"/>
            <m:sepChr m:val=""/>
            <m:grow/>
          </m:dPr>
          <m:e>
            <m:r>
              <m:t>1</m:t>
            </m:r>
            <m:r>
              <m:rPr>
                <m:sty m:val="p"/>
              </m:rPr>
              <m:t>,</m:t>
            </m:r>
            <m:r>
              <m:t>2</m:t>
            </m:r>
          </m:e>
        </m:d>
      </m:oMath>
      <w:r>
        <w:t xml:space="preserve">. Все четыре точки различны над</w:t>
      </w:r>
      <w:r>
        <w:t xml:space="preserve"> </w:t>
      </w:r>
      <m:oMath>
        <m:r>
          <m:rPr>
            <m:sty m:val="p"/>
            <m:scr m:val="double-struck"/>
          </m:rPr>
          <m:t>Q</m:t>
        </m:r>
      </m:oMath>
      <w:r>
        <w:t xml:space="preserve"> </w:t>
      </w:r>
      <w:r>
        <w:t xml:space="preserve">и</w:t>
      </w:r>
      <w:r>
        <w:t xml:space="preserve"> </w:t>
      </w:r>
      <m:oMath>
        <m:r>
          <m:rPr>
            <m:sty m:val="p"/>
            <m:scr m:val="double-struck"/>
          </m:rPr>
          <m:t>R</m:t>
        </m:r>
      </m:oMath>
      <w:r>
        <w:t xml:space="preserve">. При характеристике два такое невырожденное построение не работает. Число упорядоченных исходных пар равно</w:t>
      </w:r>
      <w:r>
        <w:t xml:space="preserve"> </w:t>
      </w:r>
      <m:oMath>
        <m:r>
          <m:t>64</m:t>
        </m:r>
        <m:r>
          <m:rPr>
            <m:sty m:val="p"/>
          </m:rPr>
          <m:t>⋅</m:t>
        </m:r>
        <m:r>
          <m:t>63</m:t>
        </m:r>
        <m:r>
          <m:rPr>
            <m:sty m:val="p"/>
          </m:rPr>
          <m:t>=</m:t>
        </m:r>
        <m:r>
          <m:t>4032</m:t>
        </m:r>
      </m:oMath>
      <w:r>
        <w:t xml:space="preserve">; это число входов конструкции, не подсчёт классов четвёрок с точностью до всех симметрий.</w:t>
      </w:r>
    </w:p>
    <w:p>
      <w:pPr>
        <w:pStyle w:val="BodyText"/>
        <w:widowControl/>
      </w:pPr>
      <w:r>
        <w:t xml:space="preserve">Три различные точки</w:t>
      </w:r>
      <w:r>
        <w:t xml:space="preserve"> </w:t>
      </w:r>
      <m:oMath>
        <m:r>
          <m:t>j</m:t>
        </m:r>
        <m:d>
          <m:dPr>
            <m:begChr m:val="("/>
            <m:endChr m:val=")"/>
            <m:sepChr m:val=""/>
            <m:grow/>
          </m:dPr>
          <m:e>
            <m:r>
              <m:t>H</m:t>
            </m:r>
          </m:e>
        </m:d>
      </m:oMath>
      <w:r>
        <w:t xml:space="preserve"> </w:t>
      </w:r>
      <w:r>
        <w:t xml:space="preserve">не лежат на одной прямой. По D2 они имеют аффинные координаты</w:t>
      </w:r>
      <w:r>
        <w:t xml:space="preserve"> </w:t>
      </w:r>
      <m:oMath>
        <m:r>
          <m:rPr>
            <m:sty m:val="p"/>
          </m:rPr>
          <m:t>±</m:t>
        </m:r>
        <m:r>
          <m:t>1</m:t>
        </m:r>
      </m:oMath>
      <w:r>
        <w:t xml:space="preserve">. Если точка</w:t>
      </w:r>
      <w:r>
        <w:t xml:space="preserve"> </w:t>
      </w:r>
      <m:oMath>
        <m:r>
          <m:t>c</m:t>
        </m:r>
        <m:r>
          <m:rPr>
            <m:sty m:val="p"/>
          </m:rPr>
          <m:t>=</m:t>
        </m:r>
        <m:r>
          <m:t>a</m:t>
        </m:r>
        <m:r>
          <m:rPr>
            <m:sty m:val="p"/>
          </m:rPr>
          <m:t>+</m:t>
        </m:r>
        <m:r>
          <m:t>u</m:t>
        </m:r>
        <m:d>
          <m:dPr>
            <m:begChr m:val="("/>
            <m:endChr m:val=")"/>
            <m:sepChr m:val=""/>
            <m:grow/>
          </m:dPr>
          <m:e>
            <m:r>
              <m:t>b</m:t>
            </m:r>
            <m:r>
              <m:rPr>
                <m:sty m:val="p"/>
              </m:rPr>
              <m:t>−</m:t>
            </m:r>
            <m:r>
              <m:t>a</m:t>
            </m:r>
          </m:e>
        </m:d>
      </m:oMath>
      <w:r>
        <w:t xml:space="preserve"> </w:t>
      </w:r>
      <w:r>
        <w:t xml:space="preserve">снова имеет такие координаты, то на любой координате, где</w:t>
      </w:r>
      <w:r>
        <w:t xml:space="preserve"> </w:t>
      </w:r>
      <m:oMath>
        <m:r>
          <m:t>a</m:t>
        </m:r>
      </m:oMath>
      <w:r>
        <w:t xml:space="preserve"> </w:t>
      </w:r>
      <w:r>
        <w:t xml:space="preserve">и</w:t>
      </w:r>
      <w:r>
        <w:t xml:space="preserve"> </w:t>
      </w:r>
      <m:oMath>
        <m:r>
          <m:t>b</m:t>
        </m:r>
      </m:oMath>
      <w:r>
        <w:t xml:space="preserve"> </w:t>
      </w:r>
      <w:r>
        <w:t xml:space="preserve">отличаются, возможно только</w:t>
      </w:r>
      <w:r>
        <w:t xml:space="preserve"> </w:t>
      </w:r>
      <m:oMath>
        <m:r>
          <m:t>u</m:t>
        </m:r>
        <m:r>
          <m:rPr>
            <m:sty m:val="p"/>
          </m:rPr>
          <m:t>=</m:t>
        </m:r>
        <m:r>
          <m:t>0</m:t>
        </m:r>
      </m:oMath>
      <w:r>
        <w:t xml:space="preserve"> </w:t>
      </w:r>
      <w:r>
        <w:t xml:space="preserve">или</w:t>
      </w:r>
      <w:r>
        <w:t xml:space="preserve"> </w:t>
      </w:r>
      <m:oMath>
        <m:r>
          <m:t>u</m:t>
        </m:r>
        <m:r>
          <m:rPr>
            <m:sty m:val="p"/>
          </m:rPr>
          <m:t>=</m:t>
        </m:r>
        <m:r>
          <m:t>1</m:t>
        </m:r>
      </m:oMath>
      <w:r>
        <w:t xml:space="preserve">. Значит, третья точка совпадает с концом. Поэтому</w:t>
      </w:r>
      <w:r>
        <w:t xml:space="preserve"> </w:t>
      </w:r>
      <m:oMath>
        <m:r>
          <m:t>U</m:t>
        </m:r>
      </m:oMath>
      <w:r>
        <w:t xml:space="preserve"> </w:t>
      </w:r>
      <w:r>
        <w:t xml:space="preserve">и</w:t>
      </w:r>
      <w:r>
        <w:t xml:space="preserve"> </w:t>
      </w:r>
      <m:oMath>
        <m:r>
          <m:t>D</m:t>
        </m:r>
      </m:oMath>
      <w:r>
        <w:t xml:space="preserve"> </w:t>
      </w:r>
      <w:r>
        <w:t xml:space="preserve">неизбежно лежат вне множества 64 состояний.</w:t>
      </w:r>
    </w:p>
    <w:p>
      <w:pPr>
        <w:pStyle w:val="BodyText"/>
        <w:widowControl/>
      </w:pPr>
      <w:r>
        <w:t xml:space="preserve">Отсюда следует точное ограничение: гармоническое дополнение создаёт вспомогательные реперные точки расширенного пространства. Оно не является операцией, замкнутой на гексаграммах.</w:t>
      </w:r>
    </w:p>
    <w:p>
      <w:pPr>
        <w:pStyle w:val="BodyText"/>
        <w:widowControl/>
      </w:pPr>
      <w:r>
        <w:t xml:space="preserve">Пара проективных точек без подъёмов не определяет выбранные</w:t>
      </w:r>
      <w:r>
        <w:t xml:space="preserve"> </w:t>
      </w:r>
      <m:oMath>
        <m:r>
          <m:t>U</m:t>
        </m:r>
        <m:r>
          <m:rPr>
            <m:sty m:val="p"/>
          </m:rPr>
          <m:t>,</m:t>
        </m:r>
        <m:r>
          <m:t>D</m:t>
        </m:r>
      </m:oMath>
      <w:r>
        <w:t xml:space="preserve">. Замена</w:t>
      </w:r>
      <w:r>
        <w:t xml:space="preserve"> </w:t>
      </w:r>
      <m:oMath>
        <m:r>
          <m:t>v</m:t>
        </m:r>
      </m:oMath>
      <w:r>
        <w:t xml:space="preserve"> </w:t>
      </w:r>
      <w:r>
        <w:t xml:space="preserve">на</w:t>
      </w:r>
      <w:r>
        <w:t xml:space="preserve"> </w:t>
      </w:r>
      <m:oMath>
        <m:r>
          <m:t>a</m:t>
        </m:r>
        <m:r>
          <m:t>v</m:t>
        </m:r>
      </m:oMath>
      <w:r>
        <w:t xml:space="preserve"> </w:t>
      </w:r>
      <w:r>
        <w:t xml:space="preserve">и</w:t>
      </w:r>
      <w:r>
        <w:t xml:space="preserve"> </w:t>
      </w:r>
      <m:oMath>
        <m:r>
          <m:t>w</m:t>
        </m:r>
      </m:oMath>
      <w:r>
        <w:t xml:space="preserve"> </w:t>
      </w:r>
      <w:r>
        <w:t xml:space="preserve">на</w:t>
      </w:r>
      <w:r>
        <w:t xml:space="preserve"> </w:t>
      </w:r>
      <m:oMath>
        <m:r>
          <m:t>b</m:t>
        </m:r>
        <m:r>
          <m:t>w</m:t>
        </m:r>
      </m:oMath>
      <w:r>
        <w:t xml:space="preserve"> </w:t>
      </w:r>
      <w:r>
        <w:t xml:space="preserve">в общем случае меняет обе точки. Если дополнительно задана третья точка, гармонический партнёр определяется однозначно; в P22 третью точку выбирает подъём. Относительно выбранного XOR действия конструкция согласована: применение</w:t>
      </w:r>
      <w:r>
        <w:t xml:space="preserve"> </w:t>
      </w:r>
      <m:oMath>
        <m:r>
          <m:t>ρ</m:t>
        </m:r>
        <m:d>
          <m:dPr>
            <m:begChr m:val="("/>
            <m:endChr m:val=")"/>
            <m:sepChr m:val=""/>
            <m:grow/>
          </m:dPr>
          <m:e>
            <m:r>
              <m:t>m</m:t>
            </m:r>
          </m:e>
        </m:d>
      </m:oMath>
      <w:r>
        <w:t xml:space="preserve"> </w:t>
      </w:r>
      <w:r>
        <w:t xml:space="preserve">одновременно к</w:t>
      </w:r>
      <w:r>
        <w:t xml:space="preserve"> </w:t>
      </w:r>
      <m:oMath>
        <m:r>
          <m:t>v</m:t>
        </m:r>
        <m:r>
          <m:rPr>
            <m:sty m:val="p"/>
          </m:rPr>
          <m:t>,</m:t>
        </m:r>
        <m:r>
          <m:t>w</m:t>
        </m:r>
      </m:oMath>
      <w:r>
        <w:t xml:space="preserve"> </w:t>
      </w:r>
      <w:r>
        <w:t xml:space="preserve">переносит всю четвёрку. Это согласование с фиксированным подъёмом, а не канонический выбор из одной лишь неразмеченной проективной пары.</w:t>
      </w:r>
    </w:p>
    <w:p>
      <w:pPr>
        <w:pStyle w:val="BodyText"/>
        <w:widowControl/>
      </w:pPr>
      <w:r>
        <w:t xml:space="preserve">Проективное двойное отношение сохраняется при проективных преобразованиях прямой. Однако конкретные координатные функции извлечения α, например</w:t>
      </w:r>
      <w:r>
        <w:t xml:space="preserve"> </w:t>
      </w:r>
      <m:oMath>
        <m:d>
          <m:dPr>
            <m:begChr m:val="("/>
            <m:endChr m:val=")"/>
            <m:sepChr m:val=""/>
            <m:grow/>
          </m:dPr>
          <m:e>
            <m:sSubSup>
              <m:e>
                <m:r>
                  <m:t>x</m:t>
                </m:r>
              </m:e>
              <m:sub>
                <m:r>
                  <m:t>7</m:t>
                </m:r>
              </m:sub>
              <m:sup>
                <m:r>
                  <m:t>2</m:t>
                </m:r>
              </m:sup>
            </m:sSubSup>
            <m:r>
              <m:rPr>
                <m:sty m:val="p"/>
              </m:rPr>
              <m:t>−</m:t>
            </m:r>
            <m:sSub>
              <m:e>
                <m:r>
                  <m:t>x</m:t>
                </m:r>
              </m:e>
              <m:sub>
                <m:r>
                  <m:t>1</m:t>
                </m:r>
              </m:sub>
            </m:sSub>
            <m:sSub>
              <m:e>
                <m:r>
                  <m:t>x</m:t>
                </m:r>
              </m:e>
              <m:sub>
                <m:r>
                  <m:t>4</m:t>
                </m:r>
              </m:sub>
            </m:sSub>
          </m:e>
        </m:d>
        <m:r>
          <m:rPr>
            <m:sty m:val="p"/>
          </m:rPr>
          <m:t>/</m:t>
        </m:r>
        <m:d>
          <m:dPr>
            <m:begChr m:val="("/>
            <m:endChr m:val=")"/>
            <m:sepChr m:val=""/>
            <m:grow/>
          </m:dPr>
          <m:e>
            <m:r>
              <m:t>2</m:t>
            </m:r>
            <m:sSubSup>
              <m:e>
                <m:r>
                  <m:t>x</m:t>
                </m:r>
              </m:e>
              <m:sub>
                <m:r>
                  <m:t>7</m:t>
                </m:r>
              </m:sub>
              <m:sup>
                <m:r>
                  <m:t>2</m:t>
                </m:r>
              </m:sup>
            </m:sSubSup>
          </m:e>
        </m:d>
      </m:oMath>
      <w:r>
        <w:t xml:space="preserve">, не инвариантны относительно произвольного</w:t>
      </w:r>
      <w:r>
        <w:t xml:space="preserve"> </w:t>
      </w:r>
      <m:oMath>
        <m:r>
          <m:t>P</m:t>
        </m:r>
        <m:r>
          <m:t>G</m:t>
        </m:r>
        <m:sSub>
          <m:e>
            <m:r>
              <m:t>L</m:t>
            </m:r>
          </m:e>
          <m:sub>
            <m:r>
              <m:t>7</m:t>
            </m:r>
          </m:sub>
        </m:sSub>
      </m:oMath>
      <w:r>
        <w:t xml:space="preserve">. Совместимость Hodge в P21 опирается дополнительно на метрику и ориентацию. Эти три уровня инвариантности нельзя смешивать.</w:t>
      </w:r>
    </w:p>
    <w:bookmarkEnd w:id="33"/>
    <w:bookmarkEnd w:id="34"/>
    <w:bookmarkStart w:id="37" w:name="какие-операции-допускают-факторизацию"/>
    <w:p>
      <w:pPr>
        <w:pStyle w:val="Heading2"/>
        <w:widowControl/>
      </w:pPr>
      <w:r>
        <w:t xml:space="preserve">7 Какие операции допускают факторизацию</w:t>
      </w:r>
    </w:p>
    <w:bookmarkStart w:id="35" w:name="X056332b9683102a02329a695110d9c09ca9c2e1"/>
    <w:p>
      <w:pPr>
        <w:pStyle w:val="Heading3"/>
        <w:widowControl/>
      </w:pPr>
      <w:r>
        <w:t xml:space="preserve">D5 Аддитивный фактор не является фактором всех булевых операций</w:t>
      </w:r>
    </w:p>
    <w:p>
      <w:pPr>
        <w:pStyle w:val="FirstParagraph"/>
        <w:widowControl/>
      </w:pPr>
      <w:r>
        <w:t xml:space="preserve">Пусть</w:t>
      </w:r>
      <w:r>
        <w:t xml:space="preserve"> </w:t>
      </w:r>
      <m:oMath>
        <m:r>
          <m:t>I</m:t>
        </m:r>
        <m:r>
          <m:t>D</m:t>
        </m:r>
      </m:oMath>
      <w:r>
        <w:t xml:space="preserve"> </w:t>
      </w:r>
      <w:r>
        <w:t xml:space="preserve">— множество слов, симметричных относительно обращения порядка, как в N31. Возьмём</w:t>
      </w:r>
      <w:r>
        <w:t xml:space="preserve"> </w:t>
      </w:r>
      <m:oMath>
        <m:r>
          <m:t>u</m:t>
        </m:r>
        <m:r>
          <m:rPr>
            <m:sty m:val="p"/>
          </m:rPr>
          <m:t>=</m:t>
        </m:r>
        <m:r>
          <m:t>100001</m:t>
        </m:r>
        <m:r>
          <m:rPr>
            <m:sty m:val="p"/>
          </m:rPr>
          <m:t>∈</m:t>
        </m:r>
        <m:r>
          <m:t>I</m:t>
        </m:r>
        <m:r>
          <m:t>D</m:t>
        </m:r>
      </m:oMath>
      <w:r>
        <w:t xml:space="preserve">,</w:t>
      </w:r>
      <w:r>
        <w:t xml:space="preserve"> </w:t>
      </w:r>
      <m:oMath>
        <m:r>
          <m:t>x</m:t>
        </m:r>
        <m:r>
          <m:rPr>
            <m:sty m:val="p"/>
          </m:rPr>
          <m:t>=</m:t>
        </m:r>
        <m:r>
          <m:t>100000</m:t>
        </m:r>
      </m:oMath>
      <w:r>
        <w:t xml:space="preserve">. Тогда</w:t>
      </w:r>
      <w:r>
        <w:t xml:space="preserve"> </w:t>
      </w:r>
      <m:oMath>
        <m:r>
          <m:t>x</m:t>
        </m:r>
        <m:r>
          <m:rPr>
            <m:sty m:val="p"/>
          </m:rPr>
          <m:t>A</m:t>
        </m:r>
        <m:r>
          <m:rPr>
            <m:sty m:val="p"/>
          </m:rPr>
          <m:t>N</m:t>
        </m:r>
        <m:r>
          <m:rPr>
            <m:sty m:val="p"/>
          </m:rPr>
          <m:t>D</m:t>
        </m:r>
        <m:r>
          <m:t>u</m:t>
        </m:r>
        <m:r>
          <m:rPr>
            <m:sty m:val="p"/>
          </m:rPr>
          <m:t>=</m:t>
        </m:r>
        <m:r>
          <m:t>100000</m:t>
        </m:r>
        <m:r>
          <m:rPr>
            <m:sty m:val="p"/>
          </m:rPr>
          <m:t>∉</m:t>
        </m:r>
        <m:r>
          <m:t>I</m:t>
        </m:r>
        <m:r>
          <m:t>D</m:t>
        </m:r>
      </m:oMath>
      <w:r>
        <w:t xml:space="preserve">. Следовательно,</w:t>
      </w:r>
      <w:r>
        <w:t xml:space="preserve"> </w:t>
      </w:r>
      <m:oMath>
        <m:r>
          <m:t>I</m:t>
        </m:r>
        <m:r>
          <m:t>D</m:t>
        </m:r>
      </m:oMath>
      <w:r>
        <w:t xml:space="preserve"> </w:t>
      </w:r>
      <w:r>
        <w:t xml:space="preserve">не является идеалом покоординатного кольца.</w:t>
      </w:r>
    </w:p>
    <w:p>
      <w:pPr>
        <w:pStyle w:val="BodyText"/>
        <w:widowControl/>
      </w:pPr>
      <w:r>
        <w:t xml:space="preserve">В одном аддитивном классе находятся</w:t>
      </w:r>
      <w:r>
        <w:t xml:space="preserve"> </w:t>
      </w:r>
      <m:oMath>
        <m:r>
          <m:t>0</m:t>
        </m:r>
      </m:oMath>
      <w:r>
        <w:t xml:space="preserve"> </w:t>
      </w:r>
      <w:r>
        <w:t xml:space="preserve">и</w:t>
      </w:r>
      <w:r>
        <w:t xml:space="preserve"> </w:t>
      </w:r>
      <m:oMath>
        <m:r>
          <m:t>u</m:t>
        </m:r>
      </m:oMath>
      <w:r>
        <w:t xml:space="preserve">. Но умножение этих представителей на</w:t>
      </w:r>
      <w:r>
        <w:t xml:space="preserve"> </w:t>
      </w:r>
      <m:oMath>
        <m:r>
          <m:t>x</m:t>
        </m:r>
      </m:oMath>
      <w:r>
        <w:t xml:space="preserve"> </w:t>
      </w:r>
      <w:r>
        <w:t xml:space="preserve">даёт разные классы:</w:t>
      </w:r>
      <w:r>
        <w:t xml:space="preserve"> </w:t>
      </w:r>
      <m:oMath>
        <m:r>
          <m:t>0</m:t>
        </m:r>
        <m:r>
          <m:rPr>
            <m:sty m:val="p"/>
          </m:rPr>
          <m:t>+</m:t>
        </m:r>
        <m:r>
          <m:t>I</m:t>
        </m:r>
        <m:r>
          <m:t>D</m:t>
        </m:r>
      </m:oMath>
      <w:r>
        <w:t xml:space="preserve"> </w:t>
      </w:r>
      <w:r>
        <w:t xml:space="preserve">и</w:t>
      </w:r>
      <w:r>
        <w:t xml:space="preserve"> </w:t>
      </w:r>
      <m:oMath>
        <m:r>
          <m:t>100000</m:t>
        </m:r>
        <m:r>
          <m:rPr>
            <m:sty m:val="p"/>
          </m:rPr>
          <m:t>+</m:t>
        </m:r>
        <m:r>
          <m:t>I</m:t>
        </m:r>
        <m:r>
          <m:t>D</m:t>
        </m:r>
      </m:oMath>
      <w:r>
        <w:t xml:space="preserve">. Поэтому формула умножения классов в лемме 6 не определяет операцию независимо от представителя. При желании абстрактно перенести кольцевую структуру на восьмиэлементное множество нужен иной явно выбранный способ; это не исправляет опубликованную формулу.</w:t>
      </w:r>
    </w:p>
    <w:p>
      <w:pPr>
        <w:pStyle w:val="BodyText"/>
        <w:widowControl/>
      </w:pPr>
      <w:r>
        <w:t xml:space="preserve">Для собственного ядра</w:t>
      </w:r>
      <w:r>
        <w:t xml:space="preserve"> </w:t>
      </w:r>
      <m:oMath>
        <m:r>
          <m:t>K</m:t>
        </m:r>
      </m:oMath>
      <w:r>
        <w:t xml:space="preserve"> </w:t>
      </w:r>
      <w:r>
        <w:t xml:space="preserve">аналогично:</w:t>
      </w:r>
      <w:r>
        <w:t xml:space="preserve"> </w:t>
      </w:r>
      <m:oMath>
        <m:r>
          <m:t>000000</m:t>
        </m:r>
      </m:oMath>
      <w:r>
        <w:t xml:space="preserve"> </w:t>
      </w:r>
      <w:r>
        <w:t xml:space="preserve">и</w:t>
      </w:r>
      <w:r>
        <w:t xml:space="preserve"> </w:t>
      </w:r>
      <m:oMath>
        <m:r>
          <m:t>100100</m:t>
        </m:r>
      </m:oMath>
      <w:r>
        <w:t xml:space="preserve"> </w:t>
      </w:r>
      <w:r>
        <w:t xml:space="preserve">имеют одинаковый α, а их AND с</w:t>
      </w:r>
      <w:r>
        <w:t xml:space="preserve"> </w:t>
      </w:r>
      <m:oMath>
        <m:r>
          <m:t>100000</m:t>
        </m:r>
      </m:oMath>
      <w:r>
        <w:t xml:space="preserve"> </w:t>
      </w:r>
      <w:r>
        <w:t xml:space="preserve">имеет разные α. Таким образом, линейный фактор</w:t>
      </w:r>
      <w:r>
        <w:t xml:space="preserve"> </w:t>
      </w:r>
      <m:oMath>
        <m:r>
          <m:t>H</m:t>
        </m:r>
        <m:r>
          <m:rPr>
            <m:sty m:val="p"/>
          </m:rPr>
          <m:t>/</m:t>
        </m:r>
        <m:r>
          <m:t>K</m:t>
        </m:r>
      </m:oMath>
      <w:r>
        <w:t xml:space="preserve"> </w:t>
      </w:r>
      <w:r>
        <w:t xml:space="preserve">корректен для XOR, но перенос AND из</w:t>
      </w:r>
      <w:r>
        <w:t xml:space="preserve"> </w:t>
      </w:r>
      <m:oMath>
        <m:r>
          <m:t>H</m:t>
        </m:r>
      </m:oMath>
      <w:r>
        <w:t xml:space="preserve"> </w:t>
      </w:r>
      <w:r>
        <w:t xml:space="preserve">не определён. В матрице новизны это является ограничением обеих моделей, а не поводом объявить всю предшествующую алгебраизацию неверной.</w:t>
      </w:r>
    </w:p>
    <w:bookmarkEnd w:id="35"/>
    <w:bookmarkStart w:id="36" w:name="Xd2f51815e7956936b5d60c0b6296a5d3f44b8b4"/>
    <w:p>
      <w:pPr>
        <w:pStyle w:val="Heading3"/>
        <w:widowControl/>
      </w:pPr>
      <w:r>
        <w:t xml:space="preserve">D6 Точное сохранение выбранного результата</w:t>
      </w:r>
    </w:p>
    <w:p>
      <w:pPr>
        <w:pStyle w:val="FirstParagraph"/>
        <w:widowControl/>
      </w:pPr>
      <w:r>
        <w:t xml:space="preserve">Для кодировщика</w:t>
      </w:r>
      <w:r>
        <w:t xml:space="preserve"> </w:t>
      </w:r>
      <m:oMath>
        <m:r>
          <m:t>p</m:t>
        </m:r>
        <m:r>
          <m:rPr>
            <m:sty m:val="p"/>
          </m:rPr>
          <m:t>:</m:t>
        </m:r>
        <m:r>
          <m:t>S</m:t>
        </m:r>
        <m:r>
          <m:rPr>
            <m:sty m:val="p"/>
          </m:rPr>
          <m:t>→</m:t>
        </m:r>
        <m:r>
          <m:t>Y</m:t>
        </m:r>
      </m:oMath>
      <w:r>
        <w:t xml:space="preserve"> </w:t>
      </w:r>
      <w:r>
        <w:t xml:space="preserve">и цели</w:t>
      </w:r>
      <w:r>
        <w:t xml:space="preserve"> </w:t>
      </w:r>
      <m:oMath>
        <m:r>
          <m:t>q</m:t>
        </m:r>
        <m:r>
          <m:rPr>
            <m:sty m:val="p"/>
          </m:rPr>
          <m:t>:</m:t>
        </m:r>
        <m:r>
          <m:t>S</m:t>
        </m:r>
        <m:r>
          <m:rPr>
            <m:sty m:val="p"/>
          </m:rPr>
          <m:t>→</m:t>
        </m:r>
        <m:r>
          <m:t>Z</m:t>
        </m:r>
      </m:oMath>
      <w:r>
        <w:t xml:space="preserve"> </w:t>
      </w:r>
      <w:r>
        <w:t xml:space="preserve">функция</w:t>
      </w:r>
      <w:r>
        <w:t xml:space="preserve"> </w:t>
      </w:r>
      <m:oMath>
        <m:bar>
          <m:barPr>
            <m:pos m:val="top"/>
          </m:barPr>
          <m:e>
            <m:r>
              <m:t>q</m:t>
            </m:r>
          </m:e>
        </m:bar>
        <m:r>
          <m:rPr>
            <m:sty m:val="p"/>
          </m:rPr>
          <m:t>:</m:t>
        </m:r>
        <m:r>
          <m:t>p</m:t>
        </m:r>
        <m:d>
          <m:dPr>
            <m:begChr m:val="("/>
            <m:endChr m:val=")"/>
            <m:sepChr m:val=""/>
            <m:grow/>
          </m:dPr>
          <m:e>
            <m:r>
              <m:t>S</m:t>
            </m:r>
          </m:e>
        </m:d>
        <m:r>
          <m:rPr>
            <m:sty m:val="p"/>
          </m:rPr>
          <m:t>→</m:t>
        </m:r>
        <m:r>
          <m:t>Z</m:t>
        </m:r>
      </m:oMath>
      <w:r>
        <w:t xml:space="preserve"> </w:t>
      </w:r>
      <w:r>
        <w:t xml:space="preserve">с</w:t>
      </w:r>
      <w:r>
        <w:t xml:space="preserve"> </w:t>
      </w:r>
      <m:oMath>
        <m:r>
          <m:t>q</m:t>
        </m:r>
        <m:r>
          <m:rPr>
            <m:sty m:val="p"/>
          </m:rPr>
          <m:t>=</m:t>
        </m:r>
        <m:bar>
          <m:barPr>
            <m:pos m:val="top"/>
          </m:barPr>
          <m:e>
            <m:r>
              <m:t>q</m:t>
            </m:r>
          </m:e>
        </m:bar>
        <m:r>
          <m:rPr>
            <m:sty m:val="p"/>
          </m:rPr>
          <m:t>∘</m:t>
        </m:r>
        <m:r>
          <m:t>p</m:t>
        </m:r>
      </m:oMath>
      <w:r>
        <w:t xml:space="preserve"> </w:t>
      </w:r>
      <w:r>
        <w:t xml:space="preserve">существует тогда и только тогда, когда</w:t>
      </w:r>
    </w:p>
    <w:p>
      <w:pPr>
        <w:pStyle w:val="BodyText"/>
        <w:widowControl/>
      </w:pPr>
      <m:oMathPara>
        <m:oMathParaPr>
          <m:jc m:val="center"/>
        </m:oMathParaPr>
        <m:oMath>
          <m:r>
            <m:t>p</m:t>
          </m:r>
          <m:d>
            <m:dPr>
              <m:begChr m:val="("/>
              <m:endChr m:val=")"/>
              <m:sepChr m:val=""/>
              <m:grow/>
            </m:dPr>
            <m:e>
              <m:r>
                <m:t>s</m:t>
              </m:r>
            </m:e>
          </m:d>
          <m:r>
            <m:rPr>
              <m:sty m:val="p"/>
            </m:rPr>
            <m:t>=</m:t>
          </m:r>
          <m:r>
            <m:t>p</m:t>
          </m:r>
          <m:d>
            <m:dPr>
              <m:begChr m:val="("/>
              <m:endChr m:val=")"/>
              <m:sepChr m:val=""/>
              <m:grow/>
            </m:dPr>
            <m:e>
              <m:r>
                <m:t>t</m:t>
              </m:r>
            </m:e>
          </m:d>
          <m:r>
            <m:t> </m:t>
          </m:r>
          <m:r>
            <m:rPr>
              <m:sty m:val="p"/>
            </m:rPr>
            <m:t>⇒</m:t>
          </m:r>
          <m:r>
            <m:t> </m:t>
          </m:r>
          <m:r>
            <m:t>q</m:t>
          </m:r>
          <m:d>
            <m:dPr>
              <m:begChr m:val="("/>
              <m:endChr m:val=")"/>
              <m:sepChr m:val=""/>
              <m:grow/>
            </m:dPr>
            <m:e>
              <m:r>
                <m:t>s</m:t>
              </m:r>
            </m:e>
          </m:d>
          <m:r>
            <m:rPr>
              <m:sty m:val="p"/>
            </m:rPr>
            <m:t>=</m:t>
          </m:r>
          <m:r>
            <m:t>q</m:t>
          </m:r>
          <m:d>
            <m:dPr>
              <m:begChr m:val="("/>
              <m:endChr m:val=")"/>
              <m:sepChr m:val=""/>
              <m:grow/>
            </m:dPr>
            <m:e>
              <m:r>
                <m:t>t</m:t>
              </m:r>
            </m:e>
          </m:d>
          <m:r>
            <m:rPr>
              <m:sty m:val="p"/>
            </m:rPr>
            <m:t>.</m:t>
          </m:r>
        </m:oMath>
      </m:oMathPara>
    </w:p>
    <w:p>
      <w:pPr>
        <w:pStyle w:val="FirstParagraph"/>
        <w:widowControl/>
      </w:pPr>
      <w:r>
        <w:t xml:space="preserve">Необходимость непосредственна. Для достаточности определим</w:t>
      </w:r>
      <w:r>
        <w:t xml:space="preserve"> </w:t>
      </w:r>
      <m:oMath>
        <m:bar>
          <m:barPr>
            <m:pos m:val="top"/>
          </m:barPr>
          <m:e>
            <m:r>
              <m:t>q</m:t>
            </m:r>
          </m:e>
        </m:bar>
        <m:d>
          <m:dPr>
            <m:begChr m:val="("/>
            <m:endChr m:val=")"/>
            <m:sepChr m:val=""/>
            <m:grow/>
          </m:dPr>
          <m:e>
            <m:r>
              <m:t>p</m:t>
            </m:r>
            <m:d>
              <m:dPr>
                <m:begChr m:val="("/>
                <m:endChr m:val=")"/>
                <m:sepChr m:val=""/>
                <m:grow/>
              </m:dPr>
              <m:e>
                <m:r>
                  <m:t>s</m:t>
                </m:r>
              </m:e>
            </m:d>
          </m:e>
        </m:d>
        <m:r>
          <m:rPr>
            <m:sty m:val="p"/>
          </m:rPr>
          <m:t>=</m:t>
        </m:r>
        <m:r>
          <m:t>q</m:t>
        </m:r>
        <m:d>
          <m:dPr>
            <m:begChr m:val="("/>
            <m:endChr m:val=")"/>
            <m:sepChr m:val=""/>
            <m:grow/>
          </m:dPr>
          <m:e>
            <m:r>
              <m:t>s</m:t>
            </m:r>
          </m:e>
        </m:d>
      </m:oMath>
      <w:r>
        <w:t xml:space="preserve">; условие делает определение независимым от представителя. Это классический факт, уже явно так атрибутированный в KASVD R4M.1 [K3, §2]. Авторским является применение критерия к полям записей и решениям, а не открытие факторизации.</w:t>
      </w:r>
    </w:p>
    <w:p>
      <w:pPr>
        <w:pStyle w:val="BodyText"/>
        <w:widowControl/>
      </w:pPr>
      <w:r>
        <w:t xml:space="preserve">Для частичного закона</w:t>
      </w:r>
      <w:r>
        <w:t xml:space="preserve"> </w:t>
      </w:r>
      <m:oMath>
        <m:r>
          <m:t>T</m:t>
        </m:r>
        <m:r>
          <m:rPr>
            <m:sty m:val="p"/>
          </m:rPr>
          <m:t>:</m:t>
        </m:r>
        <m:r>
          <m:t>H</m:t>
        </m:r>
        <m:r>
          <m:rPr>
            <m:sty m:val="p"/>
          </m:rPr>
          <m:t>⇀</m:t>
        </m:r>
        <m:r>
          <m:t>H</m:t>
        </m:r>
      </m:oMath>
      <w:r>
        <w:t xml:space="preserve"> </w:t>
      </w:r>
      <w:r>
        <w:t xml:space="preserve">и точного равенства частичных отображений</w:t>
      </w:r>
      <w:r>
        <w:t xml:space="preserve"> </w:t>
      </w:r>
      <m:oMath>
        <m:r>
          <m:t>α</m:t>
        </m:r>
        <m:r>
          <m:rPr>
            <m:sty m:val="p"/>
          </m:rPr>
          <m:t>∘</m:t>
        </m:r>
        <m:r>
          <m:t>T</m:t>
        </m:r>
        <m:r>
          <m:rPr>
            <m:sty m:val="p"/>
          </m:rPr>
          <m:t>=</m:t>
        </m:r>
        <m:bar>
          <m:barPr>
            <m:pos m:val="top"/>
          </m:barPr>
          <m:e>
            <m:r>
              <m:t>T</m:t>
            </m:r>
          </m:e>
        </m:bar>
        <m:r>
          <m:rPr>
            <m:sty m:val="p"/>
          </m:rPr>
          <m:t>∘</m:t>
        </m:r>
        <m:r>
          <m:t>α</m:t>
        </m:r>
      </m:oMath>
      <w:r>
        <w:t xml:space="preserve"> </w:t>
      </w:r>
      <w:r>
        <w:t xml:space="preserve">необходимы два условия: область</w:t>
      </w:r>
      <w:r>
        <w:t xml:space="preserve"> </w:t>
      </w:r>
      <m:oMath>
        <m:r>
          <m:t>D</m:t>
        </m:r>
        <m:r>
          <m:rPr>
            <m:sty m:val="p"/>
          </m:rPr>
          <m:t>=</m:t>
        </m:r>
        <m:r>
          <m:rPr>
            <m:sty m:val="p"/>
          </m:rPr>
          <m:t>Dom</m:t>
        </m:r>
        <m:r>
          <m:t>T</m:t>
        </m:r>
      </m:oMath>
      <w:r>
        <w:t xml:space="preserve"> </w:t>
      </w:r>
      <w:r>
        <w:t xml:space="preserve">должна быть объединением целых слоёв α; внутри неё значение</w:t>
      </w:r>
      <w:r>
        <w:t xml:space="preserve"> </w:t>
      </w:r>
      <m:oMath>
        <m:r>
          <m:t>α</m:t>
        </m:r>
        <m:d>
          <m:dPr>
            <m:begChr m:val="("/>
            <m:endChr m:val=")"/>
            <m:sepChr m:val=""/>
            <m:grow/>
          </m:dPr>
          <m:e>
            <m:r>
              <m:t>T</m:t>
            </m:r>
            <m:d>
              <m:dPr>
                <m:begChr m:val="("/>
                <m:endChr m:val=")"/>
                <m:sepChr m:val=""/>
                <m:grow/>
              </m:dPr>
              <m:e>
                <m:r>
                  <m:t>h</m:t>
                </m:r>
              </m:e>
            </m:d>
          </m:e>
        </m:d>
      </m:oMath>
      <w:r>
        <w:t xml:space="preserve"> </w:t>
      </w:r>
      <w:r>
        <w:t xml:space="preserve">должно зависеть только от α(h). Первое условие требуется для совпадения областей определённости, второе — для совпадения значений. Вместе они достаточны.</w:t>
      </w:r>
    </w:p>
    <w:p>
      <w:pPr>
        <w:pStyle w:val="BodyText"/>
        <w:widowControl/>
      </w:pPr>
      <w:r>
        <w:t xml:space="preserve">Оба ограничения существенны. Тождество только на</w:t>
      </w:r>
      <w:r>
        <w:t xml:space="preserve"> </w:t>
      </w:r>
      <m:oMath>
        <m:sSub>
          <m:e>
            <m:r>
              <m:t>h</m:t>
            </m:r>
          </m:e>
          <m:sub>
            <m:r>
              <m:t>1</m:t>
            </m:r>
          </m:sub>
        </m:sSub>
        <m:r>
          <m:rPr>
            <m:sty m:val="p"/>
          </m:rPr>
          <m:t>=</m:t>
        </m:r>
        <m:r>
          <m:t>0</m:t>
        </m:r>
      </m:oMath>
      <w:r>
        <w:t xml:space="preserve"> </w:t>
      </w:r>
      <w:r>
        <w:t xml:space="preserve">не имеет насыщенного домена. Всюду определённое</w:t>
      </w:r>
      <w:r>
        <w:t xml:space="preserve"> </w:t>
      </w:r>
      <m:oMath>
        <m:r>
          <m:t>T</m:t>
        </m:r>
        <m:d>
          <m:dPr>
            <m:begChr m:val="("/>
            <m:endChr m:val=")"/>
            <m:sepChr m:val=""/>
            <m:grow/>
          </m:dPr>
          <m:e>
            <m:r>
              <m:t>h</m:t>
            </m:r>
          </m:e>
        </m:d>
        <m:r>
          <m:rPr>
            <m:sty m:val="p"/>
          </m:rPr>
          <m:t>=</m:t>
        </m:r>
        <m:r>
          <m:t>h</m:t>
        </m:r>
        <m:r>
          <m:rPr>
            <m:sty m:val="p"/>
          </m:rPr>
          <m:t>⊕</m:t>
        </m:r>
        <m:sSub>
          <m:e>
            <m:r>
              <m:t>h</m:t>
            </m:r>
          </m:e>
          <m:sub>
            <m:r>
              <m:t>1</m:t>
            </m:r>
          </m:sub>
        </m:sSub>
        <m:sSub>
          <m:e>
            <m:r>
              <m:t>e</m:t>
            </m:r>
          </m:e>
          <m:sub>
            <m:r>
              <m:t>1</m:t>
            </m:r>
          </m:sub>
        </m:sSub>
      </m:oMath>
      <w:r>
        <w:t xml:space="preserve"> </w:t>
      </w:r>
      <w:r>
        <w:t xml:space="preserve">не согласовано со слоями: состояния</w:t>
      </w:r>
      <w:r>
        <w:t xml:space="preserve"> </w:t>
      </w:r>
      <m:oMath>
        <m:r>
          <m:t>000000</m:t>
        </m:r>
      </m:oMath>
      <w:r>
        <w:t xml:space="preserve"> </w:t>
      </w:r>
      <w:r>
        <w:t xml:space="preserve">и</w:t>
      </w:r>
      <w:r>
        <w:t xml:space="preserve"> </w:t>
      </w:r>
      <m:oMath>
        <m:r>
          <m:t>100100</m:t>
        </m:r>
      </m:oMath>
      <w:r>
        <w:t xml:space="preserve"> </w:t>
      </w:r>
      <w:r>
        <w:t xml:space="preserve">имеют общий нулевой профиль, но выходные профили различны.</w:t>
      </w:r>
    </w:p>
    <w:p>
      <w:pPr>
        <w:pStyle w:val="BodyText"/>
        <w:widowControl/>
      </w:pPr>
      <w:r>
        <w:t xml:space="preserve">В матрице каналов из гл. 8</w:t>
      </w:r>
    </w:p>
    <w:p>
      <w:pPr>
        <w:pStyle w:val="BodyText"/>
        <w:widowControl/>
      </w:pPr>
      <m:oMathPara>
        <m:oMathParaPr>
          <m:jc m:val="center"/>
        </m:oMathParaPr>
        <m:oMath>
          <m:r>
            <m:t>A</m:t>
          </m:r>
          <m:r>
            <m:rPr>
              <m:sty m:val="p"/>
            </m:rPr>
            <m:t>=</m:t>
          </m:r>
          <m:d>
            <m:dPr>
              <m:begChr m:val="("/>
              <m:endChr m:val=")"/>
              <m:sepChr m:val=""/>
              <m:grow/>
            </m:dPr>
            <m:e>
              <m:m>
                <m:mPr>
                  <m:baseJc m:val="center"/>
                  <m:plcHide m:val="on"/>
                  <m:mcs>
                    <m:mc>
                      <m:mcPr>
                        <m:mcJc m:val="center"/>
                        <m:count m:val="1"/>
                      </m:mcPr>
                    </m:mc>
                    <m:mc>
                      <m:mcPr>
                        <m:mcJc m:val="center"/>
                        <m:count m:val="1"/>
                      </m:mcPr>
                    </m:mc>
                    <m:mc>
                      <m:mcPr>
                        <m:mcJc m:val="center"/>
                        <m:count m:val="1"/>
                      </m:mcPr>
                    </m:mc>
                  </m:mcs>
                </m:mPr>
                <m:mr>
                  <m:e>
                    <m:r>
                      <m:t>0</m:t>
                    </m:r>
                  </m:e>
                  <m:e>
                    <m:r>
                      <m:t>0</m:t>
                    </m:r>
                  </m:e>
                  <m:e>
                    <m:r>
                      <m:t>a</m:t>
                    </m:r>
                  </m:e>
                </m:mr>
                <m:mr>
                  <m:e>
                    <m:r>
                      <m:t>b</m:t>
                    </m:r>
                  </m:e>
                  <m:e>
                    <m:r>
                      <m:t>0</m:t>
                    </m:r>
                  </m:e>
                  <m:e>
                    <m:r>
                      <m:t>0</m:t>
                    </m:r>
                  </m:e>
                </m:mr>
                <m:mr>
                  <m:e>
                    <m:r>
                      <m:t>0</m:t>
                    </m:r>
                  </m:e>
                  <m:e>
                    <m:r>
                      <m:t>c</m:t>
                    </m:r>
                  </m:e>
                  <m:e>
                    <m:r>
                      <m:t>0</m:t>
                    </m:r>
                  </m:e>
                </m:mr>
              </m:m>
            </m:e>
          </m:d>
          <m:r>
            <m:rPr>
              <m:sty m:val="p"/>
            </m:rPr>
            <m:t>,</m:t>
          </m:r>
          <m:r>
            <m:t>  </m:t>
          </m:r>
          <m:sSup>
            <m:e>
              <m:r>
                <m:t>A</m:t>
              </m:r>
            </m:e>
            <m:sup>
              <m:r>
                <m:rPr>
                  <m:sty m:val="p"/>
                  <m:scr m:val="sans-serif"/>
                </m:rPr>
                <m:t>T</m:t>
              </m:r>
            </m:sup>
          </m:sSup>
          <m:r>
            <m:t>A</m:t>
          </m:r>
          <m:r>
            <m:rPr>
              <m:sty m:val="p"/>
            </m:rPr>
            <m:t>=</m:t>
          </m:r>
          <m:r>
            <m:rPr>
              <m:sty m:val="p"/>
            </m:rPr>
            <m:t>diag</m:t>
          </m:r>
          <m:d>
            <m:dPr>
              <m:begChr m:val="("/>
              <m:endChr m:val=")"/>
              <m:sepChr m:val=""/>
              <m:grow/>
            </m:dPr>
            <m:e>
              <m:sSup>
                <m:e>
                  <m:r>
                    <m:t>b</m:t>
                  </m:r>
                </m:e>
                <m:sup>
                  <m:r>
                    <m:t>2</m:t>
                  </m:r>
                </m:sup>
              </m:sSup>
              <m:r>
                <m:rPr>
                  <m:sty m:val="p"/>
                </m:rPr>
                <m:t>,</m:t>
              </m:r>
              <m:sSup>
                <m:e>
                  <m:r>
                    <m:t>c</m:t>
                  </m:r>
                </m:e>
                <m:sup>
                  <m:r>
                    <m:t>2</m:t>
                  </m:r>
                </m:sup>
              </m:sSup>
              <m:r>
                <m:rPr>
                  <m:sty m:val="p"/>
                </m:rPr>
                <m:t>,</m:t>
              </m:r>
              <m:sSup>
                <m:e>
                  <m:r>
                    <m:t>a</m:t>
                  </m:r>
                </m:e>
                <m:sup>
                  <m:r>
                    <m:t>2</m:t>
                  </m:r>
                </m:sup>
              </m:sSup>
            </m:e>
          </m:d>
          <m:r>
            <m:rPr>
              <m:sty m:val="p"/>
            </m:rPr>
            <m:t>.</m:t>
          </m:r>
        </m:oMath>
      </m:oMathPara>
    </w:p>
    <w:p>
      <w:pPr>
        <w:pStyle w:val="FirstParagraph"/>
        <w:widowControl/>
      </w:pPr>
      <w:r>
        <w:t xml:space="preserve">Профили 011 и 101, например состояния 100111 и 010111, имеют одинаковые сингулярные числа</w:t>
      </w:r>
      <w:r>
        <w:t xml:space="preserve"> </w:t>
      </w:r>
      <m:oMath>
        <m:d>
          <m:dPr>
            <m:begChr m:val="("/>
            <m:endChr m:val=")"/>
            <m:sepChr m:val=""/>
            <m:grow/>
          </m:dPr>
          <m:e>
            <m:r>
              <m:t>1</m:t>
            </m:r>
            <m:r>
              <m:rPr>
                <m:sty m:val="p"/>
              </m:rPr>
              <m:t>,</m:t>
            </m:r>
            <m:r>
              <m:t>1</m:t>
            </m:r>
            <m:r>
              <m:rPr>
                <m:sty m:val="p"/>
              </m:rPr>
              <m:t>,</m:t>
            </m:r>
            <m:r>
              <m:t>0</m:t>
            </m:r>
          </m:e>
        </m:d>
      </m:oMath>
      <w:r>
        <w:t xml:space="preserve">, но разные значения вопроса</w:t>
      </w:r>
      <w:r>
        <w:t xml:space="preserve"> </w:t>
      </w:r>
      <m:oMath>
        <m:r>
          <m:t>q</m:t>
        </m:r>
        <m:r>
          <m:rPr>
            <m:sty m:val="p"/>
          </m:rPr>
          <m:t>=</m:t>
        </m:r>
        <m:r>
          <m:t>a</m:t>
        </m:r>
      </m:oMath>
      <w:r>
        <w:t xml:space="preserve">. Список сингулярных чисел недостаточен для именованного решения. Полный SVD с матрицами сингулярных векторов позволяет восстановить</w:t>
      </w:r>
      <w:r>
        <w:t xml:space="preserve"> </w:t>
      </w:r>
      <m:oMath>
        <m:r>
          <m:t>A</m:t>
        </m:r>
      </m:oMath>
      <w:r>
        <w:t xml:space="preserve"> </w:t>
      </w:r>
      <w:r>
        <w:t xml:space="preserve">в точной арифметике, но сама</w:t>
      </w:r>
      <w:r>
        <w:t xml:space="preserve"> </w:t>
      </w:r>
      <m:oMath>
        <m:r>
          <m:t>A</m:t>
        </m:r>
      </m:oMath>
      <w:r>
        <w:t xml:space="preserve"> </w:t>
      </w:r>
      <w:r>
        <w:t xml:space="preserve">уже могла забыть исходный текст, модальность, субъект или контекст. Для приближённого усечения дополнительно нужна граница ошибки относительно выбранного</w:t>
      </w:r>
      <w:r>
        <w:t xml:space="preserve"> </w:t>
      </w:r>
      <m:oMath>
        <m:r>
          <m:t>q</m:t>
        </m:r>
      </m:oMath>
      <w:r>
        <w:t xml:space="preserve">.</w:t>
      </w:r>
    </w:p>
    <w:p>
      <w:pPr>
        <w:pStyle w:val="BodyText"/>
        <w:widowControl/>
      </w:pPr>
      <w:r>
        <w:t xml:space="preserve">Инъективность</w:t>
      </w:r>
      <w:r>
        <w:t xml:space="preserve"> </w:t>
      </w:r>
      <m:oMath>
        <m:r>
          <m:t>j</m:t>
        </m:r>
      </m:oMath>
      <w:r>
        <w:t xml:space="preserve"> </w:t>
      </w:r>
      <w:r>
        <w:t xml:space="preserve">сохраняет</w:t>
      </w:r>
      <w:r>
        <w:t xml:space="preserve"> </w:t>
      </w:r>
      <m:oMath>
        <m:r>
          <m:t>h</m:t>
        </m:r>
        <m:r>
          <m:rPr>
            <m:sty m:val="p"/>
          </m:rPr>
          <m:t>∈</m:t>
        </m:r>
        <m:r>
          <m:t>H</m:t>
        </m:r>
      </m:oMath>
      <w:r>
        <w:t xml:space="preserve">. Она не доказывает сохранение произвольного</w:t>
      </w:r>
      <w:r>
        <w:t xml:space="preserve"> </w:t>
      </w:r>
      <m:oMath>
        <m:r>
          <m:t>s</m:t>
        </m:r>
        <m:r>
          <m:rPr>
            <m:sty m:val="p"/>
          </m:rPr>
          <m:t>∈</m:t>
        </m:r>
        <m:r>
          <m:t>S</m:t>
        </m:r>
      </m:oMath>
      <w:r>
        <w:t xml:space="preserve"> </w:t>
      </w:r>
      <w:r>
        <w:t xml:space="preserve">с контекстом: если предварительное кодирование</w:t>
      </w:r>
      <w:r>
        <w:t xml:space="preserve"> </w:t>
      </w:r>
      <m:oMath>
        <m:r>
          <m:t>c</m:t>
        </m:r>
        <m:r>
          <m:rPr>
            <m:sty m:val="p"/>
          </m:rPr>
          <m:t>:</m:t>
        </m:r>
        <m:r>
          <m:t>S</m:t>
        </m:r>
        <m:r>
          <m:rPr>
            <m:sty m:val="p"/>
          </m:rPr>
          <m:t>→</m:t>
        </m:r>
        <m:r>
          <m:t>H</m:t>
        </m:r>
      </m:oMath>
      <w:r>
        <w:t xml:space="preserve"> </w:t>
      </w:r>
      <w:r>
        <w:t xml:space="preserve">теряет существенный признак, композиция</w:t>
      </w:r>
      <w:r>
        <w:t xml:space="preserve"> </w:t>
      </w:r>
      <m:oMath>
        <m:r>
          <m:t>j</m:t>
        </m:r>
        <m:r>
          <m:rPr>
            <m:sty m:val="p"/>
          </m:rPr>
          <m:t>∘</m:t>
        </m:r>
        <m:r>
          <m:t>c</m:t>
        </m:r>
      </m:oMath>
      <w:r>
        <w:t xml:space="preserve"> </w:t>
      </w:r>
      <w:r>
        <w:t xml:space="preserve">его не восстанавливает. Сохранение полной записи и достаточность для одного вопроса — разные контракты [K6].</w:t>
      </w:r>
    </w:p>
    <w:bookmarkEnd w:id="36"/>
    <w:bookmarkEnd w:id="37"/>
    <w:bookmarkStart w:id="38" w:name="X39a9dc2779de5f78c534ad2df5ce84402bcad7d"/>
    <w:p>
      <w:pPr>
        <w:pStyle w:val="Heading2"/>
        <w:widowControl/>
      </w:pPr>
      <w:r>
        <w:t xml:space="preserve">8 Типизированные операторы и предел обратимости</w:t>
      </w:r>
    </w:p>
    <w:p>
      <w:pPr>
        <w:pStyle w:val="FirstParagraph"/>
        <w:widowControl/>
      </w:pPr>
      <w:r>
        <w:t xml:space="preserve">В P24 используются контекст</w:t>
      </w:r>
      <w:r>
        <w:t xml:space="preserve"> </w:t>
      </w:r>
      <m:oMath>
        <m:r>
          <m:t>z</m:t>
        </m:r>
        <m:r>
          <m:rPr>
            <m:sty m:val="p"/>
          </m:rPr>
          <m:t>∈</m:t>
        </m:r>
        <m:r>
          <m:t>Z</m:t>
        </m:r>
      </m:oMath>
      <w:r>
        <w:t xml:space="preserve">, частичная политика</w:t>
      </w:r>
      <w:r>
        <w:t xml:space="preserve"> </w:t>
      </w:r>
      <m:oMath>
        <m:r>
          <m:t>μ</m:t>
        </m:r>
        <m:r>
          <m:rPr>
            <m:sty m:val="p"/>
          </m:rPr>
          <m:t>:</m:t>
        </m:r>
        <m:r>
          <m:t>H</m:t>
        </m:r>
        <m:r>
          <m:rPr>
            <m:sty m:val="p"/>
          </m:rPr>
          <m:t>×</m:t>
        </m:r>
        <m:r>
          <m:t>Z</m:t>
        </m:r>
        <m:r>
          <m:rPr>
            <m:sty m:val="p"/>
          </m:rPr>
          <m:t>⇀</m:t>
        </m:r>
        <m:r>
          <m:t>M</m:t>
        </m:r>
      </m:oMath>
      <w:r>
        <w:t xml:space="preserve">,</w:t>
      </w:r>
      <w:r>
        <w:t xml:space="preserve"> </w:t>
      </w:r>
      <m:oMath>
        <m:r>
          <m:t>P</m:t>
        </m:r>
        <m:r>
          <m:rPr>
            <m:sty m:val="p"/>
          </m:rPr>
          <m:t>=</m:t>
        </m:r>
        <m:r>
          <m:rPr>
            <m:sty m:val="p"/>
          </m:rPr>
          <m:t>Dom</m:t>
        </m:r>
        <m:r>
          <m:t>μ</m:t>
        </m:r>
      </m:oMath>
      <w:r>
        <w:t xml:space="preserve">, множество импульсов</w:t>
      </w:r>
      <w:r>
        <w:t xml:space="preserve"> </w:t>
      </w:r>
      <m:oMath>
        <m:r>
          <m:t>I</m:t>
        </m:r>
        <m:r>
          <m:rPr>
            <m:sty m:val="p"/>
          </m:rPr>
          <m:t>=</m:t>
        </m:r>
        <m:r>
          <m:t>H</m:t>
        </m:r>
        <m:r>
          <m:rPr>
            <m:sty m:val="p"/>
          </m:rPr>
          <m:t>×</m:t>
        </m:r>
        <m:r>
          <m:t>M</m:t>
        </m:r>
        <m:r>
          <m:rPr>
            <m:sty m:val="p"/>
          </m:rPr>
          <m:t>×</m:t>
        </m:r>
        <m:r>
          <m:t>Z</m:t>
        </m:r>
      </m:oMath>
      <w:r>
        <w:t xml:space="preserve">, допуск</w:t>
      </w:r>
      <w:r>
        <w:t xml:space="preserve"> </w:t>
      </w:r>
      <m:oMath>
        <m:r>
          <m:t>A</m:t>
        </m:r>
        <m:r>
          <m:rPr>
            <m:sty m:val="p"/>
          </m:rPr>
          <m:t>⊆</m:t>
        </m:r>
        <m:r>
          <m:t>I</m:t>
        </m:r>
      </m:oMath>
      <w:r>
        <w:t xml:space="preserve"> </w:t>
      </w:r>
      <w:r>
        <w:t xml:space="preserve">и обновление</w:t>
      </w:r>
      <w:r>
        <w:t xml:space="preserve"> </w:t>
      </w:r>
      <m:oMath>
        <m:r>
          <m:t>F</m:t>
        </m:r>
        <m:r>
          <m:rPr>
            <m:sty m:val="p"/>
          </m:rPr>
          <m:t>:</m:t>
        </m:r>
        <m:r>
          <m:t>H</m:t>
        </m:r>
        <m:r>
          <m:rPr>
            <m:sty m:val="p"/>
          </m:rPr>
          <m:t>×</m:t>
        </m:r>
        <m:r>
          <m:t>M</m:t>
        </m:r>
        <m:r>
          <m:rPr>
            <m:sty m:val="p"/>
          </m:rPr>
          <m:t>×</m:t>
        </m:r>
        <m:r>
          <m:t>Z</m:t>
        </m:r>
        <m:r>
          <m:rPr>
            <m:sty m:val="p"/>
          </m:rPr>
          <m:t>→</m:t>
        </m:r>
        <m:r>
          <m:t>Z</m:t>
        </m:r>
      </m:oMath>
      <w:r>
        <w:t xml:space="preserve">. Расширенное пространство —</w:t>
      </w:r>
      <w:r>
        <w:t xml:space="preserve"> </w:t>
      </w:r>
      <m:oMath>
        <m:r>
          <m:t>X</m:t>
        </m:r>
        <m:r>
          <m:rPr>
            <m:sty m:val="p"/>
          </m:rPr>
          <m:t>=</m:t>
        </m:r>
        <m:sSup>
          <m:e>
            <m:r>
              <m:rPr>
                <m:sty m:val="p"/>
                <m:scr m:val="double-struck"/>
              </m:rPr>
              <m:t>R</m:t>
            </m:r>
          </m:e>
          <m:sup>
            <m:r>
              <m:t>7</m:t>
            </m:r>
          </m:sup>
        </m:sSup>
        <m:r>
          <m:rPr>
            <m:sty m:val="p"/>
          </m:rPr>
          <m:t>×</m:t>
        </m:r>
        <m:r>
          <m:t>M</m:t>
        </m:r>
        <m:r>
          <m:rPr>
            <m:sty m:val="p"/>
          </m:rPr>
          <m:t>×</m:t>
        </m:r>
        <m:r>
          <m:t>Z</m:t>
        </m:r>
      </m:oMath>
      <w: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1512"/>
        <w:gridCol w:w="4392"/>
        <w:gridCol w:w="4032"/>
      </w:tblGrid>
      <w:tr>
        <w:trPr>
          <w:tblHeader w:val="true"/>
          <w:cantSplit/>
          <w:tblHeader/>
        </w:trPr>
        <w:tc>
          <w:tcPr>
            <w:tcW w:type="dxa" w:w="151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E2EAF0"/>
          </w:tcPr>
          <w:p>
            <w:pPr>
              <w:pStyle w:val="Compact"/>
              <w:keepNext w:val="0"/>
              <w:spacing w:after="40" w:before="40" w:line="250" w:lineRule="auto"/>
              <w:jc w:val="left"/>
            </w:pPr>
            <w:r>
              <w:rPr>
                <w:b/>
                <w:sz w:val="18"/>
              </w:rPr>
              <w:t xml:space="preserve">Оператор</w:t>
            </w:r>
          </w:p>
        </w:tc>
        <w:tc>
          <w:tcPr>
            <w:tcW w:type="dxa" w:w="439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E2EAF0"/>
          </w:tcPr>
          <w:p>
            <w:pPr>
              <w:pStyle w:val="Compact"/>
              <w:keepNext w:val="0"/>
              <w:spacing w:after="40" w:before="40" w:line="250" w:lineRule="auto"/>
              <w:jc w:val="left"/>
            </w:pPr>
            <w:r>
              <w:rPr>
                <w:b/>
                <w:sz w:val="18"/>
              </w:rPr>
              <w:t xml:space="preserve">Тип и правило</w:t>
            </w:r>
          </w:p>
        </w:tc>
        <w:tc>
          <w:tcPr>
            <w:tcW w:type="dxa" w:w="40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E2EAF0"/>
          </w:tcPr>
          <w:p>
            <w:pPr>
              <w:pStyle w:val="Compact"/>
              <w:keepNext w:val="0"/>
              <w:spacing w:after="40" w:before="40" w:line="250" w:lineRule="auto"/>
              <w:jc w:val="left"/>
            </w:pPr>
            <w:r>
              <w:rPr>
                <w:b/>
                <w:sz w:val="18"/>
              </w:rPr>
              <w:t xml:space="preserve">Условие применения</w:t>
            </w:r>
          </w:p>
        </w:tc>
      </w:tr>
      <w:tr>
        <w:trPr>
          <w:cantSplit/>
        </w:trPr>
        <w:tc>
          <w:tcPr>
            <w:tcW w:type="dxa" w:w="151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Δ</w:t>
            </w:r>
          </w:p>
        </w:tc>
        <w:tc>
          <w:tcPr>
            <w:tcW w:type="dxa" w:w="439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m:oMath>
              <m:r>
                <m:t>P</m:t>
              </m:r>
              <m:r>
                <m:rPr>
                  <m:sty m:val="p"/>
                </m:rPr>
                <m:t>→</m:t>
              </m:r>
              <m:r>
                <m:t>I</m:t>
              </m:r>
            </m:oMath>
            <w:r>
              <w:rPr>
                <w:b w:val="0"/>
                <w:sz w:val="18"/>
              </w:rPr>
              <w:t xml:space="preserve">,</w:t>
            </w:r>
            <w:r>
              <w:rPr>
                <w:b w:val="0"/>
                <w:sz w:val="18"/>
              </w:rPr>
              <w:t xml:space="preserve"> </w:t>
            </w:r>
            <m:oMath>
              <m:d>
                <m:dPr>
                  <m:begChr m:val="("/>
                  <m:endChr m:val=")"/>
                  <m:sepChr m:val=""/>
                  <m:grow/>
                </m:dPr>
                <m:e>
                  <m:r>
                    <m:t>h</m:t>
                  </m:r>
                  <m:r>
                    <m:rPr>
                      <m:sty m:val="p"/>
                    </m:rPr>
                    <m:t>,</m:t>
                  </m:r>
                  <m:r>
                    <m:t>z</m:t>
                  </m:r>
                </m:e>
              </m:d>
              <m:r>
                <m:rPr>
                  <m:sty m:val="p"/>
                </m:rPr>
                <m:t>↦</m:t>
              </m:r>
              <m:d>
                <m:dPr>
                  <m:begChr m:val="("/>
                  <m:endChr m:val=")"/>
                  <m:sepChr m:val=""/>
                  <m:grow/>
                </m:dPr>
                <m:e>
                  <m:r>
                    <m:t>h</m:t>
                  </m:r>
                  <m:r>
                    <m:rPr>
                      <m:sty m:val="p"/>
                    </m:rPr>
                    <m:t>,</m:t>
                  </m:r>
                  <m:r>
                    <m:t>μ</m:t>
                  </m:r>
                  <m:d>
                    <m:dPr>
                      <m:begChr m:val="("/>
                      <m:endChr m:val=")"/>
                      <m:sepChr m:val=""/>
                      <m:grow/>
                    </m:dPr>
                    <m:e>
                      <m:r>
                        <m:t>h</m:t>
                      </m:r>
                      <m:r>
                        <m:rPr>
                          <m:sty m:val="p"/>
                        </m:rPr>
                        <m:t>,</m:t>
                      </m:r>
                      <m:r>
                        <m:t>z</m:t>
                      </m:r>
                    </m:e>
                  </m:d>
                  <m:r>
                    <m:rPr>
                      <m:sty m:val="p"/>
                    </m:rPr>
                    <m:t>,</m:t>
                  </m:r>
                  <m:r>
                    <m:t>z</m:t>
                  </m:r>
                </m:e>
              </m:d>
            </m:oMath>
          </w:p>
        </w:tc>
        <w:tc>
          <w:tcPr>
            <w:tcW w:type="dxa" w:w="40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Политика задана; результат должен попасть в</w:t>
            </w:r>
            <w:r>
              <w:rPr>
                <w:b w:val="0"/>
                <w:sz w:val="18"/>
              </w:rPr>
              <w:t xml:space="preserve"> </w:t>
            </w:r>
            <m:oMath>
              <m:r>
                <m:t>A</m:t>
              </m:r>
            </m:oMath>
            <w:r>
              <w:rPr>
                <w:b w:val="0"/>
                <w:sz w:val="18"/>
              </w:rPr>
              <w:t xml:space="preserve"> </w:t>
            </w:r>
            <w:r>
              <w:rPr>
                <w:b w:val="0"/>
                <w:sz w:val="18"/>
              </w:rPr>
              <w:t xml:space="preserve">для следующего шага</w:t>
            </w:r>
          </w:p>
        </w:tc>
      </w:tr>
      <w:tr>
        <w:trPr>
          <w:cantSplit/>
        </w:trPr>
        <w:tc>
          <w:tcPr>
            <w:tcW w:type="dxa" w:w="151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Υ</w:t>
            </w:r>
          </w:p>
        </w:tc>
        <w:tc>
          <w:tcPr>
            <w:tcW w:type="dxa" w:w="439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m:oMath>
              <m:r>
                <m:t>A</m:t>
              </m:r>
              <m:r>
                <m:rPr>
                  <m:sty m:val="p"/>
                </m:rPr>
                <m:t>→</m:t>
              </m:r>
              <m:r>
                <m:t>X</m:t>
              </m:r>
            </m:oMath>
            <w:r>
              <w:rPr>
                <w:b w:val="0"/>
                <w:sz w:val="18"/>
              </w:rPr>
              <w:t xml:space="preserve">,</w:t>
            </w:r>
            <w:r>
              <w:rPr>
                <w:b w:val="0"/>
                <w:sz w:val="18"/>
              </w:rPr>
              <w:t xml:space="preserve"> </w:t>
            </w:r>
            <m:oMath>
              <m:d>
                <m:dPr>
                  <m:begChr m:val="("/>
                  <m:endChr m:val=")"/>
                  <m:sepChr m:val=""/>
                  <m:grow/>
                </m:dPr>
                <m:e>
                  <m:r>
                    <m:t>h</m:t>
                  </m:r>
                  <m:r>
                    <m:rPr>
                      <m:sty m:val="p"/>
                    </m:rPr>
                    <m:t>,</m:t>
                  </m:r>
                  <m:r>
                    <m:t>m</m:t>
                  </m:r>
                  <m:r>
                    <m:rPr>
                      <m:sty m:val="p"/>
                    </m:rPr>
                    <m:t>,</m:t>
                  </m:r>
                  <m:r>
                    <m:t>z</m:t>
                  </m:r>
                </m:e>
              </m:d>
              <m:r>
                <m:rPr>
                  <m:sty m:val="p"/>
                </m:rPr>
                <m:t>↦</m:t>
              </m:r>
              <m:d>
                <m:dPr>
                  <m:begChr m:val="("/>
                  <m:endChr m:val=")"/>
                  <m:sepChr m:val=""/>
                  <m:grow/>
                </m:dPr>
                <m:e>
                  <m:r>
                    <m:t>v</m:t>
                  </m:r>
                  <m:d>
                    <m:dPr>
                      <m:begChr m:val="("/>
                      <m:endChr m:val=")"/>
                      <m:sepChr m:val=""/>
                      <m:grow/>
                    </m:dPr>
                    <m:e>
                      <m:r>
                        <m:t>h</m:t>
                      </m:r>
                    </m:e>
                  </m:d>
                  <m:r>
                    <m:rPr>
                      <m:sty m:val="p"/>
                    </m:rPr>
                    <m:t>,</m:t>
                  </m:r>
                  <m:r>
                    <m:t>m</m:t>
                  </m:r>
                  <m:r>
                    <m:rPr>
                      <m:sty m:val="p"/>
                    </m:rPr>
                    <m:t>,</m:t>
                  </m:r>
                  <m:r>
                    <m:t>z</m:t>
                  </m:r>
                </m:e>
              </m:d>
            </m:oMath>
          </w:p>
        </w:tc>
        <w:tc>
          <w:tcPr>
            <w:tcW w:type="dxa" w:w="40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Импульс признан допустимым</w:t>
            </w:r>
          </w:p>
        </w:tc>
      </w:tr>
      <w:tr>
        <w:trPr>
          <w:cantSplit/>
        </w:trPr>
        <w:tc>
          <w:tcPr>
            <w:tcW w:type="dxa" w:w="151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Ξτ</w:t>
            </w:r>
          </w:p>
        </w:tc>
        <w:tc>
          <w:tcPr>
            <w:tcW w:type="dxa" w:w="439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m:oMath>
              <m:r>
                <m:t>X</m:t>
              </m:r>
              <m:r>
                <m:rPr>
                  <m:sty m:val="p"/>
                </m:rPr>
                <m:t>→</m:t>
              </m:r>
              <m:r>
                <m:t>X</m:t>
              </m:r>
            </m:oMath>
            <w:r>
              <w:rPr>
                <w:b w:val="0"/>
                <w:sz w:val="18"/>
              </w:rPr>
              <w:t xml:space="preserve">,</w:t>
            </w:r>
            <w:r>
              <w:rPr>
                <w:b w:val="0"/>
                <w:sz w:val="18"/>
              </w:rPr>
              <w:t xml:space="preserve"> </w:t>
            </w:r>
            <m:oMath>
              <m:d>
                <m:dPr>
                  <m:begChr m:val="("/>
                  <m:endChr m:val=")"/>
                  <m:sepChr m:val=""/>
                  <m:grow/>
                </m:dPr>
                <m:e>
                  <m:r>
                    <m:t>x</m:t>
                  </m:r>
                  <m:r>
                    <m:rPr>
                      <m:sty m:val="p"/>
                    </m:rPr>
                    <m:t>,</m:t>
                  </m:r>
                  <m:r>
                    <m:t>m</m:t>
                  </m:r>
                  <m:r>
                    <m:rPr>
                      <m:sty m:val="p"/>
                    </m:rPr>
                    <m:t>,</m:t>
                  </m:r>
                  <m:r>
                    <m:t>z</m:t>
                  </m:r>
                </m:e>
              </m:d>
              <m:r>
                <m:rPr>
                  <m:sty m:val="p"/>
                </m:rPr>
                <m:t>↦</m:t>
              </m:r>
              <m:d>
                <m:dPr>
                  <m:begChr m:val="("/>
                  <m:endChr m:val=")"/>
                  <m:sepChr m:val=""/>
                  <m:grow/>
                </m:dPr>
                <m:e>
                  <m:sSub>
                    <m:e>
                      <m:r>
                        <m:t>Q</m:t>
                      </m:r>
                    </m:e>
                    <m:sub>
                      <m:r>
                        <m:t>m</m:t>
                      </m:r>
                    </m:sub>
                  </m:sSub>
                  <m:d>
                    <m:dPr>
                      <m:begChr m:val="("/>
                      <m:endChr m:val=")"/>
                      <m:sepChr m:val=""/>
                      <m:grow/>
                    </m:dPr>
                    <m:e>
                      <m:r>
                        <m:t>τ</m:t>
                      </m:r>
                    </m:e>
                  </m:d>
                  <m:r>
                    <m:t>x</m:t>
                  </m:r>
                  <m:r>
                    <m:rPr>
                      <m:sty m:val="p"/>
                    </m:rPr>
                    <m:t>,</m:t>
                  </m:r>
                  <m:r>
                    <m:t>m</m:t>
                  </m:r>
                  <m:r>
                    <m:rPr>
                      <m:sty m:val="p"/>
                    </m:rPr>
                    <m:t>,</m:t>
                  </m:r>
                  <m:r>
                    <m:t>z</m:t>
                  </m:r>
                </m:e>
              </m:d>
            </m:oMath>
          </w:p>
        </w:tc>
        <w:tc>
          <w:tcPr>
            <w:tcW w:type="dxa" w:w="40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Маска и контекст фиксированы внутри фазы</w:t>
            </w:r>
          </w:p>
        </w:tc>
      </w:tr>
      <w:tr>
        <w:trPr>
          <w:cantSplit/>
        </w:trPr>
        <w:tc>
          <w:tcPr>
            <w:tcW w:type="dxa" w:w="151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B</w:t>
            </w:r>
          </w:p>
        </w:tc>
        <w:tc>
          <w:tcPr>
            <w:tcW w:type="dxa" w:w="439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m:oMath>
              <m:r>
                <m:t>X</m:t>
              </m:r>
              <m:r>
                <m:rPr>
                  <m:sty m:val="p"/>
                </m:rPr>
                <m:t>⇀</m:t>
              </m:r>
              <m:r>
                <m:t>P</m:t>
              </m:r>
            </m:oMath>
            <w:r>
              <w:rPr>
                <w:b w:val="0"/>
                <w:sz w:val="18"/>
              </w:rPr>
              <w:t xml:space="preserve">,</w:t>
            </w:r>
            <w:r>
              <w:rPr>
                <w:b w:val="0"/>
                <w:sz w:val="18"/>
              </w:rPr>
              <w:t xml:space="preserve"> </w:t>
            </w:r>
            <m:oMath>
              <m:d>
                <m:dPr>
                  <m:begChr m:val="("/>
                  <m:endChr m:val=")"/>
                  <m:sepChr m:val=""/>
                  <m:grow/>
                </m:dPr>
                <m:e>
                  <m:r>
                    <m:t>x</m:t>
                  </m:r>
                  <m:r>
                    <m:rPr>
                      <m:sty m:val="p"/>
                    </m:rPr>
                    <m:t>,</m:t>
                  </m:r>
                  <m:r>
                    <m:t>m</m:t>
                  </m:r>
                  <m:r>
                    <m:rPr>
                      <m:sty m:val="p"/>
                    </m:rPr>
                    <m:t>,</m:t>
                  </m:r>
                  <m:r>
                    <m:t>z</m:t>
                  </m:r>
                </m:e>
              </m:d>
              <m:r>
                <m:rPr>
                  <m:sty m:val="p"/>
                </m:rPr>
                <m:t>↦</m:t>
              </m:r>
              <m:d>
                <m:dPr>
                  <m:begChr m:val="("/>
                  <m:endChr m:val=")"/>
                  <m:sepChr m:val=""/>
                  <m:grow/>
                </m:dPr>
                <m:e>
                  <m:r>
                    <m:t>k</m:t>
                  </m:r>
                  <m:r>
                    <m:rPr>
                      <m:sty m:val="p"/>
                    </m:rPr>
                    <m:t>,</m:t>
                  </m:r>
                  <m:r>
                    <m:t>F</m:t>
                  </m:r>
                  <m:d>
                    <m:dPr>
                      <m:begChr m:val="("/>
                      <m:endChr m:val=")"/>
                      <m:sepChr m:val=""/>
                      <m:grow/>
                    </m:dPr>
                    <m:e>
                      <m:r>
                        <m:t>k</m:t>
                      </m:r>
                      <m:r>
                        <m:rPr>
                          <m:sty m:val="p"/>
                        </m:rPr>
                        <m:t>,</m:t>
                      </m:r>
                      <m:r>
                        <m:t>m</m:t>
                      </m:r>
                      <m:r>
                        <m:rPr>
                          <m:sty m:val="p"/>
                        </m:rPr>
                        <m:t>,</m:t>
                      </m:r>
                      <m:r>
                        <m:t>z</m:t>
                      </m:r>
                    </m:e>
                  </m:d>
                </m:e>
              </m:d>
            </m:oMath>
          </w:p>
        </w:tc>
        <w:tc>
          <w:tcPr>
            <w:tcW w:type="dxa" w:w="4032"/>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m:oMath>
              <m:r>
                <m:t>x</m:t>
              </m:r>
              <m:r>
                <m:rPr>
                  <m:sty m:val="p"/>
                </m:rPr>
                <m:t>≠</m:t>
              </m:r>
              <m:r>
                <m:t>0</m:t>
              </m:r>
            </m:oMath>
            <w:r>
              <w:rPr>
                <w:b w:val="0"/>
                <w:sz w:val="18"/>
              </w:rPr>
              <w:t xml:space="preserve">,</w:t>
            </w:r>
            <w:r>
              <w:rPr>
                <w:b w:val="0"/>
                <w:sz w:val="18"/>
              </w:rPr>
              <w:t xml:space="preserve"> </w:t>
            </w:r>
            <m:oMath>
              <m:d>
                <m:dPr>
                  <m:begChr m:val="["/>
                  <m:endChr m:val="]"/>
                  <m:sepChr m:val=""/>
                  <m:grow/>
                </m:dPr>
                <m:e>
                  <m:r>
                    <m:t>x</m:t>
                  </m:r>
                </m:e>
              </m:d>
              <m:r>
                <m:rPr>
                  <m:sty m:val="p"/>
                </m:rPr>
                <m:t>=</m:t>
              </m:r>
              <m:r>
                <m:t>j</m:t>
              </m:r>
              <m:d>
                <m:dPr>
                  <m:begChr m:val="("/>
                  <m:endChr m:val=")"/>
                  <m:sepChr m:val=""/>
                  <m:grow/>
                </m:dPr>
                <m:e>
                  <m:r>
                    <m:t>k</m:t>
                  </m:r>
                </m:e>
              </m:d>
            </m:oMath>
            <w:r>
              <w:rPr>
                <w:b w:val="0"/>
                <w:sz w:val="18"/>
              </w:rPr>
              <w:t xml:space="preserve">, выход принадлежит</w:t>
            </w:r>
            <w:r>
              <w:rPr>
                <w:b w:val="0"/>
                <w:sz w:val="18"/>
              </w:rPr>
              <w:t xml:space="preserve"> </w:t>
            </w:r>
            <m:oMath>
              <m:r>
                <m:t>P</m:t>
              </m:r>
            </m:oMath>
          </w:p>
        </w:tc>
      </w:tr>
    </w:tbl>
    <w:p>
      <w:pPr>
        <w:pStyle w:val="BodyText"/>
        <w:widowControl/>
      </w:pPr>
      <w:r>
        <w:t xml:space="preserve">При выполнении условий композиция даёт</w:t>
      </w:r>
    </w:p>
    <w:p>
      <w:pPr>
        <w:pStyle w:val="BodyText"/>
        <w:widowControl/>
      </w:pPr>
      <m:oMathPara>
        <m:oMathParaPr>
          <m:jc m:val="center"/>
        </m:oMathParaPr>
        <m:oMath>
          <m:r>
            <m:t>T</m:t>
          </m:r>
          <m:d>
            <m:dPr>
              <m:begChr m:val="("/>
              <m:endChr m:val=")"/>
              <m:sepChr m:val=""/>
              <m:grow/>
            </m:dPr>
            <m:e>
              <m:r>
                <m:t>h</m:t>
              </m:r>
              <m:r>
                <m:rPr>
                  <m:sty m:val="p"/>
                </m:rPr>
                <m:t>,</m:t>
              </m:r>
              <m:r>
                <m:t>z</m:t>
              </m:r>
            </m:e>
          </m:d>
          <m:r>
            <m:rPr>
              <m:sty m:val="p"/>
            </m:rPr>
            <m:t>=</m:t>
          </m:r>
          <m:d>
            <m:dPr>
              <m:begChr m:val="("/>
              <m:endChr m:val=")"/>
              <m:sepChr m:val=""/>
              <m:grow/>
            </m:dPr>
            <m:e>
              <m:r>
                <m:t>h</m:t>
              </m:r>
              <m:r>
                <m:rPr>
                  <m:sty m:val="p"/>
                </m:rPr>
                <m:t>⊕</m:t>
              </m:r>
              <m:r>
                <m:t>μ</m:t>
              </m:r>
              <m:d>
                <m:dPr>
                  <m:begChr m:val="("/>
                  <m:endChr m:val=")"/>
                  <m:sepChr m:val=""/>
                  <m:grow/>
                </m:dPr>
                <m:e>
                  <m:r>
                    <m:t>h</m:t>
                  </m:r>
                  <m:r>
                    <m:rPr>
                      <m:sty m:val="p"/>
                    </m:rPr>
                    <m:t>,</m:t>
                  </m:r>
                  <m:r>
                    <m:t>z</m:t>
                  </m:r>
                </m:e>
              </m:d>
              <m:r>
                <m:rPr>
                  <m:sty m:val="p"/>
                </m:rPr>
                <m:t>,</m:t>
              </m:r>
              <m:r>
                <m:t>F</m:t>
              </m:r>
              <m:d>
                <m:dPr>
                  <m:begChr m:val="("/>
                  <m:endChr m:val=")"/>
                  <m:sepChr m:val=""/>
                  <m:grow/>
                </m:dPr>
                <m:e>
                  <m:r>
                    <m:t>h</m:t>
                  </m:r>
                  <m:r>
                    <m:rPr>
                      <m:sty m:val="p"/>
                    </m:rPr>
                    <m:t>⊕</m:t>
                  </m:r>
                  <m:r>
                    <m:t>μ</m:t>
                  </m:r>
                  <m:d>
                    <m:dPr>
                      <m:begChr m:val="("/>
                      <m:endChr m:val=")"/>
                      <m:sepChr m:val=""/>
                      <m:grow/>
                    </m:dPr>
                    <m:e>
                      <m:r>
                        <m:t>h</m:t>
                      </m:r>
                      <m:r>
                        <m:rPr>
                          <m:sty m:val="p"/>
                        </m:rPr>
                        <m:t>,</m:t>
                      </m:r>
                      <m:r>
                        <m:t>z</m:t>
                      </m:r>
                    </m:e>
                  </m:d>
                  <m:r>
                    <m:rPr>
                      <m:sty m:val="p"/>
                    </m:rPr>
                    <m:t>,</m:t>
                  </m:r>
                  <m:r>
                    <m:t>μ</m:t>
                  </m:r>
                  <m:d>
                    <m:dPr>
                      <m:begChr m:val="("/>
                      <m:endChr m:val=")"/>
                      <m:sepChr m:val=""/>
                      <m:grow/>
                    </m:dPr>
                    <m:e>
                      <m:r>
                        <m:t>h</m:t>
                      </m:r>
                      <m:r>
                        <m:rPr>
                          <m:sty m:val="p"/>
                        </m:rPr>
                        <m:t>,</m:t>
                      </m:r>
                      <m:r>
                        <m:t>z</m:t>
                      </m:r>
                    </m:e>
                  </m:d>
                  <m:r>
                    <m:rPr>
                      <m:sty m:val="p"/>
                    </m:rPr>
                    <m:t>,</m:t>
                  </m:r>
                  <m:r>
                    <m:t>z</m:t>
                  </m:r>
                </m:e>
              </m:d>
            </m:e>
          </m:d>
          <m:r>
            <m:rPr>
              <m:sty m:val="p"/>
            </m:rPr>
            <m:t>.</m:t>
          </m:r>
        </m:oMath>
      </m:oMathPara>
    </w:p>
    <w:p>
      <w:pPr>
        <w:pStyle w:val="FirstParagraph"/>
        <w:widowControl/>
      </w:pPr>
      <w:r>
        <w:t xml:space="preserve">Это прямое следствие определения операторов. Политика</w:t>
      </w:r>
      <w:r>
        <w:t xml:space="preserve"> </w:t>
      </w:r>
      <m:oMath>
        <m:r>
          <m:t>μ</m:t>
        </m:r>
      </m:oMath>
      <w:r>
        <w:t xml:space="preserve">, допуск</w:t>
      </w:r>
      <w:r>
        <w:t xml:space="preserve"> </w:t>
      </w:r>
      <m:oMath>
        <m:r>
          <m:t>A</m:t>
        </m:r>
      </m:oMath>
      <w:r>
        <w:t xml:space="preserve"> </w:t>
      </w:r>
      <w:r>
        <w:t xml:space="preserve">и</w:t>
      </w:r>
      <w:r>
        <w:t xml:space="preserve"> </w:t>
      </w:r>
      <m:oMath>
        <m:r>
          <m:t>F</m:t>
        </m:r>
      </m:oMath>
      <w:r>
        <w:t xml:space="preserve"> </w:t>
      </w:r>
      <w:r>
        <w:t xml:space="preserve">остаются входами. Ни геометрия 64 точек, ни гармоничность не выводят их содержательные значения.</w:t>
      </w:r>
    </w:p>
    <w:p>
      <w:pPr>
        <w:pStyle w:val="BodyText"/>
        <w:widowControl/>
      </w:pPr>
      <w:r>
        <w:rPr>
          <w:bCs/>
          <w:b/>
        </w:rPr>
        <w:t xml:space="preserve">Дополнительный контрпример потере обратимости.</w:t>
      </w:r>
      <w:r>
        <w:t xml:space="preserve"> </w:t>
      </w:r>
      <w:r>
        <w:t xml:space="preserve">Пусть</w:t>
      </w:r>
      <w:r>
        <w:t xml:space="preserve"> </w:t>
      </w:r>
      <m:oMath>
        <m:r>
          <m:t>Z</m:t>
        </m:r>
      </m:oMath>
      <w:r>
        <w:t xml:space="preserve"> </w:t>
      </w:r>
      <w:r>
        <w:t xml:space="preserve">одноэлементно, все импульсы разрешены и</w:t>
      </w:r>
      <w:r>
        <w:t xml:space="preserve"> </w:t>
      </w:r>
      <m:oMath>
        <m:r>
          <m:t>μ</m:t>
        </m:r>
        <m:d>
          <m:dPr>
            <m:begChr m:val="("/>
            <m:endChr m:val=")"/>
            <m:sepChr m:val=""/>
            <m:grow/>
          </m:dPr>
          <m:e>
            <m:r>
              <m:t>h</m:t>
            </m:r>
          </m:e>
        </m:d>
        <m:r>
          <m:rPr>
            <m:sty m:val="p"/>
          </m:rPr>
          <m:t>=</m:t>
        </m:r>
        <m:r>
          <m:t>h</m:t>
        </m:r>
      </m:oMath>
      <w:r>
        <w:t xml:space="preserve">. Тогда</w:t>
      </w:r>
      <w:r>
        <w:t xml:space="preserve"> </w:t>
      </w:r>
      <m:oMath>
        <m:r>
          <m:t>T</m:t>
        </m:r>
        <m:d>
          <m:dPr>
            <m:begChr m:val="("/>
            <m:endChr m:val=")"/>
            <m:sepChr m:val=""/>
            <m:grow/>
          </m:dPr>
          <m:e>
            <m:r>
              <m:t>h</m:t>
            </m:r>
          </m:e>
        </m:d>
        <m:r>
          <m:rPr>
            <m:sty m:val="p"/>
          </m:rPr>
          <m:t>=</m:t>
        </m:r>
        <m:r>
          <m:t>0</m:t>
        </m:r>
      </m:oMath>
      <w:r>
        <w:t xml:space="preserve"> </w:t>
      </w:r>
      <w:r>
        <w:t xml:space="preserve">для всех 64 входов. Каждый фиксированный знаковый перенос</w:t>
      </w:r>
      <w:r>
        <w:t xml:space="preserve"> </w:t>
      </w:r>
      <m:oMath>
        <m:r>
          <m:t>ρ</m:t>
        </m:r>
        <m:d>
          <m:dPr>
            <m:begChr m:val="("/>
            <m:endChr m:val=")"/>
            <m:sepChr m:val=""/>
            <m:grow/>
          </m:dPr>
          <m:e>
            <m:r>
              <m:t>m</m:t>
            </m:r>
          </m:e>
        </m:d>
      </m:oMath>
      <w:r>
        <w:t xml:space="preserve"> </w:t>
      </w:r>
      <w:r>
        <w:t xml:space="preserve">обратим, но управляемая композиция с последующим отбрасыванием маски не обязана быть инъективной. Для восстановления входа нужно сохранить маску либо другие достаточные данные. Даже сохранение маски не восстанавливает контекст, если</w:t>
      </w:r>
      <w:r>
        <w:t xml:space="preserve"> </w:t>
      </w:r>
      <m:oMath>
        <m:r>
          <m:t>F</m:t>
        </m:r>
      </m:oMath>
      <w:r>
        <w:t xml:space="preserve"> </w:t>
      </w:r>
      <w:r>
        <w:t xml:space="preserve">его необратимо сжимает.</w:t>
      </w:r>
    </w:p>
    <w:p>
      <w:pPr>
        <w:pStyle w:val="BodyText"/>
        <w:widowControl/>
      </w:pPr>
      <w:r>
        <w:t xml:space="preserve">Существование непрерывной фазы тоже требует расширения. Если всё семейство</w:t>
      </w:r>
      <w:r>
        <w:t xml:space="preserve"> </w:t>
      </w:r>
      <m:oMath>
        <m:sSub>
          <m:e>
            <m:r>
              <m:t>Ξ</m:t>
            </m:r>
          </m:e>
          <m:sub>
            <m:r>
              <m:t>τ</m:t>
            </m:r>
          </m:sub>
        </m:sSub>
      </m:oMath>
      <w:r>
        <w:t xml:space="preserve"> </w:t>
      </w:r>
      <w:r>
        <w:t xml:space="preserve">при</w:t>
      </w:r>
      <w:r>
        <w:t xml:space="preserve"> </w:t>
      </w:r>
      <m:oMath>
        <m:r>
          <m:t>τ</m:t>
        </m:r>
        <m:r>
          <m:rPr>
            <m:sty m:val="p"/>
          </m:rPr>
          <m:t>≥</m:t>
        </m:r>
        <m:r>
          <m:t>0</m:t>
        </m:r>
      </m:oMath>
      <w:r>
        <w:t xml:space="preserve"> </w:t>
      </w:r>
      <w:r>
        <w:t xml:space="preserve">должно оставаться в группе XOR с полугрупповым законом, то</w:t>
      </w:r>
      <w:r>
        <w:t xml:space="preserve"> </w:t>
      </w:r>
      <m:oMath>
        <m:sSub>
          <m:e>
            <m:r>
              <m:t>Ξ</m:t>
            </m:r>
          </m:e>
          <m:sub>
            <m:r>
              <m:t>τ</m:t>
            </m:r>
          </m:sub>
        </m:sSub>
        <m:r>
          <m:rPr>
            <m:sty m:val="p"/>
          </m:rPr>
          <m:t>=</m:t>
        </m:r>
        <m:sSup>
          <m:e>
            <m:d>
              <m:dPr>
                <m:begChr m:val="("/>
                <m:endChr m:val=")"/>
                <m:sepChr m:val=""/>
                <m:grow/>
              </m:dPr>
              <m:e>
                <m:sSub>
                  <m:e>
                    <m:r>
                      <m:t>Ξ</m:t>
                    </m:r>
                  </m:e>
                  <m:sub>
                    <m:r>
                      <m:t>τ</m:t>
                    </m:r>
                    <m:r>
                      <m:rPr>
                        <m:sty m:val="p"/>
                      </m:rPr>
                      <m:t>/</m:t>
                    </m:r>
                    <m:r>
                      <m:t>2</m:t>
                    </m:r>
                  </m:sub>
                </m:sSub>
              </m:e>
            </m:d>
          </m:e>
          <m:sup>
            <m:r>
              <m:t>2</m:t>
            </m:r>
          </m:sup>
        </m:sSup>
        <m:r>
          <m:rPr>
            <m:sty m:val="p"/>
          </m:rPr>
          <m:t>=</m:t>
        </m:r>
        <m:r>
          <m:rPr>
            <m:sty m:val="p"/>
          </m:rPr>
          <m:t>i</m:t>
        </m:r>
        <m:r>
          <m:rPr>
            <m:sty m:val="p"/>
          </m:rPr>
          <m:t>d</m:t>
        </m:r>
      </m:oMath>
      <w:r>
        <w:t xml:space="preserve">. Нетривиальное семейство P23 строится плоскими вращениями в</w:t>
      </w:r>
      <w:r>
        <w:t xml:space="preserve"> </w:t>
      </w:r>
      <m:oMath>
        <m:sSup>
          <m:e>
            <m:r>
              <m:rPr>
                <m:sty m:val="p"/>
                <m:scr m:val="double-struck"/>
              </m:rPr>
              <m:t>R</m:t>
            </m:r>
          </m:e>
          <m:sup>
            <m:r>
              <m:t>7</m:t>
            </m:r>
          </m:sup>
        </m:sSup>
      </m:oMath>
      <w:r>
        <w:t xml:space="preserve">. Для фиксированной маски оно корректно и имеет нужное значение при времени один; выбор пар координатных плоскостей дополнительный, промежуточные точки могут не быть гексаграммами.</w:t>
      </w:r>
    </w:p>
    <w:p>
      <w:pPr>
        <w:pStyle w:val="BodyText"/>
        <w:widowControl/>
      </w:pPr>
      <w:r>
        <w:t xml:space="preserve">Связь этих конкретных типов с полным контрактом Тома I и отличающимися формулировками Тома V остаётся задачей отдельного коммутативного сопоставления доменов и законов композиции. Для IDEA соответствующая таблица пока невозможна: в доступной аннотации нет необходимых определений. Операторное сходство по названию или числу стадий не заменяет такой таблицы.</w:t>
      </w:r>
    </w:p>
    <w:bookmarkEnd w:id="38"/>
    <w:bookmarkStart w:id="40" w:name="Xf45abcde6b03a22043c45bb59a05614ede0ed7c"/>
    <w:p>
      <w:pPr>
        <w:pStyle w:val="Heading2"/>
        <w:widowControl/>
      </w:pPr>
      <w:r>
        <w:t xml:space="preserve">9 Вероятностное сокращение и смысл прогноза</w:t>
      </w:r>
    </w:p>
    <w:bookmarkStart w:id="39" w:name="d7-условие-сильной-агрегируемости"/>
    <w:p>
      <w:pPr>
        <w:pStyle w:val="Heading3"/>
        <w:widowControl/>
      </w:pPr>
      <w:r>
        <w:t xml:space="preserve">D7 Условие сильной агрегируемости</w:t>
      </w:r>
    </w:p>
    <w:p>
      <w:pPr>
        <w:pStyle w:val="FirstParagraph"/>
        <w:widowControl/>
      </w:pPr>
      <w:r>
        <w:t xml:space="preserve">Для переходной матрицы</w:t>
      </w:r>
      <w:r>
        <w:t xml:space="preserve"> </w:t>
      </w:r>
      <m:oMath>
        <m:r>
          <m:t>P</m:t>
        </m:r>
        <m:d>
          <m:dPr>
            <m:begChr m:val="("/>
            <m:endChr m:val=")"/>
            <m:sepChr m:val=""/>
            <m:grow/>
          </m:dPr>
          <m:e>
            <m:r>
              <m:t>h</m:t>
            </m:r>
            <m:r>
              <m:rPr>
                <m:sty m:val="p"/>
              </m:rPr>
              <m:t>,</m:t>
            </m:r>
            <m:r>
              <m:t>k</m:t>
            </m:r>
          </m:e>
        </m:d>
      </m:oMath>
      <w:r>
        <w:t xml:space="preserve"> </w:t>
      </w:r>
      <w:r>
        <w:t xml:space="preserve">профильный процесс имеет один и тот же марковский закон при любом начальном распределении, если для каждого</w:t>
      </w:r>
      <w:r>
        <w:t xml:space="preserve"> </w:t>
      </w:r>
      <m:oMath>
        <m:r>
          <m:t>g</m:t>
        </m:r>
        <m:r>
          <m:rPr>
            <m:sty m:val="p"/>
          </m:rPr>
          <m:t>′</m:t>
        </m:r>
      </m:oMath>
      <w:r>
        <w:t xml:space="preserve"> </w:t>
      </w:r>
      <w:r>
        <w:t xml:space="preserve">сумма</w:t>
      </w:r>
    </w:p>
    <w:p>
      <w:pPr>
        <w:pStyle w:val="BodyText"/>
        <w:widowControl/>
      </w:pPr>
      <m:oMathPara>
        <m:oMathParaPr>
          <m:jc m:val="center"/>
        </m:oMathParaPr>
        <m:oMath>
          <m:nary>
            <m:naryPr>
              <m:chr m:val="∑"/>
              <m:limLoc m:val="undOvr"/>
              <m:subHide m:val="off"/>
              <m:supHide m:val="on"/>
            </m:naryPr>
            <m:sub>
              <m:r>
                <m:t>k</m:t>
              </m:r>
              <m:r>
                <m:rPr>
                  <m:sty m:val="p"/>
                </m:rPr>
                <m:t>:</m:t>
              </m:r>
              <m:r>
                <m:t>α</m:t>
              </m:r>
              <m:d>
                <m:dPr>
                  <m:begChr m:val="("/>
                  <m:endChr m:val=")"/>
                  <m:sepChr m:val=""/>
                  <m:grow/>
                </m:dPr>
                <m:e>
                  <m:r>
                    <m:t>k</m:t>
                  </m:r>
                </m:e>
              </m:d>
              <m:r>
                <m:rPr>
                  <m:sty m:val="p"/>
                </m:rPr>
                <m:t>=</m:t>
              </m:r>
              <m:r>
                <m:t>g</m:t>
              </m:r>
              <m:r>
                <m:rPr>
                  <m:sty m:val="p"/>
                </m:rPr>
                <m:t>′</m:t>
              </m:r>
            </m:sub>
            <m:sup>
              <m:r>
                <m:t>​</m:t>
              </m:r>
            </m:sup>
            <m:e>
              <m:r>
                <m:t>P</m:t>
              </m:r>
            </m:e>
          </m:nary>
          <m:d>
            <m:dPr>
              <m:begChr m:val="("/>
              <m:endChr m:val=")"/>
              <m:sepChr m:val=""/>
              <m:grow/>
            </m:dPr>
            <m:e>
              <m:r>
                <m:t>h</m:t>
              </m:r>
              <m:r>
                <m:rPr>
                  <m:sty m:val="p"/>
                </m:rPr>
                <m:t>,</m:t>
              </m:r>
              <m:r>
                <m:t>k</m:t>
              </m:r>
            </m:e>
          </m:d>
        </m:oMath>
      </m:oMathPara>
    </w:p>
    <w:p>
      <w:pPr>
        <w:pStyle w:val="FirstParagraph"/>
        <w:widowControl/>
      </w:pPr>
      <w:r>
        <w:t xml:space="preserve">постоянна при всех</w:t>
      </w:r>
      <w:r>
        <w:t xml:space="preserve"> </w:t>
      </w:r>
      <m:oMath>
        <m:r>
          <m:t>h</m:t>
        </m:r>
      </m:oMath>
      <w:r>
        <w:t xml:space="preserve"> </w:t>
      </w:r>
      <w:r>
        <w:t xml:space="preserve">с данным α(h). Это условие проверяет не только совпадение отдельных вероятностей, но и замкнутость динамики на разбиении. В этом случае оно задаёт матрицу факторной цепи.</w:t>
      </w:r>
    </w:p>
    <w:p>
      <w:pPr>
        <w:pStyle w:val="BodyText"/>
        <w:widowControl/>
      </w:pPr>
      <w:r>
        <w:t xml:space="preserve">Для независимого от состояния распределения масок</w:t>
      </w:r>
      <w:r>
        <w:t xml:space="preserve"> </w:t>
      </w:r>
      <m:oMath>
        <m:r>
          <m:t>ν</m:t>
        </m:r>
      </m:oMath>
      <w:r>
        <w:t xml:space="preserve"> </w:t>
      </w:r>
      <w:r>
        <w:t xml:space="preserve">и</w:t>
      </w:r>
      <w:r>
        <w:t xml:space="preserve"> </w:t>
      </w:r>
      <m:oMath>
        <m:r>
          <m:t>P</m:t>
        </m:r>
        <m:d>
          <m:dPr>
            <m:begChr m:val="("/>
            <m:endChr m:val=")"/>
            <m:sepChr m:val=""/>
            <m:grow/>
          </m:dPr>
          <m:e>
            <m:r>
              <m:t>h</m:t>
            </m:r>
            <m:r>
              <m:rPr>
                <m:sty m:val="p"/>
              </m:rPr>
              <m:t>,</m:t>
            </m:r>
            <m:r>
              <m:t>k</m:t>
            </m:r>
          </m:e>
        </m:d>
        <m:r>
          <m:rPr>
            <m:sty m:val="p"/>
          </m:rPr>
          <m:t>=</m:t>
        </m:r>
        <m:r>
          <m:t>ν</m:t>
        </m:r>
        <m:d>
          <m:dPr>
            <m:begChr m:val="("/>
            <m:endChr m:val=")"/>
            <m:sepChr m:val=""/>
            <m:grow/>
          </m:dPr>
          <m:e>
            <m:r>
              <m:t>h</m:t>
            </m:r>
            <m:r>
              <m:rPr>
                <m:sty m:val="p"/>
              </m:rPr>
              <m:t>⊕</m:t>
            </m:r>
            <m:r>
              <m:t>k</m:t>
            </m:r>
          </m:e>
        </m:d>
      </m:oMath>
      <w:r>
        <w:t xml:space="preserve"> </w:t>
      </w:r>
      <w:r>
        <w:t xml:space="preserve">замена</w:t>
      </w:r>
      <w:r>
        <w:t xml:space="preserve"> </w:t>
      </w:r>
      <m:oMath>
        <m:r>
          <m:t>m</m:t>
        </m:r>
        <m:r>
          <m:rPr>
            <m:sty m:val="p"/>
          </m:rPr>
          <m:t>=</m:t>
        </m:r>
        <m:r>
          <m:t>h</m:t>
        </m:r>
        <m:r>
          <m:rPr>
            <m:sty m:val="p"/>
          </m:rPr>
          <m:t>⊕</m:t>
        </m:r>
        <m:r>
          <m:t>k</m:t>
        </m:r>
      </m:oMath>
      <w:r>
        <w:t xml:space="preserve"> </w:t>
      </w:r>
      <w:r>
        <w:t xml:space="preserve">даёт</w:t>
      </w:r>
    </w:p>
    <w:p>
      <w:pPr>
        <w:pStyle w:val="BodyText"/>
        <w:widowControl/>
      </w:pPr>
      <m:oMathPara>
        <m:oMathParaPr>
          <m:jc m:val="center"/>
        </m:oMathParaPr>
        <m:oMath>
          <m:bar>
            <m:barPr>
              <m:pos m:val="top"/>
            </m:barPr>
            <m:e>
              <m:r>
                <m:t>P</m:t>
              </m:r>
            </m:e>
          </m:bar>
          <m:d>
            <m:dPr>
              <m:begChr m:val="("/>
              <m:endChr m:val=")"/>
              <m:sepChr m:val=""/>
              <m:grow/>
            </m:dPr>
            <m:e>
              <m:r>
                <m:t>g</m:t>
              </m:r>
              <m:r>
                <m:rPr>
                  <m:sty m:val="p"/>
                </m:rPr>
                <m:t>,</m:t>
              </m:r>
              <m:r>
                <m:t>g</m:t>
              </m:r>
              <m:r>
                <m:rPr>
                  <m:sty m:val="p"/>
                </m:rPr>
                <m:t>′</m:t>
              </m:r>
            </m:e>
          </m:d>
          <m:r>
            <m:rPr>
              <m:sty m:val="p"/>
            </m:rPr>
            <m:t>=</m:t>
          </m:r>
          <m:nary>
            <m:naryPr>
              <m:chr m:val="∑"/>
              <m:limLoc m:val="undOvr"/>
              <m:subHide m:val="off"/>
              <m:supHide m:val="on"/>
            </m:naryPr>
            <m:sub>
              <m:r>
                <m:t>m</m:t>
              </m:r>
              <m:r>
                <m:rPr>
                  <m:sty m:val="p"/>
                </m:rPr>
                <m:t>:</m:t>
              </m:r>
              <m:r>
                <m:t>α</m:t>
              </m:r>
              <m:d>
                <m:dPr>
                  <m:begChr m:val="("/>
                  <m:endChr m:val=")"/>
                  <m:sepChr m:val=""/>
                  <m:grow/>
                </m:dPr>
                <m:e>
                  <m:r>
                    <m:t>m</m:t>
                  </m:r>
                </m:e>
              </m:d>
              <m:r>
                <m:rPr>
                  <m:sty m:val="p"/>
                </m:rPr>
                <m:t>=</m:t>
              </m:r>
              <m:r>
                <m:t>g</m:t>
              </m:r>
              <m:r>
                <m:rPr>
                  <m:sty m:val="p"/>
                </m:rPr>
                <m:t>⊕</m:t>
              </m:r>
              <m:r>
                <m:t>g</m:t>
              </m:r>
              <m:r>
                <m:rPr>
                  <m:sty m:val="p"/>
                </m:rPr>
                <m:t>′</m:t>
              </m:r>
            </m:sub>
            <m:sup>
              <m:r>
                <m:t>​</m:t>
              </m:r>
            </m:sup>
            <m:e>
              <m:r>
                <m:t>ν</m:t>
              </m:r>
            </m:e>
          </m:nary>
          <m:d>
            <m:dPr>
              <m:begChr m:val="("/>
              <m:endChr m:val=")"/>
              <m:sepChr m:val=""/>
              <m:grow/>
            </m:dPr>
            <m:e>
              <m:r>
                <m:t>m</m:t>
              </m:r>
            </m:e>
          </m:d>
          <m:r>
            <m:rPr>
              <m:sty m:val="p"/>
            </m:rPr>
            <m:t>.</m:t>
          </m:r>
        </m:oMath>
      </m:oMathPara>
    </w:p>
    <w:p>
      <w:pPr>
        <w:pStyle w:val="FirstParagraph"/>
        <w:widowControl/>
      </w:pPr>
      <w:r>
        <w:t xml:space="preserve">Правая часть зависит только от</w:t>
      </w:r>
      <w:r>
        <w:t xml:space="preserve"> </w:t>
      </w:r>
      <m:oMath>
        <m:r>
          <m:t>g</m:t>
        </m:r>
        <m:r>
          <m:rPr>
            <m:sty m:val="p"/>
          </m:rPr>
          <m:t>,</m:t>
        </m:r>
        <m:r>
          <m:t>g</m:t>
        </m:r>
        <m:r>
          <m:rPr>
            <m:sty m:val="p"/>
          </m:rPr>
          <m:t>′</m:t>
        </m:r>
      </m:oMath>
      <w:r>
        <w:t xml:space="preserve">, что доказывает достаточность. Для политики, зависящей от</w:t>
      </w:r>
      <w:r>
        <w:t xml:space="preserve"> </w:t>
      </w:r>
      <m:oMath>
        <m:r>
          <m:t>h</m:t>
        </m:r>
        <m:r>
          <m:rPr>
            <m:sty m:val="p"/>
          </m:rPr>
          <m:t>,</m:t>
        </m:r>
        <m:r>
          <m:t>z</m:t>
        </m:r>
      </m:oMath>
      <w:r>
        <w:t xml:space="preserve">, такого вывода без отдельной проверки нет. Если контекст влияет на будущие переходы и скрыт, то даже процесс на</w:t>
      </w:r>
      <w:r>
        <w:t xml:space="preserve"> </w:t>
      </w:r>
      <m:oMath>
        <m:r>
          <m:t>H</m:t>
        </m:r>
      </m:oMath>
      <w:r>
        <w:t xml:space="preserve"> </w:t>
      </w:r>
      <w:r>
        <w:t xml:space="preserve">может не быть марковским; анализировать надо полное состояние.</w:t>
      </w:r>
    </w:p>
    <w:p>
      <w:pPr>
        <w:pStyle w:val="BodyText"/>
        <w:widowControl/>
      </w:pPr>
      <w:r>
        <w:t xml:space="preserve">Сохранение закона профильных траекторий не означает сохранение любой цели</w:t>
      </w:r>
      <w:r>
        <w:t xml:space="preserve"> </w:t>
      </w:r>
      <m:oMath>
        <m:r>
          <m:t>q</m:t>
        </m:r>
      </m:oMath>
      <w:r>
        <w:t xml:space="preserve"> </w:t>
      </w:r>
      <w:r>
        <w:t xml:space="preserve">или способности прогнозировать внешние события. Положительная матрица</w:t>
      </w:r>
      <w:r>
        <w:t xml:space="preserve"> </w:t>
      </w:r>
      <m:oMath>
        <m:d>
          <m:dPr>
            <m:begChr m:val="("/>
            <m:endChr m:val=")"/>
            <m:sepChr m:val=""/>
            <m:grow/>
          </m:dPr>
          <m:e>
            <m:m>
              <m:mPr>
                <m:baseJc m:val="center"/>
                <m:plcHide m:val="on"/>
                <m:mcs>
                  <m:mc>
                    <m:mcPr>
                      <m:mcJc m:val="center"/>
                      <m:count m:val="1"/>
                    </m:mcPr>
                  </m:mc>
                  <m:mc>
                    <m:mcPr>
                      <m:mcJc m:val="center"/>
                      <m:count m:val="1"/>
                    </m:mcPr>
                  </m:mc>
                </m:mcs>
              </m:mPr>
              <m:mr>
                <m:e>
                  <m:r>
                    <m:t>1</m:t>
                  </m:r>
                  <m:r>
                    <m:rPr>
                      <m:sty m:val="p"/>
                    </m:rPr>
                    <m:t>/</m:t>
                  </m:r>
                  <m:r>
                    <m:t>2</m:t>
                  </m:r>
                </m:e>
                <m:e>
                  <m:r>
                    <m:t>1</m:t>
                  </m:r>
                  <m:r>
                    <m:rPr>
                      <m:sty m:val="p"/>
                    </m:rPr>
                    <m:t>/</m:t>
                  </m:r>
                  <m:r>
                    <m:t>2</m:t>
                  </m:r>
                </m:e>
              </m:mr>
              <m:mr>
                <m:e>
                  <m:r>
                    <m:t>1</m:t>
                  </m:r>
                  <m:r>
                    <m:rPr>
                      <m:sty m:val="p"/>
                    </m:rPr>
                    <m:t>/</m:t>
                  </m:r>
                  <m:r>
                    <m:t>2</m:t>
                  </m:r>
                </m:e>
                <m:e>
                  <m:r>
                    <m:t>1</m:t>
                  </m:r>
                  <m:r>
                    <m:rPr>
                      <m:sty m:val="p"/>
                    </m:rPr>
                    <m:t>/</m:t>
                  </m:r>
                  <m:r>
                    <m:t>2</m:t>
                  </m:r>
                </m:e>
              </m:mr>
            </m:m>
          </m:e>
        </m:d>
      </m:oMath>
      <w:r>
        <w:t xml:space="preserve"> </w:t>
      </w:r>
      <w:r>
        <w:t xml:space="preserve">после одного шага имеет распределение</w:t>
      </w:r>
      <w:r>
        <w:t xml:space="preserve"> </w:t>
      </w:r>
      <m:oMath>
        <m:d>
          <m:dPr>
            <m:begChr m:val="("/>
            <m:endChr m:val=")"/>
            <m:sepChr m:val=""/>
            <m:grow/>
          </m:dPr>
          <m:e>
            <m:r>
              <m:t>1</m:t>
            </m:r>
            <m:r>
              <m:rPr>
                <m:sty m:val="p"/>
              </m:rPr>
              <m:t>/</m:t>
            </m:r>
            <m:r>
              <m:t>2</m:t>
            </m:r>
            <m:r>
              <m:rPr>
                <m:sty m:val="p"/>
              </m:rPr>
              <m:t>,</m:t>
            </m:r>
            <m:r>
              <m:t>1</m:t>
            </m:r>
            <m:r>
              <m:rPr>
                <m:sty m:val="p"/>
              </m:rPr>
              <m:t>/</m:t>
            </m:r>
            <m:r>
              <m:t>2</m:t>
            </m:r>
          </m:e>
        </m:d>
      </m:oMath>
      <w:r>
        <w:t xml:space="preserve"> </w:t>
      </w:r>
      <w:r>
        <w:t xml:space="preserve">и не концентрируется на одном «оптимуме». Это контрпример общему ошибочному выводу из положительности, а не опровержение непрочитанной теоремы IDEA. В оптимизационном алгоритме могут быть иные состояния, память лучшего решения или дополнительные предпосылки.</w:t>
      </w:r>
    </w:p>
    <w:p>
      <w:pPr>
        <w:pStyle w:val="BodyText"/>
        <w:widowControl/>
      </w:pPr>
      <w:r>
        <w:t xml:space="preserve">До внешнего эксперимента остаются открытыми выбор наблюдаемого результата, независимая разметка, сравнение с альтернативными картами и базовыми моделями, а также проверка на отложенном материале. Пять случаев разработки, уже использованных в v0.3, не становятся независимыми наблюдениями от повторного математического кодирования.</w:t>
      </w:r>
    </w:p>
    <w:bookmarkEnd w:id="39"/>
    <w:bookmarkEnd w:id="40"/>
    <w:bookmarkStart w:id="41" w:name="матрица-научной-новизны"/>
    <w:p>
      <w:pPr>
        <w:pStyle w:val="Heading2"/>
        <w:widowControl/>
      </w:pPr>
      <w:r>
        <w:t xml:space="preserve">10 Матрица научной новизны</w:t>
      </w:r>
    </w:p>
    <w:p>
      <w:pPr>
        <w:pStyle w:val="FirstParagraph"/>
        <w:widowControl/>
      </w:pPr>
      <w:r>
        <w:t xml:space="preserve">Матрица разделяет известные результаты, документированные авторские решения, доказанные здесь уточнения и открытые утверждения. Все оценки ограничены прочитанным корпусом. Детальная версия с машинными статусами находится в</w:t>
      </w:r>
      <w:r>
        <w:t xml:space="preserve"> </w:t>
      </w:r>
      <w:r>
        <w:rPr>
          <w:rStyle w:val="VerbatimChar"/>
        </w:rPr>
        <w:t xml:space="preserve">NOVELTY_MATRIX.json</w:t>
      </w:r>
      <w: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2131"/>
        <w:gridCol w:w="2563"/>
        <w:gridCol w:w="1786"/>
        <w:gridCol w:w="3456"/>
      </w:tblGrid>
      <w:tr>
        <w:trPr>
          <w:tblHeader w:val="true"/>
          <w:cantSplit/>
          <w:tblHeader/>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E2EAF0"/>
          </w:tcPr>
          <w:p>
            <w:pPr>
              <w:pStyle w:val="Compact"/>
              <w:keepNext w:val="0"/>
              <w:spacing w:after="40" w:before="40" w:line="250" w:lineRule="auto"/>
              <w:jc w:val="left"/>
            </w:pPr>
            <w:r>
              <w:rPr>
                <w:b/>
                <w:sz w:val="18"/>
              </w:rPr>
              <w:t xml:space="preserve">ID и результат</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E2EAF0"/>
          </w:tcPr>
          <w:p>
            <w:pPr>
              <w:pStyle w:val="Compact"/>
              <w:keepNext w:val="0"/>
              <w:spacing w:after="40" w:before="40" w:line="250" w:lineRule="auto"/>
              <w:jc w:val="left"/>
            </w:pPr>
            <w:r>
              <w:rPr>
                <w:b/>
                <w:sz w:val="18"/>
              </w:rPr>
              <w:t xml:space="preserve">Основание и локатор</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E2EAF0"/>
          </w:tcPr>
          <w:p>
            <w:pPr>
              <w:pStyle w:val="Compact"/>
              <w:keepNext w:val="0"/>
              <w:spacing w:after="40" w:before="40" w:line="250" w:lineRule="auto"/>
              <w:jc w:val="left"/>
            </w:pPr>
            <w:r>
              <w:rPr>
                <w:b/>
                <w:sz w:val="18"/>
              </w:rPr>
              <w:t xml:space="preserve">Статус</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E2EAF0"/>
          </w:tcPr>
          <w:p>
            <w:pPr>
              <w:pStyle w:val="Compact"/>
              <w:keepNext w:val="0"/>
              <w:spacing w:after="40" w:before="40" w:line="250" w:lineRule="auto"/>
              <w:jc w:val="left"/>
            </w:pPr>
            <w:r>
              <w:rPr>
                <w:b/>
                <w:sz w:val="18"/>
              </w:rPr>
              <w:t xml:space="preserve">Вывод и ограничение</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V01 64 состояния и XOR переходы</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N31, теоремы 3 и 7; N04; Гл. 3, P17</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Известно</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Общеизвестная алгебраическая основа; ES упаковка — авторская реализация.</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V02 α и восемь классов по восемь</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N08, определение 2, теорема 5, таблица 1; Гл. 4, P18</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Точное совпадение</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Формула уже опубликована в 1999; убрать новизну самого профиля.</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V03 Роли каналов и разметка ребер</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N08 не задает Δ Υ Ξ; Гл. 4, H15</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Авторская гипотеза</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Авторская привязка; смысл и выбор карты требуют внешней проверки.</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V04 Инъекция j в P6</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N31 — булева основа; точного предшественника j не установлено; Гл. 5, P20; D1–D2</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Авторская конструкция</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Корректна; множество точек есть аффинный куб после перекодировки. Это не доказательство новизны геометрии.</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V05 Минимум семь координат</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Доказательство D3 настоящей проверки; Дополнение D3</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Доказано в указанном классе</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Только диагональные действительные знаковые линейные представления со свободной проективной орбитой.</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V06 Двойное отношение и гармоничность</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M1, §4.5, предложения 4.20–4.21; Гл. 6, P22</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Известно</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Классическая проективная геометрия; фиксировать порядок и характеристику.</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V07 Дополнение всех 4032 пар</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M1 — общий механизм; D4 — проверка специализации; Гл. 6, P22</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Авторская конструкция</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Зависит от выбранного подъема; U,D вне 64 состояний; семантика не доказана.</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V08 SO7 и Hodge совместимость</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Общая метрическая линейная алгебра; Гл. 5, P21</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Известная математика в модели</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Требует метрики и ориентации; не свойство произвольного PGL7.</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V09 Непрерывный поток через дискретные состояния</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Элементарные свойства инволюций и плоских вращений; Гл. 7, P23</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Авторская конструкция</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Промежуточные состояния вне H; выбор плоскостей дополнительный.</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V10 Типизированная композиция Δ Υ Ξ B</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В N13 типы не прочитаны; K3 §3–5 — собственный контракт; Гл. 7, P24; таблица типов дополнения</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Авторская конструкция</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Результат условен на μ,F,A и домены. Эквивалентность Томам I,V остается OPEN.</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V11 Факторизация целевого признака</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K3, §2, предложение 1 явно признает классический факт; Гл. 9; D6</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Известно</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Постоянство q на слоях; инъективность j на H не сохраняет забытый контекст Z.</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V12 Спуск частичного закона</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Общий факт о факторизации; собственные контрпримеры; P19; D6</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Известная математика в модели</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Нужны насыщенность домена и согласованность выходов.</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V13 Спектр восстанавливает смысл</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K6; контрпример D6; Гл. 9</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Неверно без данных</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Профили 011 и 101 имеют одинаковые сингулярные числа, но разные a.</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V14 XOR фактор переносит AND</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N31 лемма 6; D5; P18 и D5</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Неверно для этого фактора</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Ядро α не идеал покоординатного кольца. Аддитивный фактор корректен.</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V15 Вероятностный фактор</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Классическое условие сильной агрегируемости; прямой вывод D7; Гл. 19, P27</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Известная математика в модели</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Независимая от h маска достаточна; общая политика μ(h,z) требует новой проверки.</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V16 IDEA доказывает наше прогнозирование</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N13 доступна только аннотация; Гл. 15 и 19</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Не проверено</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Получить определения, область и вид сходимости; численный оптимум не равен прогнозу событий.</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V17 Магический квадрат и исторический порядок</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N36, текст с. 5–13; N03 превью; Гл. 15</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Частично проверено</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Реконструкция порядка отличается от закона изменения; схемы N36 не пересчитаны.</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V18 Первое проективное прочтение Ицзин</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N28; геометрический резерв N35 N38; Гл. 16</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Не установлено</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Широкая формулировка не обеспечена обзором; точная эквивалентность моделей не установлена.</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V19 Универсальная интерпретация и преимущество прогноза</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Внешний эксперимент не выполнен; H15; гл. 13 и 20</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Открыто</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Нужны заранее выбранные данные, альтернативы, разметка и отложенная проверка.</w:t>
            </w:r>
          </w:p>
        </w:tc>
      </w:tr>
      <w:tr>
        <w:trPr>
          <w:cantSplit/>
        </w:trPr>
        <w:tc>
          <w:tcPr>
            <w:tcW w:type="dxa" w:w="2131"/>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V20 Авторская исследовательская интеграция</w:t>
            </w:r>
          </w:p>
        </w:tc>
        <w:tc>
          <w:tcPr>
            <w:tcW w:type="dxa" w:w="2563"/>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K3 K6 K7 и v0.3; Гл. 16 и 22</w:t>
            </w:r>
          </w:p>
        </w:tc>
        <w:tc>
          <w:tcPr>
            <w:tcW w:type="dxa" w:w="178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Авторский синтез</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Связка событий, репера, типов, отказов и аудита документирована. Мировой приоритет не установлен.</w:t>
            </w:r>
          </w:p>
        </w:tc>
      </w:tr>
    </w:tbl>
    <w:bookmarkEnd w:id="41"/>
    <w:bookmarkStart w:id="42" w:name="поправки-для-включения-в-монографию"/>
    <w:p>
      <w:pPr>
        <w:pStyle w:val="Heading2"/>
        <w:widowControl/>
      </w:pPr>
      <w:r>
        <w:t xml:space="preserve">11 Поправки для включения в монографию</w:t>
      </w:r>
    </w:p>
    <w:p>
      <w:pPr>
        <w:pStyle w:val="FirstParagraph"/>
        <w:widowControl/>
      </w:pPr>
      <w:r>
        <w:rPr>
          <w:bCs/>
          <w:b/>
        </w:rPr>
        <w:t xml:space="preserve">Глава 3.</w:t>
      </w:r>
      <w:r>
        <w:t xml:space="preserve"> </w:t>
      </w:r>
      <w:r>
        <w:t xml:space="preserve">Добавить N31 как первичное основание для алгебры масок и единственности перехода; не связывать новизну P17 с шестибитным кодом или XOR. Авторская часть — использование конкретного интерфейса событий.</w:t>
      </w:r>
    </w:p>
    <w:p>
      <w:pPr>
        <w:pStyle w:val="BodyText"/>
        <w:widowControl/>
      </w:pPr>
      <w:r>
        <w:rPr>
          <w:bCs/>
          <w:b/>
        </w:rPr>
        <w:t xml:space="preserve">Глава 4.</w:t>
      </w:r>
      <w:r>
        <w:t xml:space="preserve"> </w:t>
      </w:r>
      <w:r>
        <w:t xml:space="preserve">Вставить ссылку на N08, §3.3–3.4. Разделить формулу α и H15: первая имеет точного предшественника, вторая добавляет имена каналов и гипотезу интерпретации. Не утверждать независимое происхождение формулы без документированной истории разработки.</w:t>
      </w:r>
    </w:p>
    <w:p>
      <w:pPr>
        <w:pStyle w:val="BodyText"/>
        <w:widowControl/>
      </w:pPr>
      <w:r>
        <w:rPr>
          <w:bCs/>
          <w:b/>
        </w:rPr>
        <w:t xml:space="preserve">Глава 5.</w:t>
      </w:r>
      <w:r>
        <w:t xml:space="preserve"> </w:t>
      </w:r>
      <w:r>
        <w:t xml:space="preserve">Сохранить P20 и добавить D2–D3 как уточнения. Указывать минимальность семи координат только в доказанном классе представлений. Формулировку о сохранении информации ограничить состоянием</w:t>
      </w:r>
      <w:r>
        <w:t xml:space="preserve"> </w:t>
      </w:r>
      <m:oMath>
        <m:r>
          <m:t>h</m:t>
        </m:r>
      </m:oMath>
      <w:r>
        <w:t xml:space="preserve">, а для полного предметного состояния требовать отдельного критерия достаточности.</w:t>
      </w:r>
    </w:p>
    <w:p>
      <w:pPr>
        <w:pStyle w:val="BodyText"/>
        <w:widowControl/>
      </w:pPr>
      <w:r>
        <w:rPr>
          <w:bCs/>
          <w:b/>
        </w:rPr>
        <w:t xml:space="preserve">Глава 6.</w:t>
      </w:r>
      <w:r>
        <w:t xml:space="preserve"> </w:t>
      </w:r>
      <w:r>
        <w:t xml:space="preserve">Отнести гармоничность к классической геометрии [M1]. Явно назвать выбранные подъёмы и внешние вспомогательные точки; отделить вычисление двойного отношения от обоснования смысловой роли репера.</w:t>
      </w:r>
    </w:p>
    <w:p>
      <w:pPr>
        <w:pStyle w:val="BodyText"/>
        <w:widowControl/>
      </w:pPr>
      <w:r>
        <w:rPr>
          <w:bCs/>
          <w:b/>
        </w:rPr>
        <w:t xml:space="preserve">Главы 7 и 9.</w:t>
      </w:r>
      <w:r>
        <w:t xml:space="preserve"> </w:t>
      </w:r>
      <w:r>
        <w:t xml:space="preserve">Добавить таблицу типов и контрпример</w:t>
      </w:r>
      <w:r>
        <w:t xml:space="preserve"> </w:t>
      </w:r>
      <m:oMath>
        <m:r>
          <m:t>μ</m:t>
        </m:r>
        <m:d>
          <m:dPr>
            <m:begChr m:val="("/>
            <m:endChr m:val=")"/>
            <m:sepChr m:val=""/>
            <m:grow/>
          </m:dPr>
          <m:e>
            <m:r>
              <m:t>h</m:t>
            </m:r>
          </m:e>
        </m:d>
        <m:r>
          <m:rPr>
            <m:sty m:val="p"/>
          </m:rPr>
          <m:t>=</m:t>
        </m:r>
        <m:r>
          <m:t>h</m:t>
        </m:r>
      </m:oMath>
      <w:r>
        <w:t xml:space="preserve">. Обратимость отдельных фаз не обеспечивает обратимости всей управляемой композиции. Для каждого сжатия указать сохраняемый вопрос и домен.</w:t>
      </w:r>
    </w:p>
    <w:p>
      <w:pPr>
        <w:pStyle w:val="BodyText"/>
        <w:widowControl/>
      </w:pPr>
      <w:r>
        <w:rPr>
          <w:bCs/>
          <w:b/>
        </w:rPr>
        <w:t xml:space="preserve">Главы 15 и 16.</w:t>
      </w:r>
      <w:r>
        <w:t xml:space="preserve"> </w:t>
      </w:r>
      <w:r>
        <w:t xml:space="preserve">Заменить прежний статус N08 «резерв» на установленное точное предшествование; уточнить прочитанные области N31, N06, N35–N36. Использовать матрицу раздела 10. Допустимая формулировка: «В корпусе Курпишева предложена согласованная реализация гексаграммных событий, выбранного проективного подъёма, гармонического репера, типизированного управления и аудита достаточности. Её мировая новизна как совокупности результатов не установлена».</w:t>
      </w:r>
    </w:p>
    <w:p>
      <w:pPr>
        <w:pStyle w:val="BodyText"/>
        <w:widowControl/>
      </w:pPr>
      <w:r>
        <w:rPr>
          <w:bCs/>
          <w:b/>
        </w:rPr>
        <w:t xml:space="preserve">Главы 19 и 20.</w:t>
      </w:r>
      <w:r>
        <w:t xml:space="preserve"> </w:t>
      </w:r>
      <w:r>
        <w:t xml:space="preserve">Сохранить явное условие агрегируемости. Не переносить сходимость оптимизатора IDEA на прогнозирование реальных событий. До испытания оставить</w:t>
      </w:r>
      <w:r>
        <w:t xml:space="preserve"> </w:t>
      </w:r>
      <w:r>
        <w:rPr>
          <w:rStyle w:val="VerbatimChar"/>
        </w:rPr>
        <w:t xml:space="preserve">NOT_RUN</w:t>
      </w:r>
      <w:r>
        <w:t xml:space="preserve"> </w:t>
      </w:r>
      <w:r>
        <w:t xml:space="preserve">и фиксировать отказ при недостаточном основании.</w:t>
      </w:r>
    </w:p>
    <w:p>
      <w:pPr>
        <w:pStyle w:val="BodyText"/>
        <w:widowControl/>
      </w:pPr>
      <w:r>
        <w:t xml:space="preserve">Эти вставки подготовлены как редакционные предложения. Исходный текст v0.3 не перезаписан; включение в следующую редакцию должно сохранять историю атрибуции и отличать настоящую проверку от первоначальных формулировок.</w:t>
      </w:r>
    </w:p>
    <w:bookmarkEnd w:id="42"/>
    <w:bookmarkStart w:id="43" w:name="воспроизводимость-и-незакрытые-вопросы"/>
    <w:p>
      <w:pPr>
        <w:pStyle w:val="Heading2"/>
        <w:widowControl/>
      </w:pPr>
      <w:r>
        <w:t xml:space="preserve">12 Воспроизводимость и незакрытые вопросы</w:t>
      </w:r>
    </w:p>
    <w:p>
      <w:pPr>
        <w:pStyle w:val="FirstParagraph"/>
        <w:widowControl/>
      </w:pPr>
      <w:r>
        <w:t xml:space="preserve">Скрипт</w:t>
      </w:r>
      <w:r>
        <w:t xml:space="preserve"> </w:t>
      </w:r>
      <w:r>
        <w:rPr>
          <w:rStyle w:val="VerbatimChar"/>
        </w:rPr>
        <w:t xml:space="preserve">verify_math.py</w:t>
      </w:r>
      <w:r>
        <w:t xml:space="preserve"> </w:t>
      </w:r>
      <w:r>
        <w:t xml:space="preserve">использует только стандартную библиотеку Python и точные целые и рациональные числа. Запуск:</w:t>
      </w:r>
      <w:r>
        <w:t xml:space="preserve"> </w:t>
      </w:r>
      <w:r>
        <w:rPr>
          <w:rStyle w:val="VerbatimChar"/>
        </w:rPr>
        <w:t xml:space="preserve">python3 verify_math.py</w:t>
      </w:r>
      <w:r>
        <w:t xml:space="preserve">. Он заново создаёт</w:t>
      </w:r>
      <w:r>
        <w:t xml:space="preserve"> </w:t>
      </w:r>
      <w:r>
        <w:rPr>
          <w:rStyle w:val="VerbatimChar"/>
        </w:rPr>
        <w:t xml:space="preserve">MATH_CHECKS.json</w:t>
      </w:r>
      <w:r>
        <w:t xml:space="preserve">.</w:t>
      </w:r>
    </w:p>
    <w:tbl>
      <w:tblPr>
        <w:tblStyle w:val="Table"/>
        <w:tblW w:type="pct" w:w="5000"/>
        <w:jc w:val="center"/>
        <w:tblLayout w:type="fixed"/>
        <w:tblLook w:firstRow="1" w:lastRow="0" w:firstColumn="0" w:lastColumn="0" w:noHBand="0" w:noVBand="0" w:val="0020"/>
        <w:tblBorders>
          <w:top w:val="single" w:sz="4" w:color="D9D9D9"/>
          <w:left w:val="single" w:sz="4" w:color="D9D9D9"/>
          <w:bottom w:val="single" w:sz="4" w:color="D9D9D9"/>
          <w:right w:val="single" w:sz="4" w:color="D9D9D9"/>
          <w:insideH w:val="single" w:sz="4" w:color="D9D9D9"/>
          <w:insideV w:val="single" w:sz="4" w:color="D9D9D9"/>
        </w:tblBorders>
      </w:tblPr>
      <w:tblGrid>
        <w:gridCol w:w="3240"/>
        <w:gridCol w:w="3456"/>
        <w:gridCol w:w="3240"/>
      </w:tblGrid>
      <w:tr>
        <w:trPr>
          <w:tblHeader w:val="true"/>
          <w:cantSplit/>
          <w:tblHeader/>
        </w:trPr>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E2EAF0"/>
          </w:tcPr>
          <w:p>
            <w:pPr>
              <w:pStyle w:val="Compact"/>
              <w:keepNext w:val="0"/>
              <w:spacing w:after="40" w:before="40" w:line="250" w:lineRule="auto"/>
              <w:jc w:val="left"/>
            </w:pPr>
            <w:r>
              <w:rPr>
                <w:b/>
                <w:sz w:val="18"/>
              </w:rPr>
              <w:t xml:space="preserve">Проверка</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E2EAF0"/>
          </w:tcPr>
          <w:p>
            <w:pPr>
              <w:pStyle w:val="Compact"/>
              <w:keepNext w:val="0"/>
              <w:spacing w:after="40" w:before="40" w:line="250" w:lineRule="auto"/>
              <w:jc w:val="left"/>
            </w:pPr>
            <w:r>
              <w:rPr>
                <w:b/>
                <w:sz w:val="18"/>
              </w:rPr>
              <w:t xml:space="preserve">Объём</w:t>
            </w:r>
          </w:p>
        </w:tc>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E2EAF0"/>
          </w:tcPr>
          <w:p>
            <w:pPr>
              <w:pStyle w:val="Compact"/>
              <w:keepNext w:val="0"/>
              <w:spacing w:after="40" w:before="40" w:line="250" w:lineRule="auto"/>
              <w:jc w:val="left"/>
            </w:pPr>
            <w:r>
              <w:rPr>
                <w:b/>
                <w:sz w:val="18"/>
              </w:rPr>
              <w:t xml:space="preserve">Результат</w:t>
            </w:r>
          </w:p>
        </w:tc>
      </w:tr>
      <w:tr>
        <w:trPr>
          <w:cantSplit/>
        </w:trPr>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Профиль и размеры слоёв</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64 состояния</w:t>
            </w:r>
          </w:p>
        </w:tc>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8 слоёв по 8</w:t>
            </w:r>
          </w:p>
        </w:tc>
      </w:tr>
      <w:tr>
        <w:trPr>
          <w:cantSplit/>
        </w:trPr>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XOR и знаковое действие</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4096 пар состояние маска</w:t>
            </w:r>
          </w:p>
        </w:tc>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Тождества выполнены</w:t>
            </w:r>
          </w:p>
        </w:tc>
      </w:tr>
      <w:tr>
        <w:trPr>
          <w:cantSplit/>
        </w:trPr>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Проективные классы</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Все 64 входа</w:t>
            </w:r>
          </w:p>
        </w:tc>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32 без чётности и 64 с чётностью</w:t>
            </w:r>
          </w:p>
        </w:tc>
      </w:tr>
      <w:tr>
        <w:trPr>
          <w:cantSplit/>
        </w:trPr>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Отсутствие трёх коллинеарных точек</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41664 тройки</w:t>
            </w:r>
          </w:p>
        </w:tc>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Коллинеарных троек нет</w:t>
            </w:r>
          </w:p>
        </w:tc>
      </w:tr>
      <w:tr>
        <w:trPr>
          <w:cantSplit/>
        </w:trPr>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Гармоническое дополнение</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4032 упорядоченные пары</w:t>
            </w:r>
          </w:p>
        </w:tc>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Отношение −1 и внешние точки</w:t>
            </w:r>
          </w:p>
        </w:tc>
      </w:tr>
      <w:tr>
        <w:trPr>
          <w:cantSplit/>
        </w:trPr>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Контрпримеры факторизации</w:t>
            </w:r>
          </w:p>
        </w:tc>
        <w:tc>
          <w:tcPr>
            <w:tcW w:type="dxa" w:w="3456"/>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Явные битовые свидетели</w:t>
            </w:r>
          </w:p>
        </w:tc>
        <w:tc>
          <w:tcPr>
            <w:tcW w:type="dxa" w:w="3240"/>
            <w:vAlign w:val="center"/>
            <w:tcBorders>
              <w:top w:val="single" w:sz="4" w:color="D9D9D9"/>
              <w:left w:val="single" w:sz="4" w:color="D9D9D9"/>
              <w:bottom w:val="single" w:sz="4" w:color="D9D9D9"/>
              <w:right w:val="single" w:sz="4" w:color="D9D9D9"/>
            </w:tcBorders>
            <w:tcMar>
              <w:top w:w="75" w:type="dxa"/>
              <w:bottom w:w="75" w:type="dxa"/>
              <w:left w:w="95" w:type="dxa"/>
              <w:right w:w="95" w:type="dxa"/>
            </w:tcMar>
            <w:shd w:fill="FFFFFF"/>
          </w:tcPr>
          <w:p>
            <w:pPr>
              <w:pStyle w:val="Compact"/>
              <w:keepNext w:val="0"/>
              <w:spacing w:after="40" w:before="40" w:line="250" w:lineRule="auto"/>
              <w:jc w:val="left"/>
            </w:pPr>
            <w:r>
              <w:rPr>
                <w:b w:val="0"/>
                <w:sz w:val="18"/>
              </w:rPr>
              <w:t xml:space="preserve">Потери и несовместимости подтверждены</w:t>
            </w:r>
          </w:p>
        </w:tc>
      </w:tr>
    </w:tbl>
    <w:p>
      <w:pPr>
        <w:pStyle w:val="BodyText"/>
        <w:widowControl/>
      </w:pPr>
      <w:r>
        <w:t xml:space="preserve">Перебор независимо реализует указанные конечные равенства, но не заменяет доказательства, экспертизу смыслового кодирования или внешнюю научную рецензию. Общая минимальность D3 и критерии D6–D7 обоснованы в тексте, а не объявлены доказанными конечным перебором.</w:t>
      </w:r>
    </w:p>
    <w:p>
      <w:pPr>
        <w:pStyle w:val="BodyText"/>
        <w:widowControl/>
      </w:pPr>
      <w:r>
        <w:t xml:space="preserve">Для следующего цикла нужны конкретные материалы. У Cook — полный текст определения LRS и его основных теорем. У IDEA — уравнения трёх преобразований, полная схема алгоритма, тип пространства состояний и доказательство сходимости. У Dong — с. 127–135 перевода либо оригинал с. 12–19 для геометрии и групп. У Sun Li — чёткие изображения всех квадратов, после чего возможен пересчёт преобразований и периода. У Schöter — скан выпуска Oracle 2(8) для снятия пагинационного расхождения. У собственных Томов I и V — формальное сопоставление типов, а не только терминов. Эти задачи остаются открытыми, доступ к закрытым текстам не имитировался.</w:t>
      </w:r>
    </w:p>
    <w:bookmarkEnd w:id="43"/>
    <w:bookmarkStart w:id="57" w:name="источники-и-состав-дополнения"/>
    <w:p>
      <w:pPr>
        <w:pStyle w:val="Heading2"/>
        <w:widowControl/>
      </w:pPr>
      <w:r>
        <w:t xml:space="preserve">13 Источники и состав дополнения</w:t>
      </w:r>
    </w:p>
    <w:p>
      <w:pPr>
        <w:pStyle w:val="FirstParagraph"/>
        <w:widowControl/>
        <w:spacing w:after="80"/>
      </w:pPr>
      <w:r>
        <w:rPr>
          <w:sz w:val="19"/>
        </w:rPr>
        <w:t xml:space="preserve">Ниже перечислены ключевые проверенные маршруты доступа; полные 74 записи, прежние аннотации и новые статусы находятся в</w:t>
      </w:r>
      <w:r>
        <w:rPr>
          <w:sz w:val="19"/>
        </w:rPr>
        <w:t xml:space="preserve"> </w:t>
      </w:r>
      <w:r>
        <w:rPr>
          <w:rStyle w:val="VerbatimChar"/>
          <w:sz w:val="19"/>
        </w:rPr>
        <w:t xml:space="preserve">BIBLIOGRAPHY_v0_3_1.json</w:t>
      </w:r>
      <w:r>
        <w:rPr>
          <w:sz w:val="19"/>
        </w:rPr>
        <w:t xml:space="preserve"> </w:t>
      </w:r>
      <w:r>
        <w:rPr>
          <w:sz w:val="19"/>
        </w:rPr>
        <w:t xml:space="preserve">и</w:t>
      </w:r>
      <w:r>
        <w:rPr>
          <w:sz w:val="19"/>
        </w:rPr>
        <w:t xml:space="preserve"> </w:t>
      </w:r>
      <w:r>
        <w:rPr>
          <w:rStyle w:val="VerbatimChar"/>
          <w:sz w:val="19"/>
        </w:rPr>
        <w:t xml:space="preserve">.bib</w:t>
      </w:r>
      <w:r>
        <w:rPr>
          <w:sz w:val="19"/>
        </w:rPr>
        <w:t xml:space="preserve">.</w:t>
      </w:r>
    </w:p>
    <w:p>
      <w:pPr>
        <w:widowControl/>
        <w:numPr>
          <w:ilvl w:val="0"/>
          <w:numId w:val="1001"/>
        </w:numPr>
        <w:pStyle w:val="Compact"/>
        <w:spacing w:after="80"/>
      </w:pPr>
      <w:r>
        <w:rPr>
          <w:bCs/>
          <w:b/>
          <w:sz w:val="19"/>
        </w:rPr>
        <w:t xml:space="preserve">N31</w:t>
      </w:r>
      <w:r>
        <w:rPr>
          <w:sz w:val="19"/>
        </w:rPr>
        <w:t xml:space="preserve"> </w:t>
      </w:r>
      <w:r>
        <w:rPr>
          <w:sz w:val="19"/>
        </w:rPr>
        <w:t xml:space="preserve">Goldenberg D. S.</w:t>
      </w:r>
      <w:r>
        <w:rPr>
          <w:sz w:val="19"/>
        </w:rPr>
        <w:t xml:space="preserve"> </w:t>
      </w:r>
      <w:r>
        <w:rPr>
          <w:iCs/>
          <w:i/>
          <w:sz w:val="19"/>
        </w:rPr>
        <w:t xml:space="preserve">The Algebra of the I Ching and its Philosophical Implications</w:t>
      </w:r>
      <w:r>
        <w:rPr>
          <w:sz w:val="19"/>
        </w:rPr>
        <w:t xml:space="preserve">. Journal of Chinese Philosophy 2(2), 1975, 149–179. DOI 10.1111/j.1540-6253.1975.tb00366.x.</w:t>
      </w:r>
      <w:r>
        <w:rPr>
          <w:sz w:val="19"/>
        </w:rPr>
        <w:t xml:space="preserve"> </w:t>
      </w:r>
      <w:hyperlink r:id="rId44">
        <w:r>
          <w:rPr>
            <w:rStyle w:val="Hyperlink"/>
          </w:rPr>
          <w:t xml:space="preserve">Университетская копия</w:t>
        </w:r>
      </w:hyperlink>
      <w:r>
        <w:rPr>
          <w:sz w:val="19"/>
        </w:rPr>
        <w:t xml:space="preserve">.</w:t>
      </w:r>
    </w:p>
    <w:p>
      <w:pPr>
        <w:widowControl/>
        <w:numPr>
          <w:ilvl w:val="0"/>
          <w:numId w:val="1001"/>
        </w:numPr>
        <w:pStyle w:val="Compact"/>
        <w:spacing w:after="80"/>
      </w:pPr>
      <w:r>
        <w:rPr>
          <w:bCs/>
          <w:b/>
          <w:sz w:val="19"/>
        </w:rPr>
        <w:t xml:space="preserve">N04</w:t>
      </w:r>
      <w:r>
        <w:rPr>
          <w:sz w:val="19"/>
        </w:rPr>
        <w:t xml:space="preserve"> </w:t>
      </w:r>
      <w:r>
        <w:rPr>
          <w:sz w:val="19"/>
        </w:rPr>
        <w:t xml:space="preserve">Schöter A.</w:t>
      </w:r>
      <w:r>
        <w:rPr>
          <w:sz w:val="19"/>
        </w:rPr>
        <w:t xml:space="preserve"> </w:t>
      </w:r>
      <w:r>
        <w:rPr>
          <w:iCs/>
          <w:i/>
          <w:sz w:val="19"/>
        </w:rPr>
        <w:t xml:space="preserve">Boolean Algebra and the Yi Jing</w:t>
      </w:r>
      <w:r>
        <w:rPr>
          <w:sz w:val="19"/>
        </w:rPr>
        <w:t xml:space="preserve">. The Oracle 2(7), 1998, 19–34.</w:t>
      </w:r>
      <w:r>
        <w:rPr>
          <w:sz w:val="19"/>
        </w:rPr>
        <w:t xml:space="preserve"> </w:t>
      </w:r>
      <w:hyperlink r:id="rId45">
        <w:r>
          <w:rPr>
            <w:rStyle w:val="Hyperlink"/>
          </w:rPr>
          <w:t xml:space="preserve">Авторский PDF</w:t>
        </w:r>
      </w:hyperlink>
      <w:r>
        <w:rPr>
          <w:sz w:val="19"/>
        </w:rPr>
        <w:t xml:space="preserve">.</w:t>
      </w:r>
    </w:p>
    <w:p>
      <w:pPr>
        <w:widowControl/>
        <w:numPr>
          <w:ilvl w:val="0"/>
          <w:numId w:val="1001"/>
        </w:numPr>
        <w:pStyle w:val="Compact"/>
        <w:spacing w:after="80"/>
      </w:pPr>
      <w:r>
        <w:rPr>
          <w:bCs/>
          <w:b/>
          <w:sz w:val="19"/>
        </w:rPr>
        <w:t xml:space="preserve">N08</w:t>
      </w:r>
      <w:r>
        <w:rPr>
          <w:sz w:val="19"/>
        </w:rPr>
        <w:t xml:space="preserve"> </w:t>
      </w:r>
      <w:r>
        <w:rPr>
          <w:sz w:val="19"/>
        </w:rPr>
        <w:t xml:space="preserve">Schöter A.</w:t>
      </w:r>
      <w:r>
        <w:rPr>
          <w:sz w:val="19"/>
        </w:rPr>
        <w:t xml:space="preserve"> </w:t>
      </w:r>
      <w:r>
        <w:rPr>
          <w:iCs/>
          <w:i/>
          <w:sz w:val="19"/>
        </w:rPr>
        <w:t xml:space="preserve">Correctness and Correspondence</w:t>
      </w:r>
      <w:r>
        <w:rPr>
          <w:sz w:val="19"/>
        </w:rPr>
        <w:t xml:space="preserve">. The Oracle 2(8), 1999. 25–37 по авторскому примечанию; конфликт пагинации описан выше.</w:t>
      </w:r>
      <w:r>
        <w:rPr>
          <w:sz w:val="19"/>
        </w:rPr>
        <w:t xml:space="preserve"> </w:t>
      </w:r>
      <w:hyperlink r:id="rId46">
        <w:r>
          <w:rPr>
            <w:rStyle w:val="Hyperlink"/>
          </w:rPr>
          <w:t xml:space="preserve">Авторский текст</w:t>
        </w:r>
      </w:hyperlink>
      <w:r>
        <w:rPr>
          <w:sz w:val="19"/>
        </w:rPr>
        <w:t xml:space="preserve">.</w:t>
      </w:r>
    </w:p>
    <w:p>
      <w:pPr>
        <w:widowControl/>
        <w:numPr>
          <w:ilvl w:val="0"/>
          <w:numId w:val="1001"/>
        </w:numPr>
        <w:pStyle w:val="Compact"/>
        <w:spacing w:after="80"/>
      </w:pPr>
      <w:r>
        <w:rPr>
          <w:bCs/>
          <w:b/>
          <w:sz w:val="19"/>
        </w:rPr>
        <w:t xml:space="preserve">N06</w:t>
      </w:r>
      <w:r>
        <w:rPr>
          <w:sz w:val="19"/>
        </w:rPr>
        <w:t xml:space="preserve"> </w:t>
      </w:r>
      <w:r>
        <w:rPr>
          <w:sz w:val="19"/>
        </w:rPr>
        <w:t xml:space="preserve">Schöter A.</w:t>
      </w:r>
      <w:r>
        <w:rPr>
          <w:sz w:val="19"/>
        </w:rPr>
        <w:t xml:space="preserve"> </w:t>
      </w:r>
      <w:r>
        <w:rPr>
          <w:iCs/>
          <w:i/>
          <w:sz w:val="19"/>
        </w:rPr>
        <w:t xml:space="preserve">Bipolar Change</w:t>
      </w:r>
      <w:r>
        <w:rPr>
          <w:sz w:val="19"/>
        </w:rPr>
        <w:t xml:space="preserve">. Journal of Chinese Philosophy 35(2), 2008, 297–317. DOI 10.1111/j.1540-6253.2008.00479.x.</w:t>
      </w:r>
      <w:r>
        <w:rPr>
          <w:sz w:val="19"/>
        </w:rPr>
        <w:t xml:space="preserve"> </w:t>
      </w:r>
      <w:hyperlink r:id="rId47">
        <w:r>
          <w:rPr>
            <w:rStyle w:val="Hyperlink"/>
          </w:rPr>
          <w:t xml:space="preserve">Авторская версия</w:t>
        </w:r>
      </w:hyperlink>
      <w:r>
        <w:rPr>
          <w:sz w:val="19"/>
        </w:rPr>
        <w:t xml:space="preserve">.</w:t>
      </w:r>
    </w:p>
    <w:p>
      <w:pPr>
        <w:widowControl/>
        <w:numPr>
          <w:ilvl w:val="0"/>
          <w:numId w:val="1001"/>
        </w:numPr>
        <w:pStyle w:val="Compact"/>
        <w:spacing w:after="80"/>
      </w:pPr>
      <w:r>
        <w:rPr>
          <w:bCs/>
          <w:b/>
          <w:sz w:val="19"/>
        </w:rPr>
        <w:t xml:space="preserve">N03</w:t>
      </w:r>
      <w:r>
        <w:rPr>
          <w:sz w:val="19"/>
        </w:rPr>
        <w:t xml:space="preserve"> </w:t>
      </w:r>
      <w:r>
        <w:rPr>
          <w:sz w:val="19"/>
        </w:rPr>
        <w:t xml:space="preserve">Cook R. S.</w:t>
      </w:r>
      <w:r>
        <w:rPr>
          <w:sz w:val="19"/>
        </w:rPr>
        <w:t xml:space="preserve"> </w:t>
      </w:r>
      <w:r>
        <w:rPr>
          <w:iCs/>
          <w:i/>
          <w:sz w:val="19"/>
        </w:rPr>
        <w:t xml:space="preserve">Classical Chinese Combinatorics</w:t>
      </w:r>
      <w:r>
        <w:rPr>
          <w:sz w:val="19"/>
        </w:rPr>
        <w:t xml:space="preserve">. STEDT Monograph 5, 2006.</w:t>
      </w:r>
      <w:r>
        <w:rPr>
          <w:sz w:val="19"/>
        </w:rPr>
        <w:t xml:space="preserve"> </w:t>
      </w:r>
      <w:hyperlink r:id="rId48">
        <w:r>
          <w:rPr>
            <w:rStyle w:val="Hyperlink"/>
          </w:rPr>
          <w:t xml:space="preserve">Превью</w:t>
        </w:r>
      </w:hyperlink>
      <w:r>
        <w:rPr>
          <w:sz w:val="19"/>
        </w:rPr>
        <w:t xml:space="preserve">.</w:t>
      </w:r>
    </w:p>
    <w:p>
      <w:pPr>
        <w:widowControl/>
        <w:numPr>
          <w:ilvl w:val="0"/>
          <w:numId w:val="1001"/>
        </w:numPr>
        <w:pStyle w:val="Compact"/>
        <w:spacing w:after="80"/>
      </w:pPr>
      <w:r>
        <w:rPr>
          <w:bCs/>
          <w:b/>
          <w:sz w:val="19"/>
        </w:rPr>
        <w:t xml:space="preserve">N13</w:t>
      </w:r>
      <w:r>
        <w:rPr>
          <w:sz w:val="19"/>
        </w:rPr>
        <w:t xml:space="preserve"> </w:t>
      </w:r>
      <w:r>
        <w:rPr>
          <w:sz w:val="19"/>
        </w:rPr>
        <w:t xml:space="preserve">Chen C. L. P., Zhang T., Chen L., Tam S. C.</w:t>
      </w:r>
      <w:r>
        <w:rPr>
          <w:sz w:val="19"/>
        </w:rPr>
        <w:t xml:space="preserve"> </w:t>
      </w:r>
      <w:r>
        <w:rPr>
          <w:iCs/>
          <w:i/>
          <w:sz w:val="19"/>
        </w:rPr>
        <w:t xml:space="preserve">I-Ching Divination Evolutionary Algorithm and its Convergence Analysis</w:t>
      </w:r>
      <w:r>
        <w:rPr>
          <w:sz w:val="19"/>
        </w:rPr>
        <w:t xml:space="preserve">. IEEE Transactions on Cybernetics 47(1), 2017, 2–13. DOI 10.1109/TCYB.2015.2512286.</w:t>
      </w:r>
      <w:r>
        <w:rPr>
          <w:sz w:val="19"/>
        </w:rPr>
        <w:t xml:space="preserve"> </w:t>
      </w:r>
      <w:hyperlink r:id="rId49">
        <w:r>
          <w:rPr>
            <w:rStyle w:val="Hyperlink"/>
          </w:rPr>
          <w:t xml:space="preserve">Аннотация PubMed</w:t>
        </w:r>
      </w:hyperlink>
      <w:r>
        <w:rPr>
          <w:sz w:val="19"/>
        </w:rPr>
        <w:t xml:space="preserve">.</w:t>
      </w:r>
    </w:p>
    <w:p>
      <w:pPr>
        <w:widowControl/>
        <w:numPr>
          <w:ilvl w:val="0"/>
          <w:numId w:val="1001"/>
        </w:numPr>
        <w:pStyle w:val="Compact"/>
        <w:spacing w:after="80"/>
      </w:pPr>
      <w:r>
        <w:rPr>
          <w:bCs/>
          <w:b/>
          <w:sz w:val="19"/>
        </w:rPr>
        <w:t xml:space="preserve">N35</w:t>
      </w:r>
      <w:r>
        <w:rPr>
          <w:sz w:val="19"/>
        </w:rPr>
        <w:t xml:space="preserve"> </w:t>
      </w:r>
      <w:r>
        <w:rPr>
          <w:sz w:val="19"/>
        </w:rPr>
        <w:t xml:space="preserve">董光璧. 易经与数学. 自然辩证法通讯 VII(3), 1985, 12–19 по записи перевода.</w:t>
      </w:r>
      <w:r>
        <w:rPr>
          <w:sz w:val="19"/>
        </w:rPr>
        <w:t xml:space="preserve"> </w:t>
      </w:r>
      <w:hyperlink r:id="rId50">
        <w:r>
          <w:rPr>
            <w:rStyle w:val="Hyperlink"/>
          </w:rPr>
          <w:t xml:space="preserve">Издательская карточка</w:t>
        </w:r>
      </w:hyperlink>
      <w:r>
        <w:rPr>
          <w:sz w:val="19"/>
        </w:rPr>
        <w:t xml:space="preserve">.</w:t>
      </w:r>
    </w:p>
    <w:p>
      <w:pPr>
        <w:widowControl/>
        <w:numPr>
          <w:ilvl w:val="0"/>
          <w:numId w:val="1001"/>
        </w:numPr>
        <w:pStyle w:val="Compact"/>
        <w:spacing w:after="80"/>
      </w:pPr>
      <w:r>
        <w:rPr>
          <w:bCs/>
          <w:b/>
          <w:sz w:val="19"/>
        </w:rPr>
        <w:t xml:space="preserve">N38</w:t>
      </w:r>
      <w:r>
        <w:rPr>
          <w:sz w:val="19"/>
        </w:rPr>
        <w:t xml:space="preserve"> </w:t>
      </w:r>
      <w:r>
        <w:rPr>
          <w:sz w:val="19"/>
        </w:rPr>
        <w:t xml:space="preserve">Dong Guangbi.</w:t>
      </w:r>
      <w:r>
        <w:rPr>
          <w:sz w:val="19"/>
        </w:rPr>
        <w:t xml:space="preserve"> </w:t>
      </w:r>
      <w:r>
        <w:rPr>
          <w:iCs/>
          <w:i/>
          <w:sz w:val="19"/>
        </w:rPr>
        <w:t xml:space="preserve">The Book of Changes and Mathematics</w:t>
      </w:r>
      <w:r>
        <w:rPr>
          <w:sz w:val="19"/>
        </w:rPr>
        <w:t xml:space="preserve">. In: Fan Dainian, Robert S. Cohen, eds. </w:t>
      </w:r>
      <w:r>
        <w:rPr>
          <w:iCs/>
          <w:i/>
          <w:sz w:val="19"/>
        </w:rPr>
        <w:t xml:space="preserve">Chinese Studies in the History and Philosophy of Science and Technology</w:t>
      </w:r>
      <w:r>
        <w:rPr>
          <w:sz w:val="19"/>
        </w:rPr>
        <w:t xml:space="preserve">. Boston Studies 179. 1996. 125–135. DOI 10.1007/978-94-015-8717-4_12.</w:t>
      </w:r>
      <w:r>
        <w:rPr>
          <w:sz w:val="19"/>
        </w:rPr>
        <w:t xml:space="preserve"> </w:t>
      </w:r>
      <w:hyperlink r:id="rId51">
        <w:r>
          <w:rPr>
            <w:rStyle w:val="Hyperlink"/>
          </w:rPr>
          <w:t xml:space="preserve">Глава</w:t>
        </w:r>
      </w:hyperlink>
      <w:r>
        <w:rPr>
          <w:sz w:val="19"/>
        </w:rPr>
        <w:t xml:space="preserve">,</w:t>
      </w:r>
      <w:r>
        <w:rPr>
          <w:sz w:val="19"/>
        </w:rPr>
        <w:t xml:space="preserve"> </w:t>
      </w:r>
      <w:hyperlink r:id="rId52">
        <w:r>
          <w:rPr>
            <w:rStyle w:val="Hyperlink"/>
          </w:rPr>
          <w:t xml:space="preserve">превью</w:t>
        </w:r>
      </w:hyperlink>
      <w:r>
        <w:rPr>
          <w:sz w:val="19"/>
        </w:rPr>
        <w:t xml:space="preserve">.</w:t>
      </w:r>
    </w:p>
    <w:p>
      <w:pPr>
        <w:widowControl/>
        <w:numPr>
          <w:ilvl w:val="0"/>
          <w:numId w:val="1001"/>
        </w:numPr>
        <w:pStyle w:val="Compact"/>
        <w:spacing w:after="80"/>
      </w:pPr>
      <w:r>
        <w:rPr>
          <w:bCs/>
          <w:b/>
          <w:sz w:val="19"/>
        </w:rPr>
        <w:t xml:space="preserve">N36</w:t>
      </w:r>
      <w:r>
        <w:rPr>
          <w:sz w:val="19"/>
        </w:rPr>
        <w:t xml:space="preserve"> </w:t>
      </w:r>
      <w:r>
        <w:rPr>
          <w:sz w:val="19"/>
        </w:rPr>
        <w:t xml:space="preserve">孙利 著，张沛 整理. 论《周易》古经卦序构造的数学原理——先天六十四卦到今本卦序的幻方推演. 周易研究 2019(2), 5–13.</w:t>
      </w:r>
      <w:r>
        <w:rPr>
          <w:sz w:val="19"/>
        </w:rPr>
        <w:t xml:space="preserve"> </w:t>
      </w:r>
      <w:hyperlink r:id="rId53">
        <w:r>
          <w:rPr>
            <w:rStyle w:val="Hyperlink"/>
          </w:rPr>
          <w:t xml:space="preserve">Текст документа</w:t>
        </w:r>
      </w:hyperlink>
      <w:r>
        <w:rPr>
          <w:sz w:val="19"/>
        </w:rPr>
        <w:t xml:space="preserve">.</w:t>
      </w:r>
    </w:p>
    <w:p>
      <w:pPr>
        <w:widowControl/>
        <w:numPr>
          <w:ilvl w:val="0"/>
          <w:numId w:val="1001"/>
        </w:numPr>
        <w:pStyle w:val="Compact"/>
        <w:spacing w:after="80"/>
      </w:pPr>
      <w:r>
        <w:rPr>
          <w:bCs/>
          <w:b/>
          <w:sz w:val="19"/>
        </w:rPr>
        <w:t xml:space="preserve">M1</w:t>
      </w:r>
      <w:r>
        <w:rPr>
          <w:sz w:val="19"/>
        </w:rPr>
        <w:t xml:space="preserve"> </w:t>
      </w:r>
      <w:r>
        <w:rPr>
          <w:sz w:val="19"/>
        </w:rPr>
        <w:t xml:space="preserve">Cameron P. J.</w:t>
      </w:r>
      <w:r>
        <w:rPr>
          <w:sz w:val="19"/>
        </w:rPr>
        <w:t xml:space="preserve"> </w:t>
      </w:r>
      <w:r>
        <w:rPr>
          <w:iCs/>
          <w:i/>
          <w:sz w:val="19"/>
        </w:rPr>
        <w:t xml:space="preserve">Projective and Polar Spaces</w:t>
      </w:r>
      <w:r>
        <w:rPr>
          <w:sz w:val="19"/>
        </w:rPr>
        <w:t xml:space="preserve">. 2nd ed., 2000, §4.5.</w:t>
      </w:r>
      <w:r>
        <w:rPr>
          <w:sz w:val="19"/>
        </w:rPr>
        <w:t xml:space="preserve"> </w:t>
      </w:r>
      <w:hyperlink r:id="rId54">
        <w:r>
          <w:rPr>
            <w:rStyle w:val="Hyperlink"/>
          </w:rPr>
          <w:t xml:space="preserve">Глава 4</w:t>
        </w:r>
      </w:hyperlink>
      <w:r>
        <w:rPr>
          <w:sz w:val="19"/>
        </w:rPr>
        <w:t xml:space="preserve">.</w:t>
      </w:r>
    </w:p>
    <w:p>
      <w:pPr>
        <w:widowControl/>
        <w:numPr>
          <w:ilvl w:val="0"/>
          <w:numId w:val="1001"/>
        </w:numPr>
        <w:pStyle w:val="Compact"/>
        <w:spacing w:after="80"/>
      </w:pPr>
      <w:r>
        <w:rPr>
          <w:bCs/>
          <w:b/>
          <w:sz w:val="19"/>
        </w:rPr>
        <w:t xml:space="preserve">N28</w:t>
      </w:r>
      <w:r>
        <w:rPr>
          <w:sz w:val="19"/>
        </w:rPr>
        <w:t xml:space="preserve"> </w:t>
      </w:r>
      <w:r>
        <w:rPr>
          <w:sz w:val="19"/>
        </w:rPr>
        <w:t xml:space="preserve">Palmer K.</w:t>
      </w:r>
      <w:r>
        <w:rPr>
          <w:sz w:val="19"/>
        </w:rPr>
        <w:t xml:space="preserve"> </w:t>
      </w:r>
      <w:r>
        <w:rPr>
          <w:iCs/>
          <w:i/>
          <w:sz w:val="19"/>
        </w:rPr>
        <w:t xml:space="preserve">Advanced Special Systems Theory</w:t>
      </w:r>
      <w:r>
        <w:rPr>
          <w:sz w:val="19"/>
        </w:rPr>
        <w:t xml:space="preserve">. Proceedings of the ISSS, 62nd Annual Meeting, 2018.</w:t>
      </w:r>
      <w:r>
        <w:rPr>
          <w:sz w:val="19"/>
        </w:rPr>
        <w:t xml:space="preserve"> </w:t>
      </w:r>
      <w:hyperlink r:id="rId55">
        <w:r>
          <w:rPr>
            <w:rStyle w:val="Hyperlink"/>
          </w:rPr>
          <w:t xml:space="preserve">Первичный PDF</w:t>
        </w:r>
      </w:hyperlink>
      <w:r>
        <w:rPr>
          <w:sz w:val="19"/>
        </w:rPr>
        <w:t xml:space="preserve">.</w:t>
      </w:r>
    </w:p>
    <w:p>
      <w:pPr>
        <w:widowControl/>
        <w:numPr>
          <w:ilvl w:val="0"/>
          <w:numId w:val="1001"/>
        </w:numPr>
        <w:pStyle w:val="Compact"/>
        <w:spacing w:after="80"/>
      </w:pPr>
      <w:r>
        <w:rPr>
          <w:bCs/>
          <w:b/>
          <w:sz w:val="19"/>
        </w:rPr>
        <w:t xml:space="preserve">K3</w:t>
      </w:r>
      <w:r>
        <w:rPr>
          <w:sz w:val="19"/>
        </w:rPr>
        <w:t xml:space="preserve"> </w:t>
      </w:r>
      <w:r>
        <w:rPr>
          <w:sz w:val="19"/>
        </w:rPr>
        <w:t xml:space="preserve">Курпишев И. Б.</w:t>
      </w:r>
      <w:r>
        <w:rPr>
          <w:sz w:val="19"/>
        </w:rPr>
        <w:t xml:space="preserve"> </w:t>
      </w:r>
      <w:r>
        <w:rPr>
          <w:iCs/>
          <w:i/>
          <w:sz w:val="19"/>
        </w:rPr>
        <w:t xml:space="preserve">KASVD R4M.1 Типизированный перенос утверждений</w:t>
      </w:r>
      <w:r>
        <w:rPr>
          <w:sz w:val="19"/>
        </w:rPr>
        <w:t xml:space="preserve">. v0.1.1, 12.10.2026.</w:t>
      </w:r>
      <w:r>
        <w:rPr>
          <w:sz w:val="19"/>
        </w:rPr>
        <w:t xml:space="preserve"> </w:t>
      </w:r>
      <w:hyperlink r:id="rId56">
        <w:r>
          <w:rPr>
            <w:rStyle w:val="Hyperlink"/>
          </w:rPr>
          <w:t xml:space="preserve">Исходный PDF</w:t>
        </w:r>
      </w:hyperlink>
      <w:r>
        <w:rPr>
          <w:sz w:val="19"/>
        </w:rPr>
        <w:t xml:space="preserve">.</w:t>
      </w:r>
    </w:p>
    <w:p>
      <w:pPr>
        <w:widowControl/>
        <w:numPr>
          <w:ilvl w:val="0"/>
          <w:numId w:val="1001"/>
        </w:numPr>
        <w:pStyle w:val="Compact"/>
        <w:spacing w:after="80"/>
      </w:pPr>
      <w:r>
        <w:rPr>
          <w:bCs/>
          <w:b/>
          <w:sz w:val="19"/>
        </w:rPr>
        <w:t xml:space="preserve">K6 и K7</w:t>
      </w:r>
      <w:r>
        <w:rPr>
          <w:sz w:val="19"/>
        </w:rPr>
        <w:t xml:space="preserve"> </w:t>
      </w:r>
      <w:r>
        <w:rPr>
          <w:sz w:val="19"/>
        </w:rPr>
        <w:t xml:space="preserve">Собственные TEX и HTML, проверенные в библиотеке; точные имена файлов, идентификаторы и объёмы чтения сохранены в реестре.</w:t>
      </w:r>
    </w:p>
    <w:p>
      <w:pPr>
        <w:pStyle w:val="FirstParagraph"/>
        <w:widowControl/>
        <w:spacing w:after="80"/>
      </w:pPr>
      <w:r>
        <w:rPr>
          <w:sz w:val="19"/>
        </w:rPr>
        <w:t xml:space="preserve">Архив дополнения содержит основной текст в PDF, DOCX, HTML, Markdown и TEX; обновлённую библиографию JSON и BibTeX; матрицу JSON; журнал доступа и хеши; программу и результат точных проверок. Полные тексты чужих публикаций в архив не переупакованы. Хеши фиксируют прочитанный снимок, а не удостоверяют истинность источника. Отрицательный результат поиска не используется как доказательство отсутствия предшественников.</w:t>
      </w:r>
    </w:p>
    <w:bookmarkEnd w:id="57"/>
    <w:sectPr>
      <w:headerReference w:type="default" r:id="rId9"/>
      <w:headerReference w:type="first" r:id="rId10"/>
      <w:headerReference w:type="even" r:id="rId11"/>
      <w:footerReference w:type="default" r:id="rId12"/>
      <w:footerReference w:type="first" r:id="rId13"/>
      <w:footerReference w:type="even" r:id="rId14"/>
      <w:pgSz w:w="12240" w:h="15840"/>
      <w:pgMar w:left="1152" w:right="1152" w:top="1008" w:bottom="1008" w:header="432" w:footer="4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Дополнение v0.1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Дополнение v0.1   |   </w:t>
    </w:r>
    <w:fldSimple w:instr="PAGE"/>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Дополнение v0.1   |   </w:t>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16"/>
      </w:rPr>
      <w:t>KLT ARBD   •   Дополнение к v0.3   •   20.10.2026</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16"/>
      </w:rPr>
      <w:t>KLT ARBD   •   Дополнение к v0.3   •   20.10.2026</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sz w:val="16"/>
      </w:rPr>
      <w:t>KLT ARBD   •   Дополнение к v0.3   •   20.10.2026</w:t>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Latin Modern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line="264" w:lineRule="auto"/>
    </w:pPr>
    <w:rPr>
      <w:rFonts w:ascii="DejaVu Serif" w:hAnsi="DejaVu Serif" w:eastAsia="Noto Serif CJK SC"/>
      <w:color w:val="000000"/>
      <w:sz w:val="21"/>
    </w:rPr>
  </w:style>
  <w:style w:styleId="BodyText" w:type="paragraph">
    <w:name w:val="Body Text"/>
    <w:basedOn w:val="Normal"/>
    <w:link w:val="BodyTextChar"/>
    <w:pPr>
      <w:spacing w:after="120" w:before="180" w:line="264" w:lineRule="auto"/>
    </w:pPr>
    <w:qFormat/>
    <w:rPr>
      <w:rFonts w:ascii="DejaVu Serif" w:hAnsi="DejaVu Serif" w:eastAsia="Noto Serif CJK SC"/>
      <w:color w:val="000000"/>
      <w:sz w:val="21"/>
    </w:rPr>
  </w:style>
  <w:style w:customStyle="1" w:styleId="FirstParagraph" w:type="paragraph">
    <w:name w:val="First Paragraph"/>
    <w:basedOn w:val="BodyText"/>
    <w:next w:val="BodyText"/>
    <w:qFormat/>
    <w:pPr>
      <w:spacing w:after="120" w:line="264" w:lineRule="auto"/>
    </w:pPr>
    <w:rPr>
      <w:rFonts w:ascii="DejaVu Serif" w:hAnsi="DejaVu Serif" w:eastAsia="Noto Serif CJK SC"/>
      <w:color w:val="000000"/>
      <w:sz w:val="21"/>
    </w:rPr>
  </w:style>
  <w:style w:customStyle="1" w:styleId="Compact" w:type="paragraph">
    <w:name w:val="Compact"/>
    <w:basedOn w:val="BodyText"/>
    <w:qFormat/>
    <w:pPr>
      <w:spacing w:after="120" w:before="36" w:line="264" w:lineRule="auto"/>
    </w:pPr>
    <w:rPr>
      <w:rFonts w:ascii="DejaVu Serif" w:hAnsi="DejaVu Serif" w:eastAsia="Noto Serif CJK SC"/>
      <w:color w:val="000000"/>
      <w:sz w:val="21"/>
    </w:rPr>
  </w:style>
  <w:style w:styleId="Title" w:type="paragraph">
    <w:name w:val="Title"/>
    <w:basedOn w:val="Normal"/>
    <w:next w:val="BodyText"/>
    <w:qFormat/>
    <w:pPr>
      <w:keepNext/>
      <w:keepLines/>
      <w:spacing w:after="120" w:before="0" w:line="264" w:lineRule="auto"/>
      <w:jc w:val="center"/>
    </w:pPr>
    <w:rPr>
      <w:rFonts w:asciiTheme="majorHAnsi" w:cstheme="majorBidi" w:eastAsiaTheme="majorEastAsia" w:hAnsiTheme="majorHAnsi" w:ascii="DejaVu Serif" w:hAnsi="DejaVu Serif" w:eastAsia="Noto Serif CJK SC"/>
      <w:b/>
      <w:bCs/>
      <w:color w:val="000000"/>
      <w:sz w:val="36"/>
      <w:szCs w:val="36"/>
    </w:rPr>
  </w:style>
  <w:style w:styleId="Subtitle" w:type="paragraph">
    <w:name w:val="Subtitle"/>
    <w:basedOn w:val="Title"/>
    <w:next w:val="BodyText"/>
    <w:qFormat/>
    <w:pPr>
      <w:keepNext/>
      <w:keepLines/>
      <w:spacing w:after="120" w:before="0" w:line="264" w:lineRule="auto"/>
      <w:jc w:val="center"/>
    </w:pPr>
    <w:rPr>
      <w:rFonts w:ascii="DejaVu Serif" w:hAnsi="DejaVu Serif" w:eastAsia="Noto Serif CJK SC"/>
      <w:color w:val="000000"/>
      <w:sz w:val="22"/>
      <w:szCs w:val="30"/>
    </w:rPr>
  </w:style>
  <w:style w:customStyle="1" w:styleId="Author" w:type="paragraph">
    <w:name w:val="Author"/>
    <w:next w:val="BodyText"/>
    <w:qFormat/>
    <w:pPr>
      <w:keepNext/>
      <w:keepLines/>
      <w:spacing w:after="120" w:line="264" w:lineRule="auto"/>
      <w:jc w:val="center"/>
    </w:pPr>
    <w:rPr>
      <w:rFonts w:ascii="DejaVu Serif" w:hAnsi="DejaVu Serif" w:eastAsia="Noto Serif CJK SC"/>
      <w:color w:val="000000"/>
      <w:sz w:val="21"/>
    </w:rPr>
  </w:style>
  <w:style w:styleId="Date" w:type="paragraph">
    <w:name w:val="Date"/>
    <w:next w:val="BodyText"/>
    <w:qFormat/>
    <w:pPr>
      <w:keepNext/>
      <w:keepLines/>
      <w:spacing w:after="120" w:line="264" w:lineRule="auto"/>
      <w:jc w:val="center"/>
    </w:pPr>
    <w:rPr>
      <w:rFonts w:ascii="DejaVu Serif" w:hAnsi="DejaVu Serif" w:eastAsia="Noto Serif CJK SC"/>
      <w:color w:val="000000"/>
      <w:sz w:val="21"/>
    </w:rPr>
  </w:style>
  <w:style w:customStyle="1" w:styleId="AbstractTitle" w:type="paragraph">
    <w:name w:val="Abstract Title"/>
    <w:basedOn w:val="Normal"/>
    <w:next w:val="Abstract"/>
    <w:qFormat/>
    <w:pPr>
      <w:keepNext/>
      <w:keepLines/>
      <w:jc w:val="center"/>
      <w:spacing w:after="120" w:before="300" w:line="264" w:lineRule="auto"/>
    </w:pPr>
    <w:rPr>
      <w:color w:val="000000"/>
      <w:sz w:val="21"/>
      <w:szCs w:val="20"/>
      <w:rFonts w:ascii="DejaVu Serif" w:hAnsi="DejaVu Serif" w:eastAsia="Noto Serif CJK SC"/>
      <w:b/>
    </w:rPr>
  </w:style>
  <w:style w:customStyle="1" w:styleId="Abstract" w:type="paragraph">
    <w:name w:val="Abstract"/>
    <w:basedOn w:val="Normal"/>
    <w:next w:val="BodyText"/>
    <w:qFormat/>
    <w:pPr>
      <w:keepNext/>
      <w:keepLines/>
      <w:spacing w:after="120" w:before="100" w:line="264" w:lineRule="auto"/>
    </w:pPr>
    <w:rPr>
      <w:rFonts w:ascii="DejaVu Serif" w:hAnsi="DejaVu Serif" w:eastAsia="Noto Serif CJK SC"/>
      <w:color w:val="000000"/>
      <w:sz w:val="21"/>
      <w:szCs w:val="20"/>
    </w:rPr>
  </w:style>
  <w:style w:styleId="Bibliography" w:type="paragraph">
    <w:name w:val="Bibliography"/>
    <w:basedOn w:val="Normal"/>
    <w:next w:val="Bibliography"/>
    <w:qFormat/>
    <w:pPr>
      <w:spacing w:after="120" w:line="264" w:lineRule="auto"/>
    </w:pPr>
    <w:rPr>
      <w:rFonts w:ascii="DejaVu Serif" w:hAnsi="DejaVu Serif" w:eastAsia="Noto Serif CJK SC"/>
      <w:color w:val="000000"/>
      <w:sz w:val="21"/>
    </w:rPr>
  </w:style>
  <w:style w:styleId="Heading1" w:type="paragraph">
    <w:name w:val="Heading 1"/>
    <w:basedOn w:val="Normal"/>
    <w:next w:val="BodyText"/>
    <w:uiPriority w:val="9"/>
    <w:qFormat/>
    <w:pPr>
      <w:keepNext/>
      <w:keepLines/>
      <w:spacing w:after="120" w:before="200" w:line="264" w:lineRule="auto"/>
      <w:outlineLvl w:val="0"/>
    </w:pPr>
    <w:rPr>
      <w:rFonts w:asciiTheme="majorHAnsi" w:cstheme="majorBidi" w:eastAsiaTheme="majorEastAsia" w:hAnsiTheme="majorHAnsi" w:ascii="DejaVu Serif" w:hAnsi="DejaVu Serif" w:eastAsia="Noto Serif CJK SC"/>
      <w:b/>
      <w:bCs/>
      <w:color w:val="000000"/>
      <w:sz w:val="28"/>
      <w:szCs w:val="32"/>
    </w:rPr>
  </w:style>
  <w:style w:styleId="Heading2" w:type="paragraph">
    <w:name w:val="Heading 2"/>
    <w:basedOn w:val="Normal"/>
    <w:next w:val="BodyText"/>
    <w:uiPriority w:val="9"/>
    <w:unhideWhenUsed/>
    <w:qFormat/>
    <w:pPr>
      <w:keepNext/>
      <w:keepLines/>
      <w:spacing w:after="120" w:before="200" w:line="264" w:lineRule="auto"/>
      <w:outlineLvl w:val="1"/>
    </w:pPr>
    <w:rPr>
      <w:rFonts w:asciiTheme="majorHAnsi" w:cstheme="majorBidi" w:eastAsiaTheme="majorEastAsia" w:hAnsiTheme="majorHAnsi" w:ascii="DejaVu Serif" w:hAnsi="DejaVu Serif" w:eastAsia="Noto Serif CJK SC"/>
      <w:b/>
      <w:bCs/>
      <w:color w:val="000000"/>
      <w:sz w:val="26"/>
      <w:szCs w:val="28"/>
    </w:rPr>
  </w:style>
  <w:style w:styleId="Heading3" w:type="paragraph">
    <w:name w:val="Heading 3"/>
    <w:basedOn w:val="Normal"/>
    <w:next w:val="BodyText"/>
    <w:uiPriority w:val="9"/>
    <w:unhideWhenUsed/>
    <w:qFormat/>
    <w:pPr>
      <w:keepNext/>
      <w:keepLines/>
      <w:spacing w:after="120" w:before="200" w:line="264" w:lineRule="auto"/>
      <w:outlineLvl w:val="2"/>
    </w:pPr>
    <w:rPr>
      <w:rFonts w:asciiTheme="majorHAnsi" w:cstheme="majorBidi" w:eastAsiaTheme="majorEastAsia" w:hAnsiTheme="majorHAnsi" w:ascii="DejaVu Serif" w:hAnsi="DejaVu Serif" w:eastAsia="Noto Serif CJK SC"/>
      <w:b/>
      <w:bCs/>
      <w:color w:val="000000"/>
      <w:sz w:val="22"/>
      <w:szCs w:val="24"/>
    </w:rPr>
  </w:style>
  <w:style w:styleId="Heading4" w:type="paragraph">
    <w:name w:val="Heading 4"/>
    <w:basedOn w:val="Normal"/>
    <w:next w:val="BodyText"/>
    <w:uiPriority w:val="9"/>
    <w:unhideWhenUsed/>
    <w:qFormat/>
    <w:pPr>
      <w:keepNext/>
      <w:keepLines/>
      <w:spacing w:after="120" w:before="200" w:line="264" w:lineRule="auto"/>
      <w:outlineLvl w:val="3"/>
    </w:pPr>
    <w:rPr>
      <w:rFonts w:asciiTheme="majorHAnsi" w:cstheme="majorBidi" w:eastAsiaTheme="majorEastAsia" w:hAnsiTheme="majorHAnsi" w:ascii="DejaVu Serif" w:hAnsi="DejaVu Serif" w:eastAsia="Noto Serif CJK SC"/>
      <w:i/>
      <w:bCs/>
      <w:color w:val="000000"/>
      <w:sz w:val="21"/>
      <w:szCs w:val="24"/>
    </w:rPr>
  </w:style>
  <w:style w:styleId="Heading5" w:type="paragraph">
    <w:name w:val="Heading 5"/>
    <w:basedOn w:val="Normal"/>
    <w:next w:val="BodyText"/>
    <w:uiPriority w:val="9"/>
    <w:unhideWhenUsed/>
    <w:qFormat/>
    <w:pPr>
      <w:keepNext/>
      <w:keepLines/>
      <w:spacing w:after="120" w:before="200" w:line="264" w:lineRule="auto"/>
      <w:outlineLvl w:val="4"/>
    </w:pPr>
    <w:rPr>
      <w:rFonts w:asciiTheme="majorHAnsi" w:cstheme="majorBidi" w:eastAsiaTheme="majorEastAsia" w:hAnsiTheme="majorHAnsi" w:ascii="DejaVu Serif" w:hAnsi="DejaVu Serif" w:eastAsia="Noto Serif CJK SC"/>
      <w:iCs/>
      <w:color w:val="000000"/>
      <w:sz w:val="21"/>
      <w:szCs w:val="24"/>
    </w:rPr>
  </w:style>
  <w:style w:styleId="Heading6" w:type="paragraph">
    <w:name w:val="Heading 6"/>
    <w:basedOn w:val="Normal"/>
    <w:next w:val="BodyText"/>
    <w:uiPriority w:val="9"/>
    <w:unhideWhenUsed/>
    <w:qFormat/>
    <w:pPr>
      <w:keepNext/>
      <w:keepLines/>
      <w:spacing w:after="120" w:before="200" w:line="264" w:lineRule="auto"/>
      <w:outlineLvl w:val="5"/>
    </w:pPr>
    <w:rPr>
      <w:rFonts w:asciiTheme="majorHAnsi" w:cstheme="majorBidi" w:eastAsiaTheme="majorEastAsia" w:hAnsiTheme="majorHAnsi" w:ascii="DejaVu Serif" w:hAnsi="DejaVu Serif" w:eastAsia="Noto Serif CJK SC"/>
      <w:color w:val="000000"/>
      <w:sz w:val="21"/>
      <w:szCs w:val="24"/>
    </w:rPr>
  </w:style>
  <w:style w:styleId="Heading7" w:type="paragraph">
    <w:name w:val="Heading 7"/>
    <w:basedOn w:val="Normal"/>
    <w:next w:val="BodyText"/>
    <w:uiPriority w:val="9"/>
    <w:unhideWhenUsed/>
    <w:qFormat/>
    <w:pPr>
      <w:keepNext/>
      <w:keepLines/>
      <w:spacing w:after="120" w:before="200" w:line="264" w:lineRule="auto"/>
      <w:outlineLvl w:val="6"/>
    </w:pPr>
    <w:rPr>
      <w:rFonts w:asciiTheme="majorHAnsi" w:cstheme="majorBidi" w:eastAsiaTheme="majorEastAsia" w:hAnsiTheme="majorHAnsi" w:ascii="DejaVu Serif" w:hAnsi="DejaVu Serif" w:eastAsia="Noto Serif CJK SC"/>
      <w:color w:val="000000"/>
      <w:sz w:val="21"/>
      <w:szCs w:val="24"/>
    </w:rPr>
  </w:style>
  <w:style w:styleId="Heading8" w:type="paragraph">
    <w:name w:val="Heading 8"/>
    <w:basedOn w:val="Normal"/>
    <w:next w:val="BodyText"/>
    <w:uiPriority w:val="9"/>
    <w:unhideWhenUsed/>
    <w:qFormat/>
    <w:pPr>
      <w:keepNext/>
      <w:keepLines/>
      <w:spacing w:after="120" w:before="200" w:line="264" w:lineRule="auto"/>
      <w:outlineLvl w:val="7"/>
    </w:pPr>
    <w:rPr>
      <w:rFonts w:asciiTheme="majorHAnsi" w:cstheme="majorBidi" w:eastAsiaTheme="majorEastAsia" w:hAnsiTheme="majorHAnsi" w:ascii="DejaVu Serif" w:hAnsi="DejaVu Serif" w:eastAsia="Noto Serif CJK SC"/>
      <w:color w:val="000000"/>
      <w:sz w:val="21"/>
      <w:szCs w:val="24"/>
    </w:rPr>
  </w:style>
  <w:style w:styleId="Heading9" w:type="paragraph">
    <w:name w:val="Heading 9"/>
    <w:basedOn w:val="Normal"/>
    <w:next w:val="BodyText"/>
    <w:uiPriority w:val="9"/>
    <w:unhideWhenUsed/>
    <w:qFormat/>
    <w:pPr>
      <w:keepNext/>
      <w:keepLines/>
      <w:spacing w:after="120" w:before="200" w:line="264" w:lineRule="auto"/>
      <w:outlineLvl w:val="8"/>
    </w:pPr>
    <w:rPr>
      <w:rFonts w:asciiTheme="majorHAnsi" w:cstheme="majorBidi" w:eastAsiaTheme="majorEastAsia" w:hAnsiTheme="majorHAnsi" w:ascii="DejaVu Serif" w:hAnsi="DejaVu Serif" w:eastAsia="Noto Serif CJK SC"/>
      <w:color w:val="000000"/>
      <w:sz w:val="21"/>
      <w:szCs w:val="24"/>
    </w:rPr>
  </w:style>
  <w:style w:styleId="BlockText" w:type="paragraph">
    <w:name w:val="Block Text"/>
    <w:basedOn w:val="BodyText"/>
    <w:next w:val="BodyText"/>
    <w:uiPriority w:val="9"/>
    <w:unhideWhenUsed/>
    <w:qFormat/>
    <w:pPr>
      <w:spacing w:after="120" w:before="100" w:line="264" w:lineRule="auto"/>
      <w:ind w:firstLine="0" w:left="480" w:right="480"/>
    </w:pPr>
    <w:rPr>
      <w:rFonts w:ascii="DejaVu Serif" w:hAnsi="DejaVu Serif" w:eastAsia="Noto Serif CJK SC"/>
      <w:color w:val="000000"/>
      <w:sz w:val="21"/>
    </w:rPr>
  </w:style>
  <w:style w:styleId="FootnoteText" w:type="paragraph">
    <w:name w:val="Footnote Text"/>
    <w:basedOn w:val="Normal"/>
    <w:next w:val="FootnoteText"/>
    <w:uiPriority w:val="9"/>
    <w:unhideWhenUsed/>
    <w:qFormat/>
    <w:pPr>
      <w:spacing w:after="120" w:line="264" w:lineRule="auto"/>
    </w:pPr>
    <w:rPr>
      <w:rFonts w:ascii="DejaVu Serif" w:hAnsi="DejaVu Serif" w:eastAsia="Noto Serif CJK SC"/>
      <w:color w:val="000000"/>
      <w:sz w:val="21"/>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120" w:line="264" w:lineRule="auto"/>
    </w:pPr>
    <w:rPr>
      <w:rFonts w:ascii="DejaVu Serif" w:hAnsi="DejaVu Serif" w:eastAsia="Noto Serif CJK SC"/>
      <w:b/>
      <w:color w:val="000000"/>
      <w:sz w:val="21"/>
    </w:rPr>
  </w:style>
  <w:style w:customStyle="1" w:styleId="Definition" w:type="paragraph">
    <w:name w:val="Definition"/>
    <w:basedOn w:val="Normal"/>
    <w:pPr>
      <w:spacing w:after="120" w:line="264" w:lineRule="auto"/>
    </w:pPr>
    <w:rPr>
      <w:rFonts w:ascii="DejaVu Serif" w:hAnsi="DejaVu Serif" w:eastAsia="Noto Serif CJK SC"/>
      <w:color w:val="000000"/>
      <w:sz w:val="21"/>
    </w:rPr>
  </w:style>
  <w:style w:styleId="Caption" w:type="paragraph">
    <w:name w:val="Caption"/>
    <w:basedOn w:val="Normal"/>
    <w:link w:val="BodyTextChar"/>
    <w:pPr>
      <w:spacing w:after="120" w:before="0" w:line="264" w:lineRule="auto"/>
    </w:pPr>
    <w:rPr>
      <w:rFonts w:ascii="DejaVu Serif" w:hAnsi="DejaVu Serif" w:eastAsia="Noto Serif CJK SC"/>
      <w:i/>
      <w:color w:val="000000"/>
      <w:sz w:val="21"/>
    </w:rPr>
  </w:style>
  <w:style w:customStyle="1" w:styleId="TableCaption" w:type="paragraph">
    <w:name w:val="Table Caption"/>
    <w:basedOn w:val="Caption"/>
    <w:pPr>
      <w:keepNext/>
      <w:spacing w:after="120" w:line="264" w:lineRule="auto"/>
    </w:pPr>
    <w:rPr>
      <w:rFonts w:ascii="DejaVu Serif" w:hAnsi="DejaVu Serif" w:eastAsia="Noto Serif CJK SC"/>
      <w:color w:val="000000"/>
      <w:sz w:val="21"/>
    </w:rPr>
  </w:style>
  <w:style w:customStyle="1" w:styleId="ImageCaption" w:type="paragraph">
    <w:name w:val="Image Caption"/>
    <w:basedOn w:val="Caption"/>
    <w:pPr>
      <w:spacing w:after="120" w:line="264" w:lineRule="auto"/>
    </w:pPr>
    <w:rPr>
      <w:rFonts w:ascii="DejaVu Serif" w:hAnsi="DejaVu Serif" w:eastAsia="Noto Serif CJK SC"/>
      <w:color w:val="000000"/>
      <w:sz w:val="21"/>
    </w:rPr>
  </w:style>
  <w:style w:customStyle="1" w:styleId="Figure" w:type="paragraph">
    <w:name w:val="Figure"/>
    <w:basedOn w:val="Normal"/>
    <w:pPr>
      <w:spacing w:after="120" w:line="264" w:lineRule="auto"/>
    </w:pPr>
    <w:rPr>
      <w:rFonts w:ascii="DejaVu Serif" w:hAnsi="DejaVu Serif" w:eastAsia="Noto Serif CJK SC"/>
      <w:color w:val="000000"/>
      <w:sz w:val="21"/>
    </w:rPr>
  </w:style>
  <w:style w:customStyle="1" w:styleId="CaptionedFigure" w:type="paragraph">
    <w:name w:val="Captioned Figure"/>
    <w:basedOn w:val="Figure"/>
    <w:pPr>
      <w:keepNext/>
      <w:spacing w:after="120" w:line="264" w:lineRule="auto"/>
    </w:pPr>
    <w:rPr>
      <w:rFonts w:ascii="DejaVu Serif" w:hAnsi="DejaVu Serif" w:eastAsia="Noto Serif CJK SC"/>
      <w:color w:val="000000"/>
      <w:sz w:val="21"/>
    </w:r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64" w:lineRule="auto" w:after="120"/>
      <w:outlineLvl w:val="9"/>
    </w:pPr>
    <w:rPr>
      <w:rFonts w:asciiTheme="majorHAnsi" w:cstheme="majorBidi" w:eastAsiaTheme="majorEastAsia" w:hAnsiTheme="majorHAnsi" w:ascii="DejaVu Serif" w:hAnsi="DejaVu Serif" w:eastAsia="Noto Serif CJK SC"/>
      <w:b w:val="0"/>
      <w:bCs w:val="0"/>
      <w:color w:val="000000"/>
      <w:sz w:val="21"/>
    </w:rPr>
  </w:style>
  <w:style w:type="paragraph" w:customStyle="1" w:styleId="SourceCode">
    <w:name w:val="Source Code"/>
    <w:basedOn w:val="Normal"/>
    <w:link w:val="VerbatimChar"/>
    <w:pPr>
      <w:wordWrap w:val="off"/>
      <w:spacing w:after="120" w:line="264" w:lineRule="auto"/>
    </w:pPr>
    <w:rPr>
      <w:rFonts w:ascii="DejaVu Serif" w:hAnsi="DejaVu Serif" w:eastAsia="Noto Serif CJK SC"/>
      <w:color w:val="000000"/>
      <w:sz w:val="21"/>
    </w:r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44" Type="http://schemas.openxmlformats.org/officeDocument/2006/relationships/hyperlink" Target="https://as.ff.uni-lj.si/sites/default/files/documents/Goldenberg%201975%20_The%20Algebra%20of%20the%20I%20Ching%20.pdf" TargetMode="External"/><Relationship Id="rId56" Type="http://schemas.openxmlformats.org/officeDocument/2006/relationships/hyperlink" Target="https://drive.google.com/file/d/1HLOltGpwqVkRDg-SmoyiC9ON29hM4YKw/view" TargetMode="External"/><Relationship Id="rId50" Type="http://schemas.openxmlformats.org/officeDocument/2006/relationships/hyperlink" Target="https://jdn.ucas.ac.cn/home/journal/view/id/300" TargetMode="External"/><Relationship Id="rId55" Type="http://schemas.openxmlformats.org/officeDocument/2006/relationships/hyperlink" Target="https://journals.isss.org/index.php/proceedings62nd/article/download/3489/1049/12086" TargetMode="External"/><Relationship Id="rId48" Type="http://schemas.openxmlformats.org/officeDocument/2006/relationships/hyperlink" Target="https://linguistics.berkeley.edu/~rscook/images/CCCprev/CCCprev.html" TargetMode="External"/><Relationship Id="rId45" Type="http://schemas.openxmlformats.org/officeDocument/2006/relationships/hyperlink" Target="https://linguistics.berkeley.edu/~rscook/zhou1_yi4/schoter-oracle.pdf" TargetMode="External"/><Relationship Id="rId51" Type="http://schemas.openxmlformats.org/officeDocument/2006/relationships/hyperlink" Target="https://link.springer.com/chapter/10.1007/978-94-015-8717-4_12" TargetMode="External"/><Relationship Id="rId52" Type="http://schemas.openxmlformats.org/officeDocument/2006/relationships/hyperlink" Target="https://page-one.springer.com/pdf/preview/10.1007/978-94-015-8717-4_12" TargetMode="External"/><Relationship Id="rId49" Type="http://schemas.openxmlformats.org/officeDocument/2006/relationships/hyperlink" Target="https://pubmed.ncbi.nlm.nih.gov/26800558/" TargetMode="External"/><Relationship Id="rId54" Type="http://schemas.openxmlformats.org/officeDocument/2006/relationships/hyperlink" Target="https://webspace.maths.qmul.ac.uk/p.j.cameron/pps/pps4.pdf" TargetMode="External"/><Relationship Id="rId46" Type="http://schemas.openxmlformats.org/officeDocument/2006/relationships/hyperlink" Target="https://www.academia.edu/112202290/Correctness_and_Correspondence" TargetMode="External"/><Relationship Id="rId47" Type="http://schemas.openxmlformats.org/officeDocument/2006/relationships/hyperlink" Target="https://www.researchgate.net/publication/249389491_Bipolar_change" TargetMode="External"/><Relationship Id="rId53" Type="http://schemas.openxmlformats.org/officeDocument/2006/relationships/hyperlink" Target="https://www.scribd.com/document/637183369" TargetMode="Externa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header" Target="header3.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44" Type="http://schemas.openxmlformats.org/officeDocument/2006/relationships/hyperlink" Target="https://as.ff.uni-lj.si/sites/default/files/documents/Goldenberg%201975%20_The%20Algebra%20of%20the%20I%20Ching%20.pdf" TargetMode="External"/><Relationship Id="rId56" Type="http://schemas.openxmlformats.org/officeDocument/2006/relationships/hyperlink" Target="https://drive.google.com/file/d/1HLOltGpwqVkRDg-SmoyiC9ON29hM4YKw/view" TargetMode="External"/><Relationship Id="rId50" Type="http://schemas.openxmlformats.org/officeDocument/2006/relationships/hyperlink" Target="https://jdn.ucas.ac.cn/home/journal/view/id/300" TargetMode="External"/><Relationship Id="rId55" Type="http://schemas.openxmlformats.org/officeDocument/2006/relationships/hyperlink" Target="https://journals.isss.org/index.php/proceedings62nd/article/download/3489/1049/12086" TargetMode="External"/><Relationship Id="rId48" Type="http://schemas.openxmlformats.org/officeDocument/2006/relationships/hyperlink" Target="https://linguistics.berkeley.edu/~rscook/images/CCCprev/CCCprev.html" TargetMode="External"/><Relationship Id="rId45" Type="http://schemas.openxmlformats.org/officeDocument/2006/relationships/hyperlink" Target="https://linguistics.berkeley.edu/~rscook/zhou1_yi4/schoter-oracle.pdf" TargetMode="External"/><Relationship Id="rId51" Type="http://schemas.openxmlformats.org/officeDocument/2006/relationships/hyperlink" Target="https://link.springer.com/chapter/10.1007/978-94-015-8717-4_12" TargetMode="External"/><Relationship Id="rId52" Type="http://schemas.openxmlformats.org/officeDocument/2006/relationships/hyperlink" Target="https://page-one.springer.com/pdf/preview/10.1007/978-94-015-8717-4_12" TargetMode="External"/><Relationship Id="rId49" Type="http://schemas.openxmlformats.org/officeDocument/2006/relationships/hyperlink" Target="https://pubmed.ncbi.nlm.nih.gov/26800558/" TargetMode="External"/><Relationship Id="rId54" Type="http://schemas.openxmlformats.org/officeDocument/2006/relationships/hyperlink" Target="https://webspace.maths.qmul.ac.uk/p.j.cameron/pps/pps4.pdf" TargetMode="External"/><Relationship Id="rId46" Type="http://schemas.openxmlformats.org/officeDocument/2006/relationships/hyperlink" Target="https://www.academia.edu/112202290/Correctness_and_Correspondence" TargetMode="External"/><Relationship Id="rId47" Type="http://schemas.openxmlformats.org/officeDocument/2006/relationships/hyperlink" Target="https://www.researchgate.net/publication/249389491_Bipolar_change" TargetMode="External"/><Relationship Id="rId53" Type="http://schemas.openxmlformats.org/officeDocument/2006/relationships/hyperlink" Target="https://www.scribd.com/document/6371833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Математические интерпретации Книги Перемен и границы новизны KLT ARBD</dc:title>
  <dc:creator>Исследовательский материал для И. Б. Курпишева</dc:creator>
  <dc:language>ru-RU</dc:language>
  <cp:keywords>NOT_ESTABLISHED; KLT-ARBD; KASVD; Yijing</cp:keywords>
  <dcterms:created xsi:type="dcterms:W3CDTF">2026-10-20T09:21:43Z</dcterms:created>
  <dcterms:modified xsi:type="dcterms:W3CDTF">2026-10-20T09:21:43Z</dcterms:modified>
  <dc:subject>Источниковедческое дополнение к монографии v0.3</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 октября 2026 года</vt:lpwstr>
  </property>
  <property fmtid="{D5CDD505-2E9C-101B-9397-08002B2CF9AE}" pid="3" name="subtitle">
    <vt:lpwstr>Источниковедческое дополнение к монографии версии 0 3</vt:lpwstr>
  </property>
</Properties>
</file>