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KLT-RBD基础项目</w:t>
      </w:r>
    </w:p>
    <w:p>
      <w:pPr>
        <w:pStyle w:val="Title"/>
        <w:jc w:val="center"/>
      </w:pPr>
      <w:r>
        <w:t>第六卷 · KLT-RBD化学</w:t>
      </w:r>
    </w:p>
    <w:p>
      <w:pPr>
        <w:pStyle w:val="Subtitle"/>
        <w:jc w:val="center"/>
      </w:pPr>
      <w:r>
        <w:t>Evidence-D、DHC₍chem₎、标架图、匹配零模型、盲预测与负向约束性结果</w:t>
      </w:r>
    </w:p>
    <w:p>
      <w:pPr>
        <w:jc w:val="center"/>
      </w:pPr>
      <w:r>
        <w:t>作者：伊万·鲍里索维奇·库尔皮舍夫（Ivan Borisovich Kurpishev）· 独立研究者 · 加里宁格勒 · 2026</w:t>
      </w:r>
    </w:p>
    <w:p>
      <w:pPr>
        <w:pStyle w:val="Subtitle"/>
        <w:jc w:val="center"/>
      </w:pPr>
      <w:r>
        <w:t>中文翻译冻结版 T6-ZH-FREEZE-v1.0</w:t>
      </w:r>
    </w:p>
    <w:p>
      <w:pPr>
        <w:jc w:val="center"/>
      </w:pPr>
      <w:r>
        <w:t>唯一规范源：T6-RU-FREEZE-v1.0 · DOCX SHA-256 330a5105d93b4305da586a1cc2add5ab370ed753b7ebf7ffeb2026a87ae79f60</w:t>
      </w:r>
    </w:p>
    <w:p>
      <w:pPr>
        <w:jc w:val="center"/>
      </w:pPr>
      <w:r>
        <w:t>science=ABSTAIN · DHC_chem=OPEN-NOT-CONFIRMED · EXT-RUN=NOT_RUN · truth_layer_promotion=0</w:t>
      </w:r>
    </w:p>
    <w:p>
      <w:r>
        <w:br w:type="page"/>
      </w:r>
    </w:p>
    <w:p>
      <w:pPr>
        <w:pStyle w:val="Heading1"/>
      </w:pPr>
      <w:r>
        <w:t>翻译约束</w:t>
      </w:r>
    </w:p>
    <w:p>
      <w:pPr>
        <w:jc w:val="left"/>
      </w:pPr>
      <w:r>
        <w:t>本译文仅从已冻结的俄文版本派生。公式、状态标记、checkpoint ID、数值以及证明边界均不得因翻译而升级或改写。“ABSTAIN”“OPEN-NOT-CONFIRMED”“NOT_RUN”保持为规范的机器可读状态字符串。</w:t>
      </w:r>
    </w:p>
    <w:p>
      <w:pPr>
        <w:jc w:val="left"/>
      </w:pPr>
      <w:r>
        <w:t>术语约定：Reper 保留为项目专用术语，并译注为“标架元”；D_rep 为“充分根据”的类型化坐标；Dom 为适用域；Evidence-D 为来源绑定证据纪律；matched null 为匹配零模型；blind predictive gate 为盲预测门。</w:t>
      </w:r>
    </w:p>
    <w:p>
      <w:pPr>
        <w:pStyle w:val="Heading1"/>
      </w:pPr>
      <w:r>
        <w:t>目录</w:t>
      </w:r>
    </w:p>
    <w:p>
      <w:pPr>
        <w:jc w:val="left"/>
      </w:pPr>
      <w:r>
        <w:t>1. 第六卷的任务与结论边界</w:t>
      </w:r>
    </w:p>
    <w:p>
      <w:pPr>
        <w:jc w:val="left"/>
      </w:pPr>
      <w:r>
        <w:t>2. 化学作为KLT-RBD的检验域</w:t>
      </w:r>
    </w:p>
    <w:p>
      <w:pPr>
        <w:jc w:val="left"/>
      </w:pPr>
      <w:r>
        <w:t>3. C@C₍chem₎：化学对象的事件@状态</w:t>
      </w:r>
    </w:p>
    <w:p>
      <w:pPr>
        <w:jc w:val="left"/>
      </w:pPr>
      <w:r>
        <w:t>4. Rep₍chem₎=(R,I,U;D_rep)与充分根据的类型化</w:t>
      </w:r>
    </w:p>
    <w:p>
      <w:pPr>
        <w:jc w:val="left"/>
      </w:pPr>
      <w:r>
        <w:t>5. λ-真值、交比与允许域Ωλ</w:t>
      </w:r>
    </w:p>
    <w:p>
      <w:pPr>
        <w:jc w:val="left"/>
      </w:pPr>
      <w:r>
        <w:t>6. KMA、Γ₂,₃与有理比的种子层</w:t>
      </w:r>
    </w:p>
    <w:p>
      <w:pPr>
        <w:jc w:val="left"/>
      </w:pPr>
      <w:r>
        <w:t>7. 化学fiber Fₒ与类型化通道</w:t>
      </w:r>
    </w:p>
    <w:p>
      <w:pPr>
        <w:jc w:val="left"/>
      </w:pPr>
      <w:r>
        <w:t>8. Evidence-D₍chem₎与Eᴰ₀…Eᴰ₄阶梯</w:t>
      </w:r>
    </w:p>
    <w:p>
      <w:pPr>
        <w:jc w:val="left"/>
      </w:pPr>
      <w:r>
        <w:t>9. Dom、单位、不确定度与来源绑定溯源</w:t>
      </w:r>
    </w:p>
    <w:p>
      <w:pPr>
        <w:jc w:val="left"/>
      </w:pPr>
      <w:r>
        <w:t>10. DHC₍chem₎多通道射影构造</w:t>
      </w:r>
    </w:p>
    <w:p>
      <w:pPr>
        <w:jc w:val="left"/>
      </w:pPr>
      <w:r>
        <w:t>11. 匹配类别零模型与plus-one置换p值</w:t>
      </w:r>
    </w:p>
    <w:p>
      <w:pPr>
        <w:jc w:val="left"/>
      </w:pPr>
      <w:r>
        <w:t>12. 多重性与FDR依赖性护照</w:t>
      </w:r>
    </w:p>
    <w:p>
      <w:pPr>
        <w:jc w:val="left"/>
      </w:pPr>
      <w:r>
        <w:t>13. lineage组件、n_eff与置信区间护照</w:t>
      </w:r>
    </w:p>
    <w:p>
      <w:pPr>
        <w:jc w:val="left"/>
      </w:pPr>
      <w:r>
        <w:t>14. 盲预测门与证伪准则</w:t>
      </w:r>
    </w:p>
    <w:p>
      <w:pPr>
        <w:jc w:val="left"/>
      </w:pPr>
      <w:r>
        <w:t>15. v95：NO₂/N₂O₄</w:t>
      </w:r>
    </w:p>
    <w:p>
      <w:pPr>
        <w:jc w:val="left"/>
      </w:pPr>
      <w:r>
        <w:t>16. v96：CO+OH</w:t>
      </w:r>
    </w:p>
    <w:p>
      <w:pPr>
        <w:jc w:val="left"/>
      </w:pPr>
      <w:r>
        <w:t>17. v97：引入DHC₍chem₎</w:t>
      </w:r>
    </w:p>
    <w:p>
      <w:pPr>
        <w:jc w:val="left"/>
      </w:pPr>
      <w:r>
        <w:t>18. v98：反应类别统计</w:t>
      </w:r>
    </w:p>
    <w:p>
      <w:pPr>
        <w:jc w:val="left"/>
      </w:pPr>
      <w:r>
        <w:t>19. v99：预测检验协议</w:t>
      </w:r>
    </w:p>
    <w:p>
      <w:pPr>
        <w:jc w:val="left"/>
      </w:pPr>
      <w:r>
        <w:t>20. v100：doctrine章节</w:t>
      </w:r>
    </w:p>
    <w:p>
      <w:pPr>
        <w:jc w:val="left"/>
      </w:pPr>
      <w:r>
        <w:t>21. v101：类别采集</w:t>
      </w:r>
    </w:p>
    <w:p>
      <w:pPr>
        <w:jc w:val="left"/>
      </w:pPr>
      <w:r>
        <w:t>22. v102：Evidence-D规范化</w:t>
      </w:r>
    </w:p>
    <w:p>
      <w:pPr>
        <w:jc w:val="left"/>
      </w:pPr>
      <w:r>
        <w:t>23. v103：DHC形式化</w:t>
      </w:r>
    </w:p>
    <w:p>
      <w:pPr>
        <w:jc w:val="left"/>
      </w:pPr>
      <w:r>
        <w:t>24. v104：匹配类别零模型</w:t>
      </w:r>
    </w:p>
    <w:p>
      <w:pPr>
        <w:jc w:val="left"/>
      </w:pPr>
      <w:r>
        <w:t>25. v105：盲预测检验</w:t>
      </w:r>
    </w:p>
    <w:p>
      <w:pPr>
        <w:jc w:val="left"/>
      </w:pPr>
      <w:r>
        <w:t>26. v106：KLT-RBD-CHEM更新</w:t>
      </w:r>
    </w:p>
    <w:p>
      <w:pPr>
        <w:jc w:val="left"/>
      </w:pPr>
      <w:r>
        <w:t>27. v107-v110：论文、引擎、可复现包、专著补丁</w:t>
      </w:r>
    </w:p>
    <w:p>
      <w:pPr>
        <w:jc w:val="left"/>
      </w:pPr>
      <w:r>
        <w:t>28. v111-v115：真实Evidence-D与碘-氢分支</w:t>
      </w:r>
    </w:p>
    <w:p>
      <w:pPr>
        <w:jc w:val="left"/>
      </w:pPr>
      <w:r>
        <w:t>29. v116：状态定理与负向约束性闭合</w:t>
      </w:r>
    </w:p>
    <w:p>
      <w:pPr>
        <w:jc w:val="left"/>
      </w:pPr>
      <w:r>
        <w:t>30. ChemGraph、软件语义防火墙、冻结阻断项与下一外部循环</w:t>
      </w:r>
    </w:p>
    <w:p>
      <w:r>
        <w:br w:type="page"/>
      </w:r>
    </w:p>
    <w:p>
      <w:pPr/>
      <w:r>
        <w:t>附录A—T：规范记号、公式核心、theorem/boundary registry、阻断项、checkpoint矩阵、统计护照、source register、object/engine/RBD schemas、可复现性、software firewall、source-carrier policy、review patch contract、freeze receipt、网站路由、参考文献、翻译术语表与manifest。</w:t>
      </w:r>
    </w:p>
    <w:p>
      <w:pPr>
        <w:pStyle w:val="Heading1"/>
      </w:pPr>
      <w:r>
        <w:t>1. 第六卷的任务与结论边界</w:t>
      </w:r>
    </w:p>
    <w:p>
      <w:pPr>
        <w:jc w:val="left"/>
      </w:pPr>
      <w:r>
        <w:t>第六卷并不把化学当作寻找醒目数字巧合的场所，而是把它作为标架—射影方法的压力测试。核心问题是：能否构造一个来源导向的多通道对象，使其射影—调和结构在经过Dom、单位、不确定度、匹配零模型、多重性、盲揭示以及独立验证之后仍然保持。</w:t>
      </w:r>
    </w:p>
    <w:p>
      <w:pPr>
        <w:jc w:val="left"/>
      </w:pPr>
      <w:r>
        <w:t>规范处理链为：</w:t>
      </w:r>
    </w:p>
    <w:p>
      <w:pPr>
        <w:pStyle w:val="Formula"/>
        <w:jc w:val="center"/>
      </w:pPr>
      <w:r>
        <w:t>Fₒ → C@C₍chem₎ → Rep₍chem₎(R,I,U;D_rep) → Evidence-D → Ωλ → λ-profile → CGI-vector → matched-null → blind test → certificate ∨ ABSTAIN.</w:t>
      </w:r>
    </w:p>
    <w:p>
      <w:r>
        <w:br w:type="page"/>
      </w:r>
    </w:p>
    <w:p>
      <w:pPr>
        <w:pStyle w:val="Heading1"/>
      </w:pPr>
      <w:r>
        <w:t>2. 化学作为KLT-RBD的检验域</w:t>
      </w:r>
    </w:p>
    <w:p>
      <w:pPr>
        <w:jc w:val="left"/>
      </w:pPr>
      <w:r>
        <w:t>同一个化学反应式可能把物理上不同的情况合并在一起，例如不同相态、温度、压力、活度、溶剂、催化状态、机理和测量方法。因此，KLT-RBD禁止在没有显式morphism和Dom护照的情况下静默拼接数据。</w:t>
      </w:r>
    </w:p>
    <w:p>
      <w:pPr>
        <w:jc w:val="left"/>
      </w:pPr>
      <w:r>
        <w:t>本卷中的“成功”不由漂亮比值的存在来定义，而由一个类别相对于诚实匹配零模型的预测稳定性来定义。这样，方法从事后描述转向可检验的研究方案。</w:t>
      </w:r>
    </w:p>
    <w:p>
      <w:r>
        <w:br w:type="page"/>
      </w:r>
    </w:p>
    <w:p>
      <w:pPr>
        <w:pStyle w:val="Heading1"/>
      </w:pPr>
      <w:r>
        <w:t>3. C@C₍chem₎：化学对象的事件@状态</w:t>
      </w:r>
    </w:p>
    <w:p>
      <w:pPr>
        <w:jc w:val="left"/>
      </w:pPr>
      <w:r>
        <w:t>C@C₍chem₎区分事件与状态。事件是转变、测量、反应动作或被记录的变化；状态是在该记录具有确定意义时的条件与不变量集合。这一双重结构防止仅因化学式相同，就把一个实验状态中的数值转移到另一个状态。</w:t>
      </w:r>
    </w:p>
    <w:p>
      <w:pPr>
        <w:jc w:val="left"/>
      </w:pPr>
      <w:r>
        <w:t>对于H₂+I₂⇌2HI，宏观平衡和基本自由基步骤HI+H•→H₂+I•是不同的C@C对象。只有通过保持化学计量、自由基平衡、Dom和来源的机理图与RBD-morphism，才允许建立它们之间的联系。</w:t>
      </w:r>
    </w:p>
    <w:p>
      <w:pPr>
        <w:pStyle w:val="Formula"/>
        <w:jc w:val="center"/>
      </w:pPr>
      <w:r>
        <w:t>C@C₍chem₎=(event,state;Dom,source,uncertainty,lineage).</w:t>
      </w:r>
    </w:p>
    <w:p>
      <w:r>
        <w:br w:type="page"/>
      </w:r>
    </w:p>
    <w:p>
      <w:pPr>
        <w:pStyle w:val="Heading1"/>
      </w:pPr>
      <w:r>
        <w:t>4. Rep₍chem₎=(R,I,U;D_rep)与充分根据的类型化</w:t>
      </w:r>
    </w:p>
    <w:p>
      <w:pPr>
        <w:jc w:val="left"/>
      </w:pPr>
      <w:r>
        <w:t>化学Reper写成R、I、U、D_rep四元组。本冻结版使用D_rep命名“充分根据”坐标，以消除它与Evidence-D层级之间的历史记号冲突。D_rep不是“置信度分数”，而是说明一个具体标架四元组为何在声明的适用域内可接受的类型化根据。</w:t>
      </w:r>
    </w:p>
    <w:p>
      <w:pPr>
        <w:jc w:val="left"/>
      </w:pPr>
      <w:r>
        <w:t>如果缺少D_rep，对象可以保留为观测、种子或缺口，但不能进入证明层。</w:t>
      </w:r>
    </w:p>
    <w:p>
      <w:pPr>
        <w:pStyle w:val="Formula"/>
        <w:jc w:val="center"/>
      </w:pPr>
      <w:r>
        <w:t>λ=cr(U,I;R,D_rep)=((U−R)(I−D_rep))/((U−D_rep)(I−R)).</w:t>
      </w:r>
    </w:p>
    <w:p>
      <w:r>
        <w:br w:type="page"/>
      </w:r>
    </w:p>
    <w:p>
      <w:pPr>
        <w:pStyle w:val="Heading1"/>
      </w:pPr>
      <w:r>
        <w:t>5. λ-真值、交比与允许域Ωλ</w:t>
      </w:r>
    </w:p>
    <w:p>
      <w:pPr>
        <w:jc w:val="left"/>
      </w:pPr>
      <w:r>
        <w:t>只有当四个坐标被映射到兼容的无量纲射影域Ωλ时，才允许应用λ层。由量纲不兼容的物理量直接构造的比值不是λ候选。交比的极点与退化构型必须被显式阻断。</w:t>
      </w:r>
    </w:p>
    <w:p>
      <w:pPr>
        <w:jc w:val="left"/>
      </w:pPr>
      <w:r>
        <w:t>调和值λ=−1在本卷中表示结构性的射影—调和条件。它并不等同于关于化学机理、能量或动力学规律的经验真值。科学推断还必须通过Evidence-D、Dom、统计门和预测门。</w:t>
      </w:r>
    </w:p>
    <w:p>
      <w:r>
        <w:br w:type="page"/>
      </w:r>
    </w:p>
    <w:p>
      <w:pPr>
        <w:pStyle w:val="Heading1"/>
      </w:pPr>
      <w:r>
        <w:t>6. KMA、Γ₂,₃与有理比的种子层</w:t>
      </w:r>
    </w:p>
    <w:p>
      <w:pPr>
        <w:jc w:val="left"/>
      </w:pPr>
      <w:r>
        <w:t>历史KMA层使用1/2、1/3、3/4、2/3、2和3作为探索性的有理锚点网格。在第六卷中，这些值只能属于seed/artifact层。观测比值接近某个锚点既不是p值，也不是真值概率，更不是化学证明。</w:t>
      </w:r>
    </w:p>
    <w:p>
      <w:pPr>
        <w:jc w:val="left"/>
      </w:pPr>
      <w:r>
        <w:t>尤其要禁止事后选择锚点。确认性运行之前必须锁定anchor policy；否则该记录只能保持exploratory状态，不能支持预测性状态。</w:t>
      </w:r>
    </w:p>
    <w:p>
      <w:r>
        <w:br w:type="page"/>
      </w:r>
    </w:p>
    <w:p>
      <w:pPr>
        <w:pStyle w:val="Heading1"/>
      </w:pPr>
      <w:r>
        <w:t>7. 化学fiber Fₒ与类型化通道</w:t>
      </w:r>
    </w:p>
    <w:p>
      <w:pPr>
        <w:pStyle w:val="Formula"/>
        <w:jc w:val="center"/>
      </w:pPr>
      <w:r>
        <w:t>Fₒ = (stoich, redox, energy, kin, spec, cat, Dom, D_rep, source, lineage).</w:t>
      </w:r>
    </w:p>
    <w:p>
      <w:pPr>
        <w:jc w:val="left"/>
      </w:pPr>
      <w:r>
        <w:t>同对象（same-object）fiber只能合并属于同一对象的通道，或者由显式定义的RBD-morphism连接的通道。stoich/redox通道具有结构性质；energy、kin、spec和cat则要求数值化的Dom、单位，以及向允许的无量纲投影的变换。projection与identity必须始终区分。</w:t>
      </w:r>
    </w:p>
    <w:p>
      <w:pPr>
        <w:jc w:val="left"/>
      </w:pPr>
      <w:r>
        <w:t>特别是，H₂、I₂、HI的分子光谱常数不能自动充当H•和I•的原子spectral channel。v115已明确禁止这种混合，并将其转入blocker层。</w:t>
      </w:r>
    </w:p>
    <w:p>
      <w:r>
        <w:br w:type="page"/>
      </w:r>
    </w:p>
    <w:p>
      <w:pPr>
        <w:pStyle w:val="Heading1"/>
      </w:pPr>
      <w:r>
        <w:t>8. Evidence-D₍chem₎与Eᴰ₀…Eᴰ₄阶梯</w:t>
      </w:r>
    </w:p>
    <w:p>
      <w:pPr>
        <w:jc w:val="left"/>
      </w:pPr>
      <w:r>
        <w:t>为消除D⁰/D0的记号冲突，来源支撑层级记为Eᴰ₀,…,Eᴰ₄，并且不与D_rep混用。该阶梯描述evidence object的成熟度，但不能代替该对象本身的内容。</w:t>
      </w:r>
    </w:p>
    <w:p>
      <w:pPr>
        <w:pStyle w:val="Formula"/>
        <w:jc w:val="center"/>
      </w:pPr>
      <w:r>
        <w:t>Eᴰ₀ &lt; Eᴰ₁ &lt; Eᴰ₂ &lt; Eᴰ₃ &lt; Eᴰ₄.</w:t>
      </w:r>
    </w:p>
    <w:tbl>
      <w:tblPr>
        <w:tblW w:type="auto" w:w="0"/>
        <w:jc w:val="center"/>
        <w:tblLayout w:type="fixed"/>
        <w:tblLook w:firstColumn="1" w:firstRow="1" w:lastColumn="0" w:lastRow="0" w:noHBand="0" w:noVBand="1" w:val="04A0"/>
      </w:tblPr>
      <w:tblGrid>
        <w:gridCol w:w="3341"/>
        <w:gridCol w:w="3341"/>
        <w:gridCol w:w="3341"/>
      </w:tblGrid>
      <w:tr>
        <w:tc>
          <w:tcPr>
            <w:tcW w:type="dxa" w:w="1152"/>
            <w:vAlign w:val="center"/>
            <w:shd w:fill="D9E2F3"/>
            <w:tcMar>
              <w:top w:w="90" w:type="dxa"/>
              <w:start w:w="110" w:type="dxa"/>
              <w:bottom w:w="90" w:type="dxa"/>
              <w:end w:w="110" w:type="dxa"/>
            </w:tcMar>
          </w:tcPr>
          <w:p>
            <w:pPr>
              <w:jc w:val="center"/>
            </w:pPr>
            <w:r>
              <w:rPr>
                <w:rFonts w:ascii="Noto Serif CJK SC" w:hAnsi="Noto Serif CJK SC" w:eastAsia="Noto Serif CJK SC"/>
                <w:b/>
                <w:sz w:val="18"/>
              </w:rPr>
              <w:t>层级</w:t>
            </w:r>
          </w:p>
        </w:tc>
        <w:tc>
          <w:tcPr>
            <w:tcW w:type="dxa" w:w="5976"/>
            <w:vAlign w:val="center"/>
            <w:shd w:fill="D9E2F3"/>
            <w:tcMar>
              <w:top w:w="90" w:type="dxa"/>
              <w:start w:w="110" w:type="dxa"/>
              <w:bottom w:w="90" w:type="dxa"/>
              <w:end w:w="110" w:type="dxa"/>
            </w:tcMar>
          </w:tcPr>
          <w:p>
            <w:pPr>
              <w:jc w:val="center"/>
            </w:pPr>
            <w:r>
              <w:rPr>
                <w:rFonts w:ascii="Noto Serif CJK SC" w:hAnsi="Noto Serif CJK SC" w:eastAsia="Noto Serif CJK SC"/>
                <w:b/>
                <w:sz w:val="18"/>
              </w:rPr>
              <w:t>最低内容</w:t>
            </w:r>
          </w:p>
        </w:tc>
        <w:tc>
          <w:tcPr>
            <w:tcW w:type="dxa" w:w="2376"/>
            <w:vAlign w:val="center"/>
            <w:shd w:fill="D9E2F3"/>
            <w:tcMar>
              <w:top w:w="90" w:type="dxa"/>
              <w:start w:w="110" w:type="dxa"/>
              <w:bottom w:w="90" w:type="dxa"/>
              <w:end w:w="110" w:type="dxa"/>
            </w:tcMar>
          </w:tcPr>
          <w:p>
            <w:pPr>
              <w:jc w:val="center"/>
            </w:pPr>
            <w:r>
              <w:rPr>
                <w:rFonts w:ascii="Noto Serif CJK SC" w:hAnsi="Noto Serif CJK SC" w:eastAsia="Noto Serif CJK SC"/>
                <w:b/>
                <w:sz w:val="18"/>
              </w:rPr>
              <w:t>允许状态</w:t>
            </w:r>
          </w:p>
        </w:tc>
      </w:tr>
      <w:tr>
        <w:tc>
          <w:tcPr>
            <w:tcW w:type="dxa" w:w="1152"/>
            <w:vAlign w:val="center"/>
            <w:tcMar>
              <w:top w:w="90" w:type="dxa"/>
              <w:start w:w="110" w:type="dxa"/>
              <w:bottom w:w="90" w:type="dxa"/>
              <w:end w:w="110" w:type="dxa"/>
            </w:tcMar>
          </w:tcPr>
          <w:p>
            <w:pPr>
              <w:jc w:val="center"/>
            </w:pPr>
            <w:r>
              <w:rPr>
                <w:rFonts w:ascii="Noto Serif CJK SC" w:hAnsi="Noto Serif CJK SC" w:eastAsia="Noto Serif CJK SC"/>
                <w:sz w:val="18"/>
              </w:rPr>
              <w:t>Eᴰ₀</w:t>
            </w:r>
          </w:p>
        </w:tc>
        <w:tc>
          <w:tcPr>
            <w:tcW w:type="dxa" w:w="5976"/>
            <w:vAlign w:val="center"/>
            <w:tcMar>
              <w:top w:w="90" w:type="dxa"/>
              <w:start w:w="110" w:type="dxa"/>
              <w:bottom w:w="90" w:type="dxa"/>
              <w:end w:w="110" w:type="dxa"/>
            </w:tcMar>
          </w:tcPr>
          <w:p>
            <w:pPr>
              <w:jc w:val="left"/>
            </w:pPr>
            <w:r>
              <w:rPr>
                <w:rFonts w:ascii="Noto Serif CJK SC" w:hAnsi="Noto Serif CJK SC" w:eastAsia="Noto Serif CJK SC"/>
                <w:sz w:val="18"/>
              </w:rPr>
              <w:t>来源标识符 / 来源路径</w:t>
            </w:r>
          </w:p>
        </w:tc>
        <w:tc>
          <w:tcPr>
            <w:tcW w:type="dxa" w:w="2376"/>
            <w:vAlign w:val="center"/>
            <w:tcMar>
              <w:top w:w="90" w:type="dxa"/>
              <w:start w:w="110" w:type="dxa"/>
              <w:bottom w:w="90" w:type="dxa"/>
              <w:end w:w="110" w:type="dxa"/>
            </w:tcMar>
          </w:tcPr>
          <w:p>
            <w:pPr>
              <w:jc w:val="center"/>
            </w:pPr>
            <w:r>
              <w:rPr>
                <w:rFonts w:ascii="Noto Serif CJK SC" w:hAnsi="Noto Serif CJK SC" w:eastAsia="Noto Serif CJK SC"/>
                <w:sz w:val="18"/>
              </w:rPr>
              <w:t>source target</w:t>
            </w:r>
          </w:p>
        </w:tc>
      </w:tr>
      <w:tr>
        <w:tc>
          <w:tcPr>
            <w:tcW w:type="dxa" w:w="1152"/>
            <w:vAlign w:val="center"/>
            <w:tcMar>
              <w:top w:w="90" w:type="dxa"/>
              <w:start w:w="110" w:type="dxa"/>
              <w:bottom w:w="90" w:type="dxa"/>
              <w:end w:w="110" w:type="dxa"/>
            </w:tcMar>
          </w:tcPr>
          <w:p>
            <w:pPr>
              <w:jc w:val="center"/>
            </w:pPr>
            <w:r>
              <w:rPr>
                <w:rFonts w:ascii="Noto Serif CJK SC" w:hAnsi="Noto Serif CJK SC" w:eastAsia="Noto Serif CJK SC"/>
                <w:sz w:val="18"/>
              </w:rPr>
              <w:t>Eᴰ₁</w:t>
            </w:r>
          </w:p>
        </w:tc>
        <w:tc>
          <w:tcPr>
            <w:tcW w:type="dxa" w:w="5976"/>
            <w:vAlign w:val="center"/>
            <w:tcMar>
              <w:top w:w="90" w:type="dxa"/>
              <w:start w:w="110" w:type="dxa"/>
              <w:bottom w:w="90" w:type="dxa"/>
              <w:end w:w="110" w:type="dxa"/>
            </w:tcMar>
          </w:tcPr>
          <w:p>
            <w:pPr>
              <w:jc w:val="left"/>
            </w:pPr>
            <w:r>
              <w:rPr>
                <w:rFonts w:ascii="Noto Serif CJK SC" w:hAnsi="Noto Serif CJK SC" w:eastAsia="Noto Serif CJK SC"/>
                <w:sz w:val="18"/>
              </w:rPr>
              <w:t>文献学身份与locator</w:t>
            </w:r>
          </w:p>
        </w:tc>
        <w:tc>
          <w:tcPr>
            <w:tcW w:type="dxa" w:w="2376"/>
            <w:vAlign w:val="center"/>
            <w:tcMar>
              <w:top w:w="90" w:type="dxa"/>
              <w:start w:w="110" w:type="dxa"/>
              <w:bottom w:w="90" w:type="dxa"/>
              <w:end w:w="110" w:type="dxa"/>
            </w:tcMar>
          </w:tcPr>
          <w:p>
            <w:pPr>
              <w:jc w:val="center"/>
            </w:pPr>
            <w:r>
              <w:rPr>
                <w:rFonts w:ascii="Noto Serif CJK SC" w:hAnsi="Noto Serif CJK SC" w:eastAsia="Noto Serif CJK SC"/>
                <w:sz w:val="18"/>
              </w:rPr>
              <w:t>source-bound</w:t>
            </w:r>
          </w:p>
        </w:tc>
      </w:tr>
      <w:tr>
        <w:tc>
          <w:tcPr>
            <w:tcW w:type="dxa" w:w="1152"/>
            <w:vAlign w:val="center"/>
            <w:tcMar>
              <w:top w:w="90" w:type="dxa"/>
              <w:start w:w="110" w:type="dxa"/>
              <w:bottom w:w="90" w:type="dxa"/>
              <w:end w:w="110" w:type="dxa"/>
            </w:tcMar>
          </w:tcPr>
          <w:p>
            <w:pPr>
              <w:jc w:val="center"/>
            </w:pPr>
            <w:r>
              <w:rPr>
                <w:rFonts w:ascii="Noto Serif CJK SC" w:hAnsi="Noto Serif CJK SC" w:eastAsia="Noto Serif CJK SC"/>
                <w:sz w:val="18"/>
              </w:rPr>
              <w:t>Eᴰ₂</w:t>
            </w:r>
          </w:p>
        </w:tc>
        <w:tc>
          <w:tcPr>
            <w:tcW w:type="dxa" w:w="5976"/>
            <w:vAlign w:val="center"/>
            <w:tcMar>
              <w:top w:w="90" w:type="dxa"/>
              <w:start w:w="110" w:type="dxa"/>
              <w:bottom w:w="90" w:type="dxa"/>
              <w:end w:w="110" w:type="dxa"/>
            </w:tcMar>
          </w:tcPr>
          <w:p>
            <w:pPr>
              <w:jc w:val="left"/>
            </w:pPr>
            <w:r>
              <w:rPr>
                <w:rFonts w:ascii="Noto Serif CJK SC" w:hAnsi="Noto Serif CJK SC" w:eastAsia="Noto Serif CJK SC"/>
                <w:sz w:val="18"/>
              </w:rPr>
              <w:t>数值 + unit + Dom</w:t>
            </w:r>
          </w:p>
        </w:tc>
        <w:tc>
          <w:tcPr>
            <w:tcW w:type="dxa" w:w="2376"/>
            <w:vAlign w:val="center"/>
            <w:tcMar>
              <w:top w:w="90" w:type="dxa"/>
              <w:start w:w="110" w:type="dxa"/>
              <w:bottom w:w="90" w:type="dxa"/>
              <w:end w:w="110" w:type="dxa"/>
            </w:tcMar>
          </w:tcPr>
          <w:p>
            <w:pPr>
              <w:jc w:val="center"/>
            </w:pPr>
            <w:r>
              <w:rPr>
                <w:rFonts w:ascii="Noto Serif CJK SC" w:hAnsi="Noto Serif CJK SC" w:eastAsia="Noto Serif CJK SC"/>
                <w:sz w:val="18"/>
              </w:rPr>
              <w:t>normalized observation</w:t>
            </w:r>
          </w:p>
        </w:tc>
      </w:tr>
      <w:tr>
        <w:tc>
          <w:tcPr>
            <w:tcW w:type="dxa" w:w="1152"/>
            <w:vAlign w:val="center"/>
            <w:tcMar>
              <w:top w:w="90" w:type="dxa"/>
              <w:start w:w="110" w:type="dxa"/>
              <w:bottom w:w="90" w:type="dxa"/>
              <w:end w:w="110" w:type="dxa"/>
            </w:tcMar>
          </w:tcPr>
          <w:p>
            <w:pPr>
              <w:jc w:val="center"/>
            </w:pPr>
            <w:r>
              <w:rPr>
                <w:rFonts w:ascii="Noto Serif CJK SC" w:hAnsi="Noto Serif CJK SC" w:eastAsia="Noto Serif CJK SC"/>
                <w:sz w:val="18"/>
              </w:rPr>
              <w:t>Eᴰ₃</w:t>
            </w:r>
          </w:p>
        </w:tc>
        <w:tc>
          <w:tcPr>
            <w:tcW w:type="dxa" w:w="5976"/>
            <w:vAlign w:val="center"/>
            <w:tcMar>
              <w:top w:w="90" w:type="dxa"/>
              <w:start w:w="110" w:type="dxa"/>
              <w:bottom w:w="90" w:type="dxa"/>
              <w:end w:w="110" w:type="dxa"/>
            </w:tcMar>
          </w:tcPr>
          <w:p>
            <w:pPr>
              <w:jc w:val="left"/>
            </w:pPr>
            <w:r>
              <w:rPr>
                <w:rFonts w:ascii="Noto Serif CJK SC" w:hAnsi="Noto Serif CJK SC" w:eastAsia="Noto Serif CJK SC"/>
                <w:sz w:val="18"/>
              </w:rPr>
              <w:t>uncertainty / method / lineage + 变换控制</w:t>
            </w:r>
          </w:p>
        </w:tc>
        <w:tc>
          <w:tcPr>
            <w:tcW w:type="dxa" w:w="2376"/>
            <w:vAlign w:val="center"/>
            <w:tcMar>
              <w:top w:w="90" w:type="dxa"/>
              <w:start w:w="110" w:type="dxa"/>
              <w:bottom w:w="90" w:type="dxa"/>
              <w:end w:w="110" w:type="dxa"/>
            </w:tcMar>
          </w:tcPr>
          <w:p>
            <w:pPr>
              <w:jc w:val="center"/>
            </w:pPr>
            <w:r>
              <w:rPr>
                <w:rFonts w:ascii="Noto Serif CJK SC" w:hAnsi="Noto Serif CJK SC" w:eastAsia="Noto Serif CJK SC"/>
                <w:sz w:val="18"/>
              </w:rPr>
              <w:t>analysis-ready</w:t>
            </w:r>
          </w:p>
        </w:tc>
      </w:tr>
      <w:tr>
        <w:tc>
          <w:tcPr>
            <w:tcW w:type="dxa" w:w="1152"/>
            <w:vAlign w:val="center"/>
            <w:tcMar>
              <w:top w:w="90" w:type="dxa"/>
              <w:start w:w="110" w:type="dxa"/>
              <w:bottom w:w="90" w:type="dxa"/>
              <w:end w:w="110" w:type="dxa"/>
            </w:tcMar>
          </w:tcPr>
          <w:p>
            <w:pPr>
              <w:jc w:val="center"/>
            </w:pPr>
            <w:r>
              <w:rPr>
                <w:rFonts w:ascii="Noto Serif CJK SC" w:hAnsi="Noto Serif CJK SC" w:eastAsia="Noto Serif CJK SC"/>
                <w:sz w:val="18"/>
              </w:rPr>
              <w:t>Eᴰ₄</w:t>
            </w:r>
          </w:p>
        </w:tc>
        <w:tc>
          <w:tcPr>
            <w:tcW w:type="dxa" w:w="5976"/>
            <w:vAlign w:val="center"/>
            <w:tcMar>
              <w:top w:w="90" w:type="dxa"/>
              <w:start w:w="110" w:type="dxa"/>
              <w:bottom w:w="90" w:type="dxa"/>
              <w:end w:w="110" w:type="dxa"/>
            </w:tcMar>
          </w:tcPr>
          <w:p>
            <w:pPr>
              <w:jc w:val="left"/>
            </w:pPr>
            <w:r>
              <w:rPr>
                <w:rFonts w:ascii="Noto Serif CJK SC" w:hAnsi="Noto Serif CJK SC" w:eastAsia="Noto Serif CJK SC"/>
                <w:sz w:val="18"/>
              </w:rPr>
              <w:t>reproducible package + prereg/null/blind passport</w:t>
            </w:r>
          </w:p>
        </w:tc>
        <w:tc>
          <w:tcPr>
            <w:tcW w:type="dxa" w:w="2376"/>
            <w:vAlign w:val="center"/>
            <w:tcMar>
              <w:top w:w="90" w:type="dxa"/>
              <w:start w:w="110" w:type="dxa"/>
              <w:bottom w:w="90" w:type="dxa"/>
              <w:end w:w="110" w:type="dxa"/>
            </w:tcMar>
          </w:tcPr>
          <w:p>
            <w:pPr>
              <w:jc w:val="center"/>
            </w:pPr>
            <w:r>
              <w:rPr>
                <w:rFonts w:ascii="Noto Serif CJK SC" w:hAnsi="Noto Serif CJK SC" w:eastAsia="Noto Serif CJK SC"/>
                <w:sz w:val="18"/>
              </w:rPr>
              <w:t>candidate-input，非truth</w:t>
            </w:r>
          </w:p>
        </w:tc>
      </w:tr>
    </w:tbl>
    <w:p/>
    <w:p>
      <w:r>
        <w:br w:type="page"/>
      </w:r>
    </w:p>
    <w:p>
      <w:pPr>
        <w:pStyle w:val="Heading1"/>
      </w:pPr>
      <w:r>
        <w:t>9. Dom、单位、不确定度与来源绑定溯源</w:t>
      </w:r>
    </w:p>
    <w:p>
      <w:pPr>
        <w:jc w:val="left"/>
      </w:pPr>
      <w:r>
        <w:t>Dom是适用域的类型：温度、压力、相态、溶剂、ionic strength、bath gas、仪器、方法、calibration以及其他条件。一个数值从一个Dom转移到另一个Dom，只能通过显式的转移定律。缺少该定律即产生blocker。</w:t>
      </w:r>
    </w:p>
    <w:p>
      <w:pPr>
        <w:jc w:val="left"/>
      </w:pPr>
      <w:r>
        <w:t>对于酸碱与电解质问题，在没有活度系数模型时，浓度不能替代活度。对于电化学，平衡电势不能与junction、transport、IR和kinetic effects混合。这些规则记录在blocker ledger B036-B038中。</w:t>
      </w:r>
    </w:p>
    <w:p>
      <w:r>
        <w:br w:type="page"/>
      </w:r>
    </w:p>
    <w:p>
      <w:pPr>
        <w:pStyle w:val="Heading1"/>
      </w:pPr>
      <w:r>
        <w:t>10. DHC₍chem₎多通道射影构造</w:t>
      </w:r>
    </w:p>
    <w:p>
      <w:pPr>
        <w:jc w:val="left"/>
      </w:pPr>
      <w:r>
        <w:t>引入DHC₍chem₎的目的，是从单个λ-hit转向协调的多通道几何。观测到的通道三角形与预先固定的anchor构型比较，而辅助通道承担projection check的作用。</w:t>
      </w:r>
    </w:p>
    <w:p>
      <w:pPr>
        <w:pStyle w:val="Formula"/>
        <w:jc w:val="center"/>
      </w:pPr>
      <w:r>
        <w:t>DHC_ρ = Φ(Δ_obs, Δ_anchor, Π_channels, cr, Dom, D_rep).</w:t>
      </w:r>
    </w:p>
    <w:p>
      <w:pPr>
        <w:jc w:val="left"/>
      </w:pPr>
      <w:r>
        <w:t>v97的seed版本使用C_center、C_axis、C_harm和C_spec的线性组合。到v103，该表达式被重新解释为协议，而不是普遍的度量真值。在缺少统计控制和预测控制时，DHC数值仍只是几何诊断信号。</w:t>
      </w:r>
    </w:p>
    <w:p>
      <w:r>
        <w:br w:type="page"/>
      </w:r>
    </w:p>
    <w:p>
      <w:pPr>
        <w:pStyle w:val="Heading1"/>
      </w:pPr>
      <w:r>
        <w:t>11. 匹配类别零模型与plus-one置换p值</w:t>
      </w:r>
    </w:p>
    <w:p>
      <w:pPr>
        <w:jc w:val="left"/>
      </w:pPr>
      <w:r>
        <w:t>匹配类别零模型保留那些可能人为制造结构的特征：class_id、channel signature、Dom-class、Evidence-D quality、projection_status、数值bins以及lineage constraints。零模型不得把真实类别变成与任意对象混合物的比较。</w:t>
      </w:r>
    </w:p>
    <w:p>
      <w:pPr>
        <w:pStyle w:val="Formula"/>
        <w:jc w:val="center"/>
      </w:pPr>
      <w:r>
        <w:t>p_class = (1 + #{j : S_null^(j) ≥ S_real})/(1+N).</w:t>
      </w:r>
    </w:p>
    <w:p>
      <w:pPr>
        <w:jc w:val="left"/>
      </w:pPr>
      <w:r>
        <w:t>当随机置换次数有限时，plus-one形式排除了零置换p值。本卷把它视为计算纪律，而不是化学假设的独立证明。</w:t>
      </w:r>
    </w:p>
    <w:p>
      <w:r>
        <w:br w:type="page"/>
      </w:r>
    </w:p>
    <w:p>
      <w:pPr>
        <w:pStyle w:val="Heading1"/>
      </w:pPr>
      <w:r>
        <w:t>12. 多重性与FDR依赖性护照</w:t>
      </w:r>
    </w:p>
    <w:p>
      <w:pPr>
        <w:jc w:val="left"/>
      </w:pPr>
      <w:r>
        <w:t>补丁P12-002消除了“BH/FDR自动适用”这一隐含假设。仅仅锁定family还不够：必须事先固定依赖模式，以及对该依赖模式有效的程序。</w:t>
      </w:r>
    </w:p>
    <w:p>
      <w:pPr>
        <w:pStyle w:val="Formula"/>
        <w:jc w:val="center"/>
      </w:pPr>
      <w:r>
        <w:t>G_FDR=PASS ⇔ family_locked ∧ dependence_mode∈{INDEPENDENT,PRDS,CERTIFIED_OTHER} ∧ procedure_valid_for(dependence_mode).</w:t>
      </w:r>
    </w:p>
    <w:p>
      <w:pPr>
        <w:pStyle w:val="Formula"/>
        <w:jc w:val="center"/>
      </w:pPr>
      <w:r>
        <w:t>否则：outcome=ABSTAIN(FDR-DOM).</w:t>
      </w:r>
    </w:p>
    <w:p>
      <w:pPr>
        <w:jc w:val="left"/>
      </w:pPr>
      <w:r>
        <w:t>每个multiplicity family都必须包含dependence_mode和procedure_id。如果使用CERTIFIED_OTHER，则相应的依赖稳健程序必须在holdout揭示之前定义。计算得到的q，不能在所采用程序之定理适用域之外被解释为普遍的FDR保证。</w:t>
      </w:r>
    </w:p>
    <w:p>
      <w:r>
        <w:br w:type="page"/>
      </w:r>
    </w:p>
    <w:p>
      <w:pPr>
        <w:pStyle w:val="Heading1"/>
      </w:pPr>
      <w:r>
        <w:t>13. lineage组件、n_eff与置信区间护照</w:t>
      </w:r>
    </w:p>
    <w:p>
      <w:r>
        <w:t>补丁P12-003对统计单位进行类型化。同一个lineage组件中的多条相关记录，并不等于多个相互独立的观测。因此，effective sample size必须按相互独立的组件构造。</w:t>
      </w:r>
    </w:p>
    <w:p>
      <w:pPr>
        <w:pStyle w:val="Formula"/>
        <w:jc w:val="center"/>
      </w:pPr>
      <w:r>
        <w:t>n_eff = |C_holdout|,     p̂ = (1/n_eff) Σ_{c∈C_holdout} Y_c,   Y_c∈{0,1}.</w:t>
      </w:r>
    </w:p>
    <w:p>
      <w:r>
        <w:t>只有在所声明的Dom中，Bernoulli组件的独立性得到证明时，Wilson区间才可使用。否则必须采用预先选定的cluster-valid程序；在此之前，outcome=ABSTAIN(CONF-UNIT)。必填字段为sample_unit、dependence_certificate和interval_method。</w:t>
      </w:r>
    </w:p>
    <w:p>
      <w:r>
        <w:br w:type="page"/>
      </w:r>
    </w:p>
    <w:p>
      <w:pPr>
        <w:pStyle w:val="Heading1"/>
      </w:pPr>
      <w:r>
        <w:t>14. 盲预测门与证伪准则</w:t>
      </w:r>
    </w:p>
    <w:p>
      <w:r>
        <w:t>Blind protocol把预测与事后解释分开。HiddenChannel、AnchorPolicy、NullModel和Thresholds必须在隐藏通道揭示之前固定。锁定后，使用可见通道进行重建/预测，并把结果与matched null比较。</w:t>
      </w:r>
    </w:p>
    <w:p>
      <w:r>
        <w:t>只有当preregistration、最小效应要求、multiplicity gate、source/Dom completeness以及预测优势同时满足时，才允许支持某一类别。任何必需gate的失败，都不能在查看结果之后通过更换anchor或threshold来“修复”。</w:t>
      </w:r>
    </w:p>
    <w:p>
      <w:pPr>
        <w:pStyle w:val="ListBullet"/>
      </w:pPr>
      <w:r>
        <w:t>Support：预先锁定的协议、足够的n_eff、effect gate、有效null、multiplicity passport以及blind superiority。</w:t>
      </w:r>
    </w:p>
    <w:p>
      <w:pPr>
        <w:pStyle w:val="ListBullet"/>
      </w:pPr>
      <w:r>
        <w:t>Falsification/boundary：DHC_real≤DHC_null、p高于阈值、CGI/blocker gate未通过，或者blind prediction没有优于matched null。</w:t>
      </w:r>
    </w:p>
    <w:p>
      <w:r>
        <w:br w:type="page"/>
      </w:r>
    </w:p>
    <w:p>
      <w:pPr>
        <w:pStyle w:val="Heading1"/>
      </w:pPr>
      <w:r>
        <w:t>15. v95：NO₂/N₂O₄ — kinetic exact row与narrow null</w:t>
      </w:r>
    </w:p>
    <w:p>
      <w:r>
        <w:t>第一次严格的化学检验表明，same-object构造本身并不充分。kinetic row和narrow null没有赋予candidate状态的依据；早期信号仍保持在review level。</w:t>
      </w:r>
    </w:p>
    <w:p>
      <w:pPr>
        <w:pStyle w:val="Heading3"/>
      </w:pPr>
      <w:r>
        <w:t>来源追踪：v95</w:t>
      </w:r>
    </w:p>
    <w:p>
      <w:pPr>
        <w:pStyle w:val="SourceExcerpt"/>
      </w:pPr>
      <w:r>
        <w:t>NO₂/N₂O₄被视为早期的same-object kinetic/narrow-null检验。结果没有通过candidate gate，因此保存为review_required_not_candidate。</w:t>
      </w:r>
    </w:p>
    <w:p>
      <w:pPr>
        <w:pStyle w:val="SourceExcerpt"/>
      </w:pPr>
      <w:r>
        <w:t>v95的方法论贡献：即使存在便利的same-object对象，数值接近和kinetic row也不能替代零模型与来源导向的核验。</w:t>
      </w:r>
    </w:p>
    <w:p>
      <w:pPr>
        <w:pStyle w:val="Small"/>
      </w:pPr>
      <w:r>
        <w:t>Carrier/locator: ХИМИЯ KLT-RBD.pdf / chem_archive.txt lines 1914+</w:t>
      </w:r>
    </w:p>
    <w:p>
      <w:r>
        <w:br w:type="page"/>
      </w:r>
    </w:p>
    <w:p>
      <w:pPr>
        <w:pStyle w:val="Heading1"/>
      </w:pPr>
      <w:r>
        <w:t>16. v96：CO+OH — experimental same-object branch</w:t>
      </w:r>
    </w:p>
    <w:p>
      <w:r>
        <w:t>CO+OH分支加强了经验性的same-object层，但p_null与CGI控制并不支持candidate。这个负向结果成为反对对单个λ进行“拟合”的理由。</w:t>
      </w:r>
    </w:p>
    <w:p>
      <w:pPr>
        <w:pStyle w:val="Heading3"/>
      </w:pPr>
      <w:r>
        <w:t>来源追踪：v96</w:t>
      </w:r>
    </w:p>
    <w:p>
      <w:pPr>
        <w:pStyle w:val="SourceExcerpt"/>
      </w:pPr>
      <w:r>
        <w:t>CO+OH -&gt; CO₂+H打开了experimental same-object branch。后来的v106汇总记录CGI_lambda96=1.08且p_null=0.8901，因此该分支没有支持candidate状态。</w:t>
      </w:r>
    </w:p>
    <w:p>
      <w:pPr>
        <w:pStyle w:val="SourceExcerpt"/>
      </w:pPr>
      <w:r>
        <w:t>这一负向结果促使研究转向class harvest与matched-class null，而不是继续调整单个比值。</w:t>
      </w:r>
    </w:p>
    <w:p>
      <w:pPr>
        <w:pStyle w:val="Small"/>
      </w:pPr>
      <w:r>
        <w:t>Carrier/locator: ХИМИЯ KLT-RBD.pdf / lines 1769+</w:t>
      </w:r>
    </w:p>
    <w:p>
      <w:r>
        <w:br w:type="page"/>
      </w:r>
    </w:p>
    <w:p>
      <w:pPr>
        <w:pStyle w:val="Heading1"/>
      </w:pPr>
      <w:r>
        <w:t>17. v97：引入DHC₍chem₎</w:t>
      </w:r>
    </w:p>
    <w:p>
      <w:r>
        <w:t>DHC₍chem₎是对单个比值局限性的回应：分析对象从孤立比值转向多通道构型。v97仍然属于seed geometry，而不是truth-status。</w:t>
      </w:r>
    </w:p>
    <w:p>
      <w:pPr>
        <w:pStyle w:val="Heading3"/>
      </w:pPr>
      <w:r>
        <w:t>来源追踪：v97</w:t>
      </w:r>
    </w:p>
    <w:p>
      <w:pPr>
        <w:pStyle w:val="SourceExcerpt"/>
      </w:pPr>
      <w:r>
        <w:t>DHC_chem被引入为Desargues-harmonic seed geometry：协调channel triangle以及center/axis/harmonic/spectral components。</w:t>
      </w:r>
    </w:p>
    <w:p>
      <w:pPr>
        <w:pStyle w:val="SourceExcerpt"/>
      </w:pPr>
      <w:r>
        <w:t>v97状态为seed_signal_only。该score用于检测结构图样，而不是统计证明。</w:t>
      </w:r>
    </w:p>
    <w:p>
      <w:pPr>
        <w:pStyle w:val="Small"/>
      </w:pPr>
      <w:r>
        <w:t>Carrier/locator: ХИМИЯ KLT-RBD.pdf / lines 1658+</w:t>
      </w:r>
    </w:p>
    <w:p>
      <w:r>
        <w:br w:type="page"/>
      </w:r>
    </w:p>
    <w:p>
      <w:pPr>
        <w:pStyle w:val="Heading1"/>
      </w:pPr>
      <w:r>
        <w:t>18. v98：reaction-class statistics与underpower</w:t>
      </w:r>
    </w:p>
    <w:p>
      <w:r>
        <w:t>v98表明，在没有足够类别规模时，几何score在统计上是不充分确定的。统计功效不足被明确记录为blocker，而不是降低阈值的理由。</w:t>
      </w:r>
    </w:p>
    <w:p>
      <w:pPr>
        <w:pStyle w:val="Heading3"/>
      </w:pPr>
      <w:r>
        <w:t>来源追踪：v98</w:t>
      </w:r>
    </w:p>
    <w:p>
      <w:pPr>
        <w:pStyle w:val="SourceExcerpt"/>
      </w:pPr>
      <w:r>
        <w:t>Reaction-class statistics表明，同质类别的规模不足。在v106汇总中，blocker BLK-106-003明确记录class-level inference的n&lt;5。</w:t>
      </w:r>
    </w:p>
    <w:p>
      <w:pPr>
        <w:pStyle w:val="SourceExcerpt"/>
      </w:pPr>
      <w:r>
        <w:t>Underpower被登记为critical blocker：不能为了保留假设而降低阈值。</w:t>
      </w:r>
    </w:p>
    <w:p>
      <w:pPr>
        <w:pStyle w:val="Small"/>
      </w:pPr>
      <w:r>
        <w:t>Carrier/locator: ХИМИЯ KLT-RBD.pdf / lines 1511+</w:t>
      </w:r>
    </w:p>
    <w:p>
      <w:r>
        <w:br w:type="page"/>
      </w:r>
    </w:p>
    <w:p>
      <w:pPr>
        <w:pStyle w:val="Heading1"/>
      </w:pPr>
      <w:r>
        <w:t>19. v99：predictive-test protocol</w:t>
      </w:r>
    </w:p>
    <w:p>
      <w:r>
        <w:t>v99开启predictive branch：成功准则从描述已知通道，转向在预先定义的协议中预测事先隐藏的通道。</w:t>
      </w:r>
    </w:p>
    <w:p>
      <w:pPr>
        <w:pStyle w:val="Heading3"/>
      </w:pPr>
      <w:r>
        <w:t>来源追踪：v99</w:t>
      </w:r>
    </w:p>
    <w:p>
      <w:pPr>
        <w:pStyle w:val="SourceExcerpt"/>
      </w:pPr>
      <w:r>
        <w:t>Predictive-test protocol正式开启。目标从解释可见数值转向预测预先隐藏的通道。</w:t>
      </w:r>
    </w:p>
    <w:p>
      <w:pPr>
        <w:pStyle w:val="SourceExcerpt"/>
      </w:pPr>
      <w:r>
        <w:t>状态保持为opened_without_truth_status：协议是进行检验的必要条件，而不是经验结果。</w:t>
      </w:r>
    </w:p>
    <w:p>
      <w:pPr>
        <w:pStyle w:val="Small"/>
      </w:pPr>
      <w:r>
        <w:t>Carrier/locator: ХИМИЯ KLT-RBD.pdf / lines 1382+</w:t>
      </w:r>
    </w:p>
    <w:p>
      <w:r>
        <w:br w:type="page"/>
      </w:r>
    </w:p>
    <w:p>
      <w:pPr>
        <w:pStyle w:val="Heading1"/>
      </w:pPr>
      <w:r>
        <w:t>20. v100：无truth-status的doctrine chapter</w:t>
      </w:r>
    </w:p>
    <w:p>
      <w:r>
        <w:t>v100汇集化学doctrine chapter，但把它固定为没有经验状态提升的研究架构。这是哲学研究纲领与证据状态之间的重要边界。</w:t>
      </w:r>
    </w:p>
    <w:p>
      <w:pPr>
        <w:pStyle w:val="Heading3"/>
      </w:pPr>
      <w:r>
        <w:t>来源追踪：v100</w:t>
      </w:r>
    </w:p>
    <w:p>
      <w:pPr>
        <w:pStyle w:val="SourceExcerpt"/>
      </w:pPr>
      <w:r>
        <w:t>Chemistry doctrine chapter把C@C、Reper、λ、CGI、DHC、null与prediction汇入一条统一的化学路线。</w:t>
      </w:r>
    </w:p>
    <w:p>
      <w:pPr>
        <w:pStyle w:val="SourceExcerpt"/>
      </w:pPr>
      <w:r>
        <w:t>v100的主要边界是：doctrine可以在数学上被组织起来，但在尚无class、null和blind prediction之前，仍然保持without truth-status。</w:t>
      </w:r>
    </w:p>
    <w:p>
      <w:pPr>
        <w:pStyle w:val="Small"/>
      </w:pPr>
      <w:r>
        <w:t>Carrier/locator: ХИМИЯ KLT-RBD.pdf / lines 1218+</w:t>
      </w:r>
    </w:p>
    <w:p>
      <w:r>
        <w:br w:type="page"/>
      </w:r>
    </w:p>
    <w:p>
      <w:pPr>
        <w:pStyle w:val="Heading1"/>
      </w:pPr>
      <w:r>
        <w:t>21. v101：class harvest</w:t>
      </w:r>
    </w:p>
    <w:p>
      <w:r>
        <w:t>v101把class harvest引入为未来统计功效的来源。candidate对象登记册不等于一组相互独立且有效的观测；lineage与Dom必须分别计入。</w:t>
      </w:r>
    </w:p>
    <w:p>
      <w:pPr>
        <w:pStyle w:val="Heading3"/>
      </w:pPr>
      <w:r>
        <w:t>来源追踪：v101</w:t>
      </w:r>
    </w:p>
    <w:p>
      <w:pPr>
        <w:pStyle w:val="SourceExcerpt"/>
      </w:pPr>
      <w:r>
        <w:t>Class harvest正式开启。Target registry不被等同于独立样本；必需字段包括object/class identity、channel signature、Dom、Evidence-D以及来源质量。</w:t>
      </w:r>
    </w:p>
    <w:p>
      <w:pPr>
        <w:pStyle w:val="SourceExcerpt"/>
      </w:pPr>
      <w:r>
        <w:t>这一检查点准备统计对象，但并不创建class-candidate。</w:t>
      </w:r>
    </w:p>
    <w:p>
      <w:pPr>
        <w:pStyle w:val="Small"/>
      </w:pPr>
      <w:r>
        <w:t>Carrier/locator: ХИМИЯ KLT-RBD.pdf / lines 1025+</w:t>
      </w:r>
    </w:p>
    <w:p>
      <w:r>
        <w:br w:type="page"/>
      </w:r>
    </w:p>
    <w:p>
      <w:pPr>
        <w:pStyle w:val="Heading1"/>
      </w:pPr>
      <w:r>
        <w:t>22. v102：Evidence-D normalization</w:t>
      </w:r>
    </w:p>
    <w:p>
      <w:r>
        <w:t>v102把source/Dom normalization设为强制输入gate。缺少D_source_id和Dom_id的记录不参与candidate inference。</w:t>
      </w:r>
    </w:p>
    <w:p>
      <w:pPr>
        <w:pStyle w:val="Heading3"/>
      </w:pPr>
      <w:r>
        <w:t>来源追踪：v102</w:t>
      </w:r>
    </w:p>
    <w:p>
      <w:pPr>
        <w:pStyle w:val="SourceExcerpt"/>
      </w:pPr>
      <w:r>
        <w:t>Evidence-D normalization要求D_source_id、Dom_id、units以及quality/uncertainty为必填。缺少D_source_id和Dom_id的记录不能支持candidate。</w:t>
      </w:r>
    </w:p>
    <w:p>
      <w:pPr>
        <w:pStyle w:val="SourceExcerpt"/>
      </w:pPr>
      <w:r>
        <w:t>Normalization区分identity、projection和RBD-morphism，并禁止在没有显式transfer law的情况下混合不同实验条件。</w:t>
      </w:r>
    </w:p>
    <w:p>
      <w:pPr>
        <w:pStyle w:val="Small"/>
      </w:pPr>
      <w:r>
        <w:t>Carrier/locator: ХИМИЯ KLT-RBD.pdf / lines 862+</w:t>
      </w:r>
    </w:p>
    <w:p>
      <w:r>
        <w:br w:type="page"/>
      </w:r>
    </w:p>
    <w:p>
      <w:pPr>
        <w:pStyle w:val="Heading1"/>
      </w:pPr>
      <w:r>
        <w:t>23. v103：DHC formalization</w:t>
      </w:r>
    </w:p>
    <w:p>
      <w:r>
        <w:t>v103把DHC从seed-index转化为形式对象：包含projective channel map、禁止posthoc-anchor，并明确identity/projection/morphism边界。</w:t>
      </w:r>
    </w:p>
    <w:p>
      <w:pPr>
        <w:pStyle w:val="Heading3"/>
      </w:pPr>
      <w:r>
        <w:t>来源追踪：v103</w:t>
      </w:r>
    </w:p>
    <w:p>
      <w:pPr>
        <w:pStyle w:val="SourceExcerpt"/>
      </w:pPr>
      <w:r>
        <w:t>DHC_chem形式化为：</w:t>
      </w:r>
    </w:p>
    <w:p>
      <w:pPr>
        <w:pStyle w:val="Formula"/>
        <w:jc w:val="center"/>
      </w:pPr>
      <w:r>
        <w:t>DHC_rho = Phi(Delta_obs, Delta_anchor, Pi_channels, cr, Dom, D)</w:t>
      </w:r>
    </w:p>
    <w:p>
      <w:pPr>
        <w:pStyle w:val="SourceExcerpt"/>
      </w:pPr>
      <w:r>
        <w:t>关键要求包括预先设定anchor policy、区分channel types、保持scale/projective correctness，并为退化构型设置explicit blockers。</w:t>
      </w:r>
    </w:p>
    <w:p>
      <w:pPr>
        <w:pStyle w:val="Small"/>
      </w:pPr>
      <w:r>
        <w:t>Carrier/locator: ХИМИЯ KLT-RBD.pdf / lines 736+</w:t>
      </w:r>
    </w:p>
    <w:p>
      <w:r>
        <w:br w:type="page"/>
      </w:r>
    </w:p>
    <w:p>
      <w:pPr>
        <w:pStyle w:val="Heading1"/>
      </w:pPr>
      <w:r>
        <w:t>24. v104：matched-class null</w:t>
      </w:r>
    </w:p>
    <w:p>
      <w:r>
        <w:t>v104定义保留类别与来源结构的零模型。没有诚实null的高score仍然只是seed geometry signal。</w:t>
      </w:r>
    </w:p>
    <w:p>
      <w:pPr>
        <w:pStyle w:val="Heading3"/>
      </w:pPr>
      <w:r>
        <w:t>来源追踪：v104</w:t>
      </w:r>
    </w:p>
    <w:p>
      <w:pPr>
        <w:pStyle w:val="SourceExcerpt"/>
      </w:pPr>
      <w:r>
        <w:t>Matched-class null保留class、channel signature、Dom、Evidence-D quality、projection status以及numeric bins。</w:t>
      </w:r>
    </w:p>
    <w:p>
      <w:pPr>
        <w:pStyle w:val="SourceExcerpt"/>
      </w:pPr>
      <w:r>
        <w:t>有限Monte Carlo/permutation baseline采用plus-one permutation p-value。没有该null时，高DHC仍然只是seed signal。</w:t>
      </w:r>
    </w:p>
    <w:p>
      <w:pPr>
        <w:pStyle w:val="Small"/>
      </w:pPr>
      <w:r>
        <w:t>Carrier/locator: ХИМИЯ KLT-RBD.pdf / lines 571+</w:t>
      </w:r>
    </w:p>
    <w:p>
      <w:r>
        <w:br w:type="page"/>
      </w:r>
    </w:p>
    <w:p>
      <w:pPr>
        <w:pStyle w:val="Heading1"/>
      </w:pPr>
      <w:r>
        <w:t>25. v105：blind predictive test</w:t>
      </w:r>
    </w:p>
    <w:p>
      <w:r>
        <w:t>v105形式化one-shot hidden-channel protocol。在当前语料中，该gate已经开启，但尚未在规模充分且同质的类别上执行。</w:t>
      </w:r>
    </w:p>
    <w:p>
      <w:pPr>
        <w:pStyle w:val="Heading3"/>
      </w:pPr>
      <w:r>
        <w:t>来源追踪：v105</w:t>
      </w:r>
    </w:p>
    <w:p>
      <w:pPr>
        <w:pStyle w:val="SourceExcerpt"/>
      </w:pPr>
      <w:r>
        <w:t>HiddenChannel、AnchorPolicy、Thresholds与NullModel在reveal之前固定。Prediction与matched-class null比较。</w:t>
      </w:r>
    </w:p>
    <w:p>
      <w:pPr>
        <w:pStyle w:val="SourceExcerpt"/>
      </w:pPr>
      <w:r>
        <w:t>在v105语料中，该gate在形式上已经开启，但full class dataset缺失；truth-status未提升。</w:t>
      </w:r>
    </w:p>
    <w:p>
      <w:pPr>
        <w:pStyle w:val="Small"/>
      </w:pPr>
      <w:r>
        <w:t>Carrier/locator: ХИМИЯ KLT-RBD.pdf / lines 380+</w:t>
      </w:r>
    </w:p>
    <w:p>
      <w:r>
        <w:br w:type="page"/>
      </w:r>
    </w:p>
    <w:p>
      <w:pPr>
        <w:pStyle w:val="Heading1"/>
      </w:pPr>
      <w:r>
        <w:t>26. v106：KLT-RBD-CHEM update</w:t>
      </w:r>
    </w:p>
    <w:p>
      <w:r>
        <w:t>v106把prediction、blocker、theorem与null cards登记到RBD中，并固定一个原则：对象进入数据库并不等于其科学状态得到提升。</w:t>
      </w:r>
    </w:p>
    <w:p>
      <w:pPr>
        <w:pStyle w:val="Formula"/>
        <w:jc w:val="center"/>
      </w:pPr>
      <w:r>
        <w:t>RBD-registration ≠ λ-domain-candidate ≠ truth-status.</w:t>
      </w:r>
    </w:p>
    <w:tbl>
      <w:tblPr>
        <w:tblW w:type="auto" w:w="0"/>
        <w:jc w:val="center"/>
        <w:tblLayout w:type="fixed"/>
        <w:tblLook w:firstColumn="1" w:firstRow="1" w:lastColumn="0" w:lastRow="0" w:noHBand="0" w:noVBand="1" w:val="04A0"/>
      </w:tblPr>
      <w:tblGrid>
        <w:gridCol w:w="3341"/>
        <w:gridCol w:w="3341"/>
        <w:gridCol w:w="3341"/>
      </w:tblGrid>
      <w:tr>
        <w:tc>
          <w:tcPr>
            <w:tcW w:type="dxa" w:w="1512"/>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检查点</w:t>
            </w:r>
          </w:p>
        </w:tc>
        <w:tc>
          <w:tcPr>
            <w:tcW w:type="dxa" w:w="626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结果</w:t>
            </w:r>
          </w:p>
        </w:tc>
        <w:tc>
          <w:tcPr>
            <w:tcW w:type="dxa" w:w="180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Truth提升</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v95</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review_required_not_candidate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v96</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review_required_not_candidate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v97</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seed_signal_only</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v98</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underpowered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v99</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predictive protocol opened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v100</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doctrine closed without truth-status</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v101-v105</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gates/harvest/formalization</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r>
        <w:tc>
          <w:tcPr>
            <w:tcW w:type="dxa" w:w="1512"/>
            <w:vAlign w:val="center"/>
            <w:tcMar>
              <w:top w:w="85" w:type="dxa"/>
              <w:start w:w="100" w:type="dxa"/>
              <w:bottom w:w="85" w:type="dxa"/>
              <w:end w:w="100" w:type="dxa"/>
            </w:tcMar>
          </w:tcPr>
          <w:p>
            <w:pPr>
              <w:jc w:val="center"/>
            </w:pPr>
            <w:r>
              <w:rPr>
                <w:rFonts w:ascii="Noto Serif CJK SC" w:hAnsi="Noto Serif CJK SC" w:eastAsia="Noto Serif CJK SC"/>
                <w:sz w:val="18"/>
              </w:rPr>
              <w:t>v106</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rbd_registered_without_truth_status</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否</w:t>
            </w:r>
          </w:p>
        </w:tc>
      </w:tr>
    </w:tbl>
    <w:p/>
    <w:p>
      <w:pPr>
        <w:pStyle w:val="Heading3"/>
      </w:pPr>
      <w:r>
        <w:t>来源追踪：v106</w:t>
      </w:r>
    </w:p>
    <w:p>
      <w:pPr>
        <w:pStyle w:val="SourceExcerpt"/>
      </w:pPr>
      <w:r>
        <w:t>v95-v105的结果以prediction-cards、blocker-cards、theorem-candidates、null-cards和status ledger的形式登记到KLT-RBD-CHEM。</w:t>
      </w:r>
    </w:p>
    <w:p>
      <w:pPr>
        <w:pStyle w:val="SourceExcerpt"/>
      </w:pPr>
      <w:r>
        <w:t>v106汇总原则为RBD-registration != lambda-domain-candidate != truth-status；v95-v106的全部checkpoint均为truth promotion = no。</w:t>
      </w:r>
    </w:p>
    <w:p>
      <w:pPr>
        <w:pStyle w:val="Small"/>
      </w:pPr>
      <w:r>
        <w:t>Carrier/locator: ХИМИЯ KLT-RBD.pdf / lines 299+</w:t>
      </w:r>
    </w:p>
    <w:p>
      <w:r>
        <w:br w:type="page"/>
      </w:r>
    </w:p>
    <w:p>
      <w:pPr>
        <w:pStyle w:val="Heading1"/>
      </w:pPr>
      <w:r>
        <w:t>27. v107-v110：论文、engine、reproducibility pack与monograph patch</w:t>
      </w:r>
    </w:p>
    <w:p>
      <w:r>
        <w:t>v107-v110把化学分支从一组研究checkpoint转换为发表与可复现性回路。v107形成双语protocol article；v108创建DHC-engine；v109固定reproducibility pack；v110把结果整合进专著结构。这些步骤都不等同于独立经验重复。</w:t>
      </w:r>
    </w:p>
    <w:p>
      <w:pPr>
        <w:pStyle w:val="Formula"/>
        <w:jc w:val="center"/>
      </w:pPr>
      <w:r>
        <w:t>engine PASS ≠ EXT-RUN ≠ CHEMICAL_TRUTH.</w:t>
      </w:r>
    </w:p>
    <w:p>
      <w:pPr>
        <w:pStyle w:val="Heading3"/>
      </w:pPr>
      <w:r>
        <w:t>来源追踪：v107</w:t>
      </w:r>
    </w:p>
    <w:p>
      <w:pPr>
        <w:pStyle w:val="SourceExcerpt"/>
      </w:pPr>
      <w:r>
        <w:t>双语protocol article把same-object fiber、DHC_chem、Evidence-D、matched-class null与blind predictive gate表述为发表回路。</w:t>
      </w:r>
    </w:p>
    <w:p>
      <w:pPr>
        <w:pStyle w:val="SourceExcerpt"/>
      </w:pPr>
      <w:r>
        <w:t>文章明确把自身状态固定为protocol article without truth-status。</w:t>
      </w:r>
    </w:p>
    <w:p>
      <w:pPr>
        <w:pStyle w:val="Small"/>
      </w:pPr>
      <w:r>
        <w:t>Carrier/locator: ХИМИЯ KLT-RBD.pdf / protocol article</w:t>
      </w:r>
    </w:p>
    <w:p>
      <w:pPr>
        <w:pStyle w:val="Heading3"/>
      </w:pPr>
      <w:r>
        <w:t>来源追踪：v108</w:t>
      </w:r>
    </w:p>
    <w:p>
      <w:pPr>
        <w:pStyle w:val="SourceExcerpt"/>
      </w:pPr>
      <w:r>
        <w:t>DHC-engine引入Parser、EvidenceDNormalizer、ChannelMapper、DHCBuilder、MatchedClassNull、BlindPredictionMasker、CGICalculator、RBDExporter与StatusLedger。</w:t>
      </w:r>
    </w:p>
    <w:p>
      <w:pPr>
        <w:pStyle w:val="SourceExcerpt"/>
      </w:pPr>
      <w:r>
        <w:t>NO2/N2O4和CO+OH的原型输出仍为blocked_without_truth_status；可执行mechanics不等于scientific validation。</w:t>
      </w:r>
    </w:p>
    <w:p>
      <w:pPr>
        <w:pStyle w:val="Small"/>
      </w:pPr>
      <w:r>
        <w:t>Carrier/locator: ХИМИЯ KLT-RBD.pdf / DHC-engine</w:t>
      </w:r>
    </w:p>
    <w:p>
      <w:pPr>
        <w:pStyle w:val="Heading3"/>
      </w:pPr>
      <w:r>
        <w:t>来源追踪：v109</w:t>
      </w:r>
    </w:p>
    <w:p>
      <w:pPr>
        <w:pStyle w:val="SourceExcerpt"/>
      </w:pPr>
      <w:r>
        <w:t>Reproducibility pack固定raw/processed data、scripts、figures/reports、checksums和README，使外部审查者可以重放data -&gt; DHC -&gt; null -&gt; prediction -&gt; RBD cards。</w:t>
      </w:r>
    </w:p>
    <w:p>
      <w:pPr>
        <w:pStyle w:val="SourceExcerpt"/>
      </w:pPr>
      <w:r>
        <w:t>Reproducibility route不能代替独立EXT-RUN。</w:t>
      </w:r>
    </w:p>
    <w:p>
      <w:pPr>
        <w:pStyle w:val="Small"/>
      </w:pPr>
      <w:r>
        <w:t>Carrier/locator: v32-168.pdf / reproducibility pack</w:t>
      </w:r>
    </w:p>
    <w:p>
      <w:pPr>
        <w:pStyle w:val="Heading3"/>
      </w:pPr>
      <w:r>
        <w:t>来源追踪：v110</w:t>
      </w:r>
    </w:p>
    <w:p>
      <w:pPr>
        <w:pStyle w:val="SourceExcerpt"/>
      </w:pPr>
      <w:r>
        <w:t>Monograph patch把v95-v109整合为连贯的化学章节，并固定边界seed-signal != class-candidate != predictive-lambda-domain-candidate != truth-status。</w:t>
      </w:r>
    </w:p>
    <w:p>
      <w:pPr>
        <w:pStyle w:val="Small"/>
      </w:pPr>
      <w:r>
        <w:t>Carrier/locator: v32-168.pdf / monograph patch</w:t>
      </w:r>
    </w:p>
    <w:p>
      <w:r>
        <w:br w:type="page"/>
      </w:r>
    </w:p>
    <w:p>
      <w:pPr>
        <w:pStyle w:val="Heading1"/>
      </w:pPr>
      <w:r>
        <w:t>28. v111-v115：真实Evidence-D、光谱通道与碘—氢分支</w:t>
      </w:r>
    </w:p>
    <w:p>
      <w:r>
        <w:t>这一阶段专门检验：从演示/合成cards转向真实source-bound rows之后，状态是否会发生变化。v111扩展class dataset，但independent_valid_n仍低于exploratory gate；v112导入H₂/I₂/HI热化学包；v113加入双原子分子spectral constants；v114找到基本动力学行HI+H•→H₂+I•；v115开启同质elementary-class registry，但source-bound n仍为1。</w:t>
      </w:r>
    </w:p>
    <w:p>
      <w:r>
        <w:t>对于H₂(g)+I₂(g)⇌2HI(g)，v112记录derived Evidence-D：ΔrH≈−9.420 kJ/mol、ΔrS≈21.813 J mol⁻¹ K⁻¹、ΔrG≈−15.924 kJ/mol，以及Kp(298.15 K)≈616.147。这些是派生热力学行，不是DHC proof。</w:t>
      </w:r>
    </w:p>
    <w:p>
      <w:r>
        <w:t>在v113中，归档的I₂ spectral row包含一个B_e数值；在任何新的数值使用之前，都必须重新与primary NIST carrier核对。Freeze保留历史记录，但不把它转化为新推断的已验证数值基础。</w:t>
      </w:r>
    </w:p>
    <w:p>
      <w:pPr>
        <w:pStyle w:val="Heading3"/>
      </w:pPr>
      <w:r>
        <w:t>来源追踪：v111</w:t>
      </w:r>
    </w:p>
    <w:p>
      <w:pPr>
        <w:pStyle w:val="SourceExcerpt"/>
      </w:pPr>
      <w:r>
        <w:t>Class dataset expansion达到target registry，但independent_valid_n=2&lt;5。名义行数不能代替独立effective sample size。</w:t>
      </w:r>
    </w:p>
    <w:p>
      <w:pPr>
        <w:pStyle w:val="Small"/>
      </w:pPr>
      <w:r>
        <w:t>Carrier/locator: v32-168.pdf / class dataset expansion</w:t>
      </w:r>
    </w:p>
    <w:p>
      <w:pPr>
        <w:pStyle w:val="Heading3"/>
      </w:pPr>
      <w:r>
        <w:t>来源追踪：v112</w:t>
      </w:r>
    </w:p>
    <w:p>
      <w:pPr>
        <w:pStyle w:val="SourceExcerpt"/>
      </w:pPr>
      <w:r>
        <w:t>对于H2(g)+I2(g)&lt;-&gt;2HI(g)，导入source-bound NIST thermochemistry rows。Derived values：Delta_rH=-9.420 kJ/mol，Delta_rS=21.813 J/mol/K，Delta_rG=-15.924 kJ/mol，Kp(298.15K)=616.147。</w:t>
      </w:r>
    </w:p>
    <w:p>
      <w:pPr>
        <w:pStyle w:val="SourceExcerpt"/>
      </w:pPr>
      <w:r>
        <w:t>这些是Evidence-D derived rows，而不是DHC proof；independent_valid_n_strict_class=2&lt;5。</w:t>
      </w:r>
    </w:p>
    <w:p>
      <w:pPr>
        <w:pStyle w:val="Small"/>
      </w:pPr>
      <w:r>
        <w:t>Carrier/locator: v32-168.pdf / real Evidence-D import</w:t>
      </w:r>
    </w:p>
    <w:p>
      <w:pPr>
        <w:pStyle w:val="Heading3"/>
      </w:pPr>
      <w:r>
        <w:t>来源追踪：v113</w:t>
      </w:r>
    </w:p>
    <w:p>
      <w:pPr>
        <w:pStyle w:val="SourceExcerpt"/>
      </w:pPr>
      <w:r>
        <w:t>NIST diatomic constants被转换为H2、I2、HI的molecular spectral channel rows；宏观反应的exact kinetic row仍然是blocker。</w:t>
      </w:r>
    </w:p>
    <w:p>
      <w:pPr>
        <w:pStyle w:val="SourceExcerpt"/>
      </w:pPr>
      <w:r>
        <w:t>若干derived ratios接近rational anchors，但posthoc-anchor warning保持不变；没有任何一项获得candidate status。</w:t>
      </w:r>
    </w:p>
    <w:p>
      <w:pPr>
        <w:pStyle w:val="Small"/>
      </w:pPr>
      <w:r>
        <w:t>Carrier/locator: v32-168.pdf / kinetic/spec numeric extraction</w:t>
      </w:r>
    </w:p>
    <w:p>
      <w:pPr>
        <w:pStyle w:val="Heading3"/>
      </w:pPr>
      <w:r>
        <w:t>来源追踪：v114</w:t>
      </w:r>
    </w:p>
    <w:p>
      <w:pPr>
        <w:pStyle w:val="SourceExcerpt"/>
      </w:pPr>
      <w:r>
        <w:t>直接macro kinetic row的检索仍未关闭。找到298 K下的基本反应行HI+H· -&gt; H2+I·（Vasileiadis &amp; Benson, 1997；NIST kinetics route）。</w:t>
      </w:r>
    </w:p>
    <w:p>
      <w:pPr>
        <w:pStyle w:val="SourceExcerpt"/>
      </w:pPr>
      <w:r>
        <w:t>它开启elementary-switch branch，但在没有mechanism graph/RBD-morphism时，并不等同于macro equilibrium。</w:t>
      </w:r>
    </w:p>
    <w:p>
      <w:pPr>
        <w:pStyle w:val="Small"/>
      </w:pPr>
      <w:r>
        <w:t>Carrier/locator: v32-168.pdf / kinetic source search</w:t>
      </w:r>
    </w:p>
    <w:p>
      <w:pPr>
        <w:pStyle w:val="Heading3"/>
      </w:pPr>
      <w:r>
        <w:t>来源追踪：v115</w:t>
      </w:r>
    </w:p>
    <w:p>
      <w:pPr>
        <w:pStyle w:val="SourceExcerpt"/>
      </w:pPr>
      <w:r>
        <w:t>建立CLS-IODINE-HYDROGEN-RADICAL-ELEMENTARY，包含五个target reactions，但source_bound_elementary_rows=1。</w:t>
      </w:r>
    </w:p>
    <w:p>
      <w:pPr>
        <w:pStyle w:val="SourceExcerpt"/>
      </w:pPr>
      <w:r>
        <w:t>明确禁止混合molecular diatomic spectra与atomic H/I spectra；macro-to-elementary morphism必须满足stoichiometric closure、radical balance与Dom preservation。</w:t>
      </w:r>
    </w:p>
    <w:p>
      <w:pPr>
        <w:pStyle w:val="Small"/>
      </w:pPr>
      <w:r>
        <w:t>Carrier/locator: v32-168.pdf / iodine-hydrogen elementary class</w:t>
      </w:r>
    </w:p>
    <w:p>
      <w:r>
        <w:br w:type="page"/>
      </w:r>
    </w:p>
    <w:p>
      <w:pPr>
        <w:pStyle w:val="Heading1"/>
      </w:pPr>
      <w:r>
        <w:t>29. v116：状态定理与负向约束性闭合</w:t>
      </w:r>
    </w:p>
    <w:p>
      <w:r>
        <w:t>v116是化学线v95-v115的上层科学边界。它并不宣称该假设已经“在自然界中被证伪”。它给出的是一个更窄、可检验的结论：在所考察语料中，没有获得一个能够同时通过全部强制gates的对象或类别。</w:t>
      </w:r>
    </w:p>
    <w:p>
      <w:pPr>
        <w:pStyle w:val="Heading2"/>
      </w:pPr>
      <w:r>
        <w:t>冻结定理 T6-STAT-116</w:t>
      </w:r>
    </w:p>
    <w:p>
      <w:r>
        <w:t>在化学分支v95-v115中，没有得到任何对象或对象类别，使D/Dom completeness、CGI-class blocker gate、在足够独立class size下规定的p-class threshold以及成功blind prediction同时成立。因此，在该语料层面，化学假设不获得class-candidate、predictive-λ-domain-candidate或truth-status。</w:t>
      </w:r>
    </w:p>
    <w:p>
      <w:pPr>
        <w:pStyle w:val="Heading2"/>
      </w:pPr>
      <w:r>
        <w:t>证据链</w:t>
      </w:r>
    </w:p>
    <w:p>
      <w:pPr>
        <w:pStyle w:val="ListBullet"/>
      </w:pPr>
      <w:r>
        <w:t>v111：target registry被扩展，但independent_valid_n=2&lt;5。</w:t>
      </w:r>
    </w:p>
    <w:p>
      <w:pPr>
        <w:pStyle w:val="ListBullet"/>
      </w:pPr>
      <w:r>
        <w:t>v112-v113：H₂/I₂/HI的Evidence-D与spectral layers得到改进，但macro kinetic exact row仍未关闭。</w:t>
      </w:r>
    </w:p>
    <w:p>
      <w:pPr>
        <w:pStyle w:val="ListBullet"/>
      </w:pPr>
      <w:r>
        <w:t>v114：找到基本动力学桥HI+H•→H₂+I•；在没有RBD-morphism时，它不与宏观平衡同一。</w:t>
      </w:r>
    </w:p>
    <w:p>
      <w:pPr>
        <w:pStyle w:val="ListBullet"/>
      </w:pPr>
      <w:r>
        <w:t>v115：elementary class registry已经开启，但source_bound_elementary_rows=1&lt;5；atomic/molecular spectral separation以及blind/null gates仍未关闭。</w:t>
      </w:r>
    </w:p>
    <w:p>
      <w:pPr>
        <w:pStyle w:val="ListBullet"/>
      </w:pPr>
      <w:r>
        <w:t>因此，联合gate条件未满足；禁止status promotion。</w:t>
      </w:r>
    </w:p>
    <w:p>
      <w:pPr>
        <w:pStyle w:val="Formula"/>
        <w:jc w:val="center"/>
      </w:pPr>
      <w:r>
        <w:t>seed-signal ≠ class-candidate ≠ predictive-λ-domain-candidate ≠ truth-status.</w:t>
      </w:r>
    </w:p>
    <w:p>
      <w:r>
        <w:t>正是这一冻结定理决定当前卷的状态：DHC_chem保持OPEN-NOT-CONFIRMED，正确的全局科学回答是ABSTAIN。</w:t>
      </w:r>
    </w:p>
    <w:p>
      <w:pPr>
        <w:pStyle w:val="Heading3"/>
      </w:pPr>
      <w:r>
        <w:t>来源追踪：v116</w:t>
      </w:r>
    </w:p>
    <w:p>
      <w:pPr>
        <w:pStyle w:val="SourceExcerpt"/>
      </w:pPr>
      <w:r>
        <w:t>最终化学checkpoint固定negative disciplined closure：在v95-v115中，没有对象/类别同时通过D/Dom、CGI/blocker、class statistics、matched-null与blind prediction。</w:t>
      </w:r>
    </w:p>
    <w:p>
      <w:pPr>
        <w:pStyle w:val="SourceExcerpt"/>
      </w:pPr>
      <w:r>
        <w:t>DHC_chem假设保持开放但未被确认；化学循环冻结，直到获得新的external Evidence-D class和独立检验。</w:t>
      </w:r>
    </w:p>
    <w:p>
      <w:pPr>
        <w:pStyle w:val="Small"/>
      </w:pPr>
      <w:r>
        <w:t>Carrier/locator: v32-168.pdf / final chemistry monograph and physics roadmap</w:t>
      </w:r>
    </w:p>
    <w:p>
      <w:r>
        <w:br w:type="page"/>
      </w:r>
    </w:p>
    <w:p>
      <w:pPr>
        <w:pStyle w:val="Heading1"/>
      </w:pPr>
      <w:r>
        <w:t>30. ChemGraph、software firewall、冻结blockers与下一外部循环</w:t>
      </w:r>
    </w:p>
    <w:p>
      <w:r>
        <w:t>ChemGraph连接source objects、Reper cards、domain records、null/blind passports、blockers以及status ledger。软件系统必须比文字叙述更严格：缺少必需字段时必须产生BLOCKER/ABSTAIN，而不是静默填入默认值。</w:t>
      </w:r>
    </w:p>
    <w:p>
      <w:r>
        <w:t>Legacy scalar Auth=1/(1+δ)和scalar CRI只保留为diagnostic closeness。它们不是truth、probability或chemical support。任何scalarization都必须在Dom内类型化，并且不能替代vector CGI/gap profile。在出现typed adapter之前，T6-B032保持OPEN。</w:t>
      </w:r>
    </w:p>
    <w:p>
      <w:pPr>
        <w:pStyle w:val="Heading2"/>
      </w:pPr>
      <w:r>
        <w:t>冻结的化学blockers</w:t>
      </w:r>
    </w:p>
    <w:p>
      <w:pPr>
        <w:pStyle w:val="ListBullet"/>
      </w:pPr>
      <w:r>
        <w:t>把独立同质类别扩充到预注册的n_eff；</w:t>
      </w:r>
    </w:p>
    <w:p>
      <w:pPr>
        <w:pStyle w:val="ListBullet"/>
      </w:pPr>
      <w:r>
        <w:t>区分molecular与atomic spectral channels；</w:t>
      </w:r>
    </w:p>
    <w:p>
      <w:pPr>
        <w:pStyle w:val="ListBullet"/>
      </w:pPr>
      <w:r>
        <w:t>在macro equilibrium与elementary mechanism graph之间构造显式RBD-morphism；</w:t>
      </w:r>
    </w:p>
    <w:p>
      <w:pPr>
        <w:pStyle w:val="ListBullet"/>
      </w:pPr>
      <w:r>
        <w:t>运行带dependence passport的严格matched-class null；</w:t>
      </w:r>
    </w:p>
    <w:p>
      <w:pPr>
        <w:pStyle w:val="ListBullet"/>
      </w:pPr>
      <w:r>
        <w:t>运行带one-shot reveal的blind hidden-channel test；</w:t>
      </w:r>
    </w:p>
    <w:p>
      <w:pPr>
        <w:pStyle w:val="ListBullet"/>
      </w:pPr>
      <w:r>
        <w:t>获得外部独立EXT-RUN replication；</w:t>
      </w:r>
    </w:p>
    <w:p>
      <w:pPr>
        <w:pStyle w:val="ListBullet"/>
      </w:pPr>
      <w:r>
        <w:t>恢复历史FC-gate的完整proof/source ledger。</w:t>
      </w:r>
    </w:p>
    <w:p>
      <w:r>
        <w:t>下一科学循环只能由新的source-bound数据或外部重复来开启。用新的anchor重新计算已经知道的数据行，并不构成新的实验。</w:t>
      </w:r>
    </w:p>
    <w:p>
      <w:r>
        <w:br w:type="page"/>
      </w:r>
    </w:p>
    <w:p>
      <w:pPr>
        <w:pStyle w:val="Heading1"/>
      </w:pPr>
      <w:r>
        <w:t>附录A. 规范记号</w:t>
      </w:r>
    </w:p>
    <w:tbl>
      <w:tblPr>
        <w:tblW w:type="auto" w:w="0"/>
        <w:jc w:val="center"/>
        <w:tblLayout w:type="fixed"/>
        <w:tblLook w:firstColumn="1" w:firstRow="1" w:lastColumn="0" w:lastRow="0" w:noHBand="0" w:noVBand="1" w:val="04A0"/>
      </w:tblPr>
      <w:tblGrid>
        <w:gridCol w:w="3341"/>
        <w:gridCol w:w="3341"/>
        <w:gridCol w:w="3341"/>
      </w:tblGrid>
      <w:tr>
        <w:tc>
          <w:tcPr>
            <w:tcW w:type="dxa" w:w="194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记号</w:t>
            </w:r>
          </w:p>
        </w:tc>
        <w:tc>
          <w:tcPr>
            <w:tcW w:type="dxa" w:w="266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类型</w:t>
            </w:r>
          </w:p>
        </w:tc>
        <w:tc>
          <w:tcPr>
            <w:tcW w:type="dxa" w:w="468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含义</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C@C₍chem₎</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event@state object</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化学记录的事件与状态</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Rep₍chem₎</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typed reper</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(R,I,U;D_rep)</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D_rep</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foundation coordinate</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Reper的充分根据</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Eᴰ₀…Eᴰ₄</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evidence ladder</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Evidence-D层级</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Dom</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domain passport</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适用域</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Ωλ</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admissible projective domain</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cross-ratio允许域</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DHC₍chem₎</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protocol geometry</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多通道coherence构造</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CGI</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vector gap profile</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独立缺口集合；不是truth-score</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EXT-RUN</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external run</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独立外部验证</w:t>
            </w:r>
          </w:p>
        </w:tc>
      </w:tr>
      <w:tr>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ABSTAIN</w:t>
            </w:r>
          </w:p>
        </w:tc>
        <w:tc>
          <w:tcPr>
            <w:tcW w:type="dxa" w:w="2664"/>
            <w:vAlign w:val="center"/>
            <w:tcMar>
              <w:top w:w="85" w:type="dxa"/>
              <w:start w:w="100" w:type="dxa"/>
              <w:bottom w:w="85" w:type="dxa"/>
              <w:end w:w="100" w:type="dxa"/>
            </w:tcMar>
          </w:tcPr>
          <w:p>
            <w:pPr>
              <w:jc w:val="left"/>
            </w:pPr>
            <w:r>
              <w:rPr>
                <w:rFonts w:ascii="Noto Serif CJK SC" w:hAnsi="Noto Serif CJK SC" w:eastAsia="Noto Serif CJK SC"/>
                <w:sz w:val="18"/>
              </w:rPr>
              <w:t>status</w:t>
            </w:r>
          </w:p>
        </w:tc>
        <w:tc>
          <w:tcPr>
            <w:tcW w:type="dxa" w:w="4680"/>
            <w:vAlign w:val="center"/>
            <w:tcMar>
              <w:top w:w="85" w:type="dxa"/>
              <w:start w:w="100" w:type="dxa"/>
              <w:bottom w:w="85" w:type="dxa"/>
              <w:end w:w="100" w:type="dxa"/>
            </w:tcMar>
          </w:tcPr>
          <w:p>
            <w:pPr>
              <w:jc w:val="center"/>
            </w:pPr>
            <w:r>
              <w:rPr>
                <w:rFonts w:ascii="Noto Serif CJK SC" w:hAnsi="Noto Serif CJK SC" w:eastAsia="Noto Serif CJK SC"/>
                <w:sz w:val="18"/>
              </w:rPr>
              <w:t>必需gate未关闭时禁止作结论</w:t>
            </w:r>
          </w:p>
        </w:tc>
      </w:tr>
    </w:tbl>
    <w:p/>
    <w:p>
      <w:pPr>
        <w:pStyle w:val="Heading1"/>
      </w:pPr>
      <w:r>
        <w:t>附录B. 冻结版公式核心</w:t>
      </w:r>
    </w:p>
    <w:p>
      <w:pPr>
        <w:pStyle w:val="Formula"/>
        <w:jc w:val="center"/>
      </w:pPr>
      <w:r>
        <w:t>C@C₍chem₎=(event,state;Dom,source,uncertainty,lineage)</w:t>
      </w:r>
    </w:p>
    <w:p>
      <w:pPr>
        <w:pStyle w:val="Formula"/>
        <w:jc w:val="center"/>
      </w:pPr>
      <w:r>
        <w:t>Rep₍chem₎=(R,I,U;D_rep)</w:t>
      </w:r>
    </w:p>
    <w:p>
      <w:pPr>
        <w:pStyle w:val="Formula"/>
        <w:jc w:val="center"/>
      </w:pPr>
      <w:r>
        <w:t>λ=cr(U,I;R,D_rep)=((U−R)(I−D_rep))/((U−D_rep)(I−R))</w:t>
      </w:r>
    </w:p>
    <w:p>
      <w:pPr>
        <w:pStyle w:val="Formula"/>
        <w:jc w:val="center"/>
      </w:pPr>
      <w:r>
        <w:t>Fₒ=(stoich,redox,energy,kin,spec,cat,Dom,D_rep,source,lineage)</w:t>
      </w:r>
    </w:p>
    <w:p>
      <w:pPr>
        <w:pStyle w:val="Formula"/>
        <w:jc w:val="center"/>
      </w:pPr>
      <w:r>
        <w:t>DHC_ρ=Φ(Δ_obs,Δ_anchor,Π_channels,cr,Dom,D_rep)</w:t>
      </w:r>
    </w:p>
    <w:p>
      <w:pPr>
        <w:pStyle w:val="Formula"/>
        <w:jc w:val="center"/>
      </w:pPr>
      <w:r>
        <w:t>p_class=(1+#{j:S_null^(j)≥S_real})/(1+N)</w:t>
      </w:r>
    </w:p>
    <w:p>
      <w:pPr>
        <w:pStyle w:val="Formula"/>
        <w:jc w:val="center"/>
      </w:pPr>
      <w:r>
        <w:t>G_FDR=family_locked ∧ dependence_mode ∧ procedure_valid</w:t>
      </w:r>
    </w:p>
    <w:p>
      <w:pPr>
        <w:pStyle w:val="Formula"/>
        <w:jc w:val="center"/>
      </w:pPr>
      <w:r>
        <w:t>n_eff=|C_holdout|; p̂=(1/n_eff)ΣY_c</w:t>
      </w:r>
    </w:p>
    <w:p>
      <w:pPr>
        <w:pStyle w:val="Formula"/>
        <w:jc w:val="center"/>
      </w:pPr>
      <w:r>
        <w:t>candidate ⇒ D/Dom ∧ null ∧ multiplicity ∧ effect ∧ blind ∧ provenance</w:t>
      </w:r>
    </w:p>
    <w:p>
      <w:pPr>
        <w:pStyle w:val="Formula"/>
        <w:jc w:val="center"/>
      </w:pPr>
      <w:r>
        <w:t>engine_PASS ≠ EXT_RUN ≠ truth_status</w:t>
      </w:r>
    </w:p>
    <w:p>
      <w:r>
        <w:t>说明：v0.11评审记录指出，旧v0.10 master包含194个公式ID。本source-traced freeze不依靠记忆重建缺失的历史ID；它固定语义公式核心，并把历史proof ledger的恢复保留为独立的档案义务。</w:t>
      </w:r>
    </w:p>
    <w:p>
      <w:pPr>
        <w:pStyle w:val="Heading1"/>
      </w:pPr>
      <w:r>
        <w:t>附录C. Theorem/boundary registry freeze</w:t>
      </w:r>
    </w:p>
    <w:tbl>
      <w:tblPr>
        <w:tblW w:type="auto" w:w="0"/>
        <w:jc w:val="center"/>
        <w:tblLayout w:type="fixed"/>
        <w:tblLook w:firstColumn="1" w:firstRow="1" w:lastColumn="0" w:lastRow="0" w:noHBand="0" w:noVBand="1" w:val="04A0"/>
      </w:tblPr>
      <w:tblGrid>
        <w:gridCol w:w="3341"/>
        <w:gridCol w:w="3341"/>
        <w:gridCol w:w="3341"/>
      </w:tblGrid>
      <w:tr>
        <w:tc>
          <w:tcPr>
            <w:tcW w:type="dxa" w:w="180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ID</w:t>
            </w:r>
          </w:p>
        </w:tc>
        <w:tc>
          <w:tcPr>
            <w:tcW w:type="dxa" w:w="612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表述</w:t>
            </w:r>
          </w:p>
        </w:tc>
        <w:tc>
          <w:tcPr>
            <w:tcW w:type="dxa" w:w="194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状态</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T6-BND-001</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λ=−1是projective-harmonic structural condition，不是chemical truth</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BOUNDARY</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T6-BND-002</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缺少D_source_id/Dom_id的行不参与candidate inference</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PROTOCOL</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T6-BND-003</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class support之前必须存在matched null</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PROTOCOL</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T6-BND-004</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blind channel必须在reveal之前固定</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PROTOCOL</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T6-STAT-116</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v95-v115中没有对象通过全部强制gates的合取</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SOURCE-TRACE PROVED</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T6-BND-005</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software diagnostic scalar不是probability/truth</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BOUNDARY</w:t>
            </w:r>
          </w:p>
        </w:tc>
      </w:tr>
      <w:tr>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T6-BND-006</w:t>
            </w:r>
          </w:p>
        </w:tc>
        <w:tc>
          <w:tcPr>
            <w:tcW w:type="dxa" w:w="6120"/>
            <w:vAlign w:val="center"/>
            <w:tcMar>
              <w:top w:w="85" w:type="dxa"/>
              <w:start w:w="100" w:type="dxa"/>
              <w:bottom w:w="85" w:type="dxa"/>
              <w:end w:w="100" w:type="dxa"/>
            </w:tcMar>
          </w:tcPr>
          <w:p>
            <w:pPr>
              <w:jc w:val="left"/>
            </w:pPr>
            <w:r>
              <w:rPr>
                <w:rFonts w:ascii="Noto Serif CJK SC" w:hAnsi="Noto Serif CJK SC" w:eastAsia="Noto Serif CJK SC"/>
                <w:sz w:val="18"/>
              </w:rPr>
              <w:t>EXT-RUN=NOT_RUN不能由fixture/selftest PASS替代</w:t>
            </w:r>
          </w:p>
        </w:tc>
        <w:tc>
          <w:tcPr>
            <w:tcW w:type="dxa" w:w="1944"/>
            <w:vAlign w:val="center"/>
            <w:tcMar>
              <w:top w:w="85" w:type="dxa"/>
              <w:start w:w="100" w:type="dxa"/>
              <w:bottom w:w="85" w:type="dxa"/>
              <w:end w:w="100" w:type="dxa"/>
            </w:tcMar>
          </w:tcPr>
          <w:p>
            <w:pPr>
              <w:jc w:val="center"/>
            </w:pPr>
            <w:r>
              <w:rPr>
                <w:rFonts w:ascii="Noto Serif CJK SC" w:hAnsi="Noto Serif CJK SC" w:eastAsia="Noto Serif CJK SC"/>
                <w:sz w:val="18"/>
              </w:rPr>
              <w:t>BOUNDARY</w:t>
            </w:r>
          </w:p>
        </w:tc>
      </w:tr>
    </w:tbl>
    <w:p/>
    <w:p>
      <w:r>
        <w:t>v0.10历史92条theorem/boundary records不能由这张紧凑freeze表替代。对于T6-RA5，它们必须作为独立proof object恢复并核验。</w:t>
      </w:r>
    </w:p>
    <w:p>
      <w:pPr>
        <w:pStyle w:val="Heading1"/>
      </w:pPr>
      <w:r>
        <w:t>附录D. 阻断项台账 T6-B035…T6-B041</w:t>
      </w:r>
    </w:p>
    <w:tbl>
      <w:tblPr>
        <w:tblW w:type="auto" w:w="0"/>
        <w:jc w:val="center"/>
        <w:tblLayout w:type="fixed"/>
        <w:tblLook w:firstColumn="1" w:firstRow="1" w:lastColumn="0" w:lastRow="0" w:noHBand="0" w:noVBand="1" w:val="04A0"/>
      </w:tblPr>
      <w:tblGrid>
        <w:gridCol w:w="3341"/>
        <w:gridCol w:w="3341"/>
        <w:gridCol w:w="3341"/>
      </w:tblGrid>
      <w:tr>
        <w:tc>
          <w:tcPr>
            <w:tcW w:type="dxa" w:w="144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ID</w:t>
            </w:r>
          </w:p>
        </w:tc>
        <w:tc>
          <w:tcPr>
            <w:tcW w:type="dxa" w:w="396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影响</w:t>
            </w:r>
          </w:p>
        </w:tc>
        <w:tc>
          <w:tcPr>
            <w:tcW w:type="dxa" w:w="453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解决路径</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T6-B035</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教学性cards不能支持经验化学结论。</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保持DIDACTIC/SYNTHETIC，或以含真实null/blind/EXT的source-bound measured dossier替代。</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T6-B036</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酸碱adapter未被授权用于真实activity计算。</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固定T、solvent、ionic strength、activity model、γ_i、uncertainty、calibration与raw source。</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T6-B037</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Ksp/speciation比较不存在统一适用域。</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提供T-dependent Ksp source/version、phase、solvent、ionic strength、speciation model与raw measurements。</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T6-B038</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不能把equilibrium potential与junction、transport、IR、kinetic effects分离。</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固定electrode/reference/junction/transport passport、activities、current efficiency与uncertainty。</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T6-B039</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有机反应mechanism仍欠定。</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收集source-bound kinetic/stereo/isotope/spectral class，并构造带exclusions的竞争mechanism graph。</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T6-B040</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没有history与metrology，material state/defect结论不可迁移。</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固定phase、defect、process history、sample lineage、metrology、uncertainty与transport witness。</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T6-B041</w:t>
            </w:r>
          </w:p>
        </w:tc>
        <w:tc>
          <w:tcPr>
            <w:tcW w:type="dxa" w:w="3960"/>
            <w:vAlign w:val="center"/>
            <w:tcMar>
              <w:top w:w="85" w:type="dxa"/>
              <w:start w:w="100" w:type="dxa"/>
              <w:bottom w:w="85" w:type="dxa"/>
              <w:end w:w="100" w:type="dxa"/>
            </w:tcMar>
          </w:tcPr>
          <w:p>
            <w:pPr>
              <w:jc w:val="left"/>
            </w:pPr>
            <w:r>
              <w:rPr>
                <w:rFonts w:ascii="Noto Serif CJK SC" w:hAnsi="Noto Serif CJK SC" w:eastAsia="Noto Serif CJK SC"/>
                <w:sz w:val="18"/>
              </w:rPr>
              <w:t>教育/专家score缺少外部校准，不应视为客观评价。</w:t>
            </w:r>
          </w:p>
        </w:tc>
        <w:tc>
          <w:tcPr>
            <w:tcW w:type="dxa" w:w="4536"/>
            <w:vAlign w:val="center"/>
            <w:tcMar>
              <w:top w:w="85" w:type="dxa"/>
              <w:start w:w="100" w:type="dxa"/>
              <w:bottom w:w="85" w:type="dxa"/>
              <w:end w:w="100" w:type="dxa"/>
            </w:tcMar>
          </w:tcPr>
          <w:p>
            <w:pPr>
              <w:jc w:val="center"/>
            </w:pPr>
            <w:r>
              <w:rPr>
                <w:rFonts w:ascii="Noto Serif CJK SC" w:hAnsi="Noto Serif CJK SC" w:eastAsia="Noto Serif CJK SC"/>
                <w:sz w:val="18"/>
              </w:rPr>
              <w:t>使用独立专家、predeclared rubric、inter-rater reliability与appeal protocol进行blinded benchmark。</w:t>
            </w:r>
          </w:p>
        </w:tc>
      </w:tr>
    </w:tbl>
    <w:p/>
    <w:p>
      <w:pPr>
        <w:pStyle w:val="Heading1"/>
      </w:pPr>
      <w:r>
        <w:t>附录E. v95-v116 checkpoint矩阵</w:t>
      </w:r>
    </w:p>
    <w:tbl>
      <w:tblPr>
        <w:tblW w:type="auto" w:w="0"/>
        <w:jc w:val="center"/>
        <w:tblLayout w:type="fixed"/>
        <w:tblLook w:firstColumn="1" w:firstRow="1" w:lastColumn="0" w:lastRow="0" w:noHBand="0" w:noVBand="1" w:val="04A0"/>
      </w:tblPr>
      <w:tblGrid>
        <w:gridCol w:w="3341"/>
        <w:gridCol w:w="3341"/>
        <w:gridCol w:w="3341"/>
      </w:tblGrid>
      <w:tr>
        <w:tc>
          <w:tcPr>
            <w:tcW w:type="dxa" w:w="144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检查点</w:t>
            </w:r>
          </w:p>
        </w:tc>
        <w:tc>
          <w:tcPr>
            <w:tcW w:type="dxa" w:w="6408"/>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结果</w:t>
            </w:r>
          </w:p>
        </w:tc>
        <w:tc>
          <w:tcPr>
            <w:tcW w:type="dxa" w:w="180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Truth promotion</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v95</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review; no candidate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v96</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review; no candidate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v97</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seed geometry</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v98</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underpowered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v99</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protocol opened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v100</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doctrine without truth</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v101</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harvest opened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v102</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Evidence-D normalized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v103</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formalization</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v104</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matched-null formalized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v105</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blind protocol opened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v106</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RBD registered</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v107</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protocol article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v108</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engine prototype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v109</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reproducibility route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v110</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monograph patch</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v111</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n independent &lt; gate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v112</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real evidence partial</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v113</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spectral partial; kinetic blocker</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v114</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elementary bridge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v115</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source_bound n=1</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r>
        <w:tc>
          <w:tcPr>
            <w:tcW w:type="dxa" w:w="1440"/>
            <w:vAlign w:val="center"/>
            <w:tcMar>
              <w:top w:w="85" w:type="dxa"/>
              <w:start w:w="100" w:type="dxa"/>
              <w:bottom w:w="85" w:type="dxa"/>
              <w:end w:w="100" w:type="dxa"/>
            </w:tcMar>
          </w:tcPr>
          <w:p>
            <w:pPr>
              <w:jc w:val="center"/>
            </w:pPr>
            <w:r>
              <w:rPr>
                <w:rFonts w:ascii="Noto Serif CJK SC" w:hAnsi="Noto Serif CJK SC" w:eastAsia="Noto Serif CJK SC"/>
                <w:sz w:val="18"/>
              </w:rPr>
              <w:t>v116</w:t>
            </w:r>
          </w:p>
        </w:tc>
        <w:tc>
          <w:tcPr>
            <w:tcW w:type="dxa" w:w="6408"/>
            <w:vAlign w:val="center"/>
            <w:tcMar>
              <w:top w:w="85" w:type="dxa"/>
              <w:start w:w="100" w:type="dxa"/>
              <w:bottom w:w="85" w:type="dxa"/>
              <w:end w:w="100" w:type="dxa"/>
            </w:tcMar>
          </w:tcPr>
          <w:p>
            <w:pPr>
              <w:jc w:val="left"/>
            </w:pPr>
            <w:r>
              <w:rPr>
                <w:rFonts w:ascii="Noto Serif CJK SC" w:hAnsi="Noto Serif CJK SC" w:eastAsia="Noto Serif CJK SC"/>
                <w:sz w:val="18"/>
              </w:rPr>
              <w:t>negative disciplined closure</w:t>
            </w:r>
          </w:p>
        </w:tc>
        <w:tc>
          <w:tcPr>
            <w:tcW w:type="dxa" w:w="1800"/>
            <w:vAlign w:val="center"/>
            <w:tcMar>
              <w:top w:w="85" w:type="dxa"/>
              <w:start w:w="100" w:type="dxa"/>
              <w:bottom w:w="85" w:type="dxa"/>
              <w:end w:w="100" w:type="dxa"/>
            </w:tcMar>
          </w:tcPr>
          <w:p>
            <w:pPr>
              <w:jc w:val="center"/>
            </w:pPr>
            <w:r>
              <w:rPr>
                <w:rFonts w:ascii="Noto Serif CJK SC" w:hAnsi="Noto Serif CJK SC" w:eastAsia="Noto Serif CJK SC"/>
                <w:sz w:val="18"/>
              </w:rPr>
              <w:t>no</w:t>
            </w:r>
          </w:p>
        </w:tc>
      </w:tr>
    </w:tbl>
    <w:p/>
    <w:p>
      <w:pPr>
        <w:pStyle w:val="Heading1"/>
      </w:pPr>
      <w:r>
        <w:t>附录F. Confirmatory family统计护照</w:t>
      </w:r>
    </w:p>
    <w:tbl>
      <w:tblPr>
        <w:tblW w:type="auto" w:w="0"/>
        <w:jc w:val="center"/>
        <w:tblLayout w:type="fixed"/>
        <w:tblLook w:firstColumn="1" w:firstRow="1" w:lastColumn="0" w:lastRow="0" w:noHBand="0" w:noVBand="1" w:val="04A0"/>
      </w:tblPr>
      <w:tblGrid>
        <w:gridCol w:w="5011"/>
        <w:gridCol w:w="5011"/>
      </w:tblGrid>
      <w:tr>
        <w:tc>
          <w:tcPr>
            <w:tcW w:type="dxa" w:w="2952"/>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字段</w:t>
            </w:r>
          </w:p>
        </w:tc>
        <w:tc>
          <w:tcPr>
            <w:tcW w:type="dxa" w:w="669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必需值</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family_id</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预注册family identifier</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family_locked</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reveal之前为true</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dependence_mode</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INDEPENDENT / PRDS / CERTIFIED_OTHER</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procedure_id</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对声明dependence mode有效的multiplicity procedure</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sample_unit</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lineage component / 其他预先类型化unit</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dependence_certificate</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独立性/cluster dependence依据</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interval_method</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独立Bernoulli units用Wilson，否则用cluster-valid method</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effect_threshold</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reveal前固定ε_min</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null_model</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保持Dom/signature/quality的matched-class</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hidden_channel</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计算前锁定</w:t>
            </w:r>
          </w:p>
        </w:tc>
      </w:tr>
      <w:tr>
        <w:tc>
          <w:tcPr>
            <w:tcW w:type="dxa" w:w="2952"/>
            <w:vAlign w:val="center"/>
            <w:tcMar>
              <w:top w:w="85" w:type="dxa"/>
              <w:start w:w="100" w:type="dxa"/>
              <w:bottom w:w="85" w:type="dxa"/>
              <w:end w:w="100" w:type="dxa"/>
            </w:tcMar>
          </w:tcPr>
          <w:p>
            <w:pPr>
              <w:jc w:val="center"/>
            </w:pPr>
            <w:r>
              <w:rPr>
                <w:rFonts w:ascii="Noto Serif CJK SC" w:hAnsi="Noto Serif CJK SC" w:eastAsia="Noto Serif CJK SC"/>
                <w:sz w:val="18"/>
              </w:rPr>
              <w:t>outcome</w:t>
            </w:r>
          </w:p>
        </w:tc>
        <w:tc>
          <w:tcPr>
            <w:tcW w:type="dxa" w:w="6696"/>
            <w:vAlign w:val="center"/>
            <w:tcMar>
              <w:top w:w="85" w:type="dxa"/>
              <w:start w:w="100" w:type="dxa"/>
              <w:bottom w:w="85" w:type="dxa"/>
              <w:end w:w="100" w:type="dxa"/>
            </w:tcMar>
          </w:tcPr>
          <w:p>
            <w:pPr>
              <w:jc w:val="left"/>
            </w:pPr>
            <w:r>
              <w:rPr>
                <w:rFonts w:ascii="Noto Serif CJK SC" w:hAnsi="Noto Serif CJK SC" w:eastAsia="Noto Serif CJK SC"/>
                <w:sz w:val="18"/>
              </w:rPr>
              <w:t>support / falsification / ABSTAIN并给出原因</w:t>
            </w:r>
          </w:p>
        </w:tc>
      </w:tr>
    </w:tbl>
    <w:p/>
    <w:p>
      <w:pPr>
        <w:pStyle w:val="Heading1"/>
      </w:pPr>
      <w:r>
        <w:t>附录G. Source register与authority classes</w:t>
      </w:r>
    </w:p>
    <w:tbl>
      <w:tblPr>
        <w:tblW w:type="auto" w:w="0"/>
        <w:jc w:val="center"/>
        <w:tblLayout w:type="fixed"/>
        <w:tblLook w:firstColumn="1" w:firstRow="1" w:lastColumn="0" w:lastRow="0" w:noHBand="0" w:noVBand="1" w:val="04A0"/>
      </w:tblPr>
      <w:tblGrid>
        <w:gridCol w:w="2505"/>
        <w:gridCol w:w="2505"/>
        <w:gridCol w:w="2505"/>
        <w:gridCol w:w="2505"/>
      </w:tblGrid>
      <w:tr>
        <w:tc>
          <w:tcPr>
            <w:tcW w:type="dxa" w:w="2088"/>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canonical_id</w:t>
            </w:r>
          </w:p>
        </w:tc>
        <w:tc>
          <w:tcPr>
            <w:tcW w:type="dxa" w:w="345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来源/载体</w:t>
            </w:r>
          </w:p>
        </w:tc>
        <w:tc>
          <w:tcPr>
            <w:tcW w:type="dxa" w:w="2232"/>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Authority</w:t>
            </w:r>
          </w:p>
        </w:tc>
        <w:tc>
          <w:tcPr>
            <w:tcW w:type="dxa" w:w="2520"/>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Locator/作用</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SRC-T6-CHEM-ARCH</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ХИМИЯ KLT-RBD.pdf · Google Drive mirror</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AUTHOR-ARCHIVE</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v95-v108 checkpoints; 1438-page carrier</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SRC-V32-168</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v32-168.pdf · Google Drive mirror</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AUTHOR-ARCHIVE</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v109-v116 + cross-domain archive</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SRC-T6-REV011</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T6-RU-REVIEW-v0.11</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REVIEW-CONTROL</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P12/FC contract</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SRC-NIST-WB</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NIST Chemistry WebBook SRD 69</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PRIMARY/EVALUATED</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thermochemistry, molecular constants</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SRC-NIST-KIN</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NIST Chemical Kinetics Database</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PRIMARY/EVALUATED</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kinetic source routes</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SRC-BH1995</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Benjamini &amp; Hochberg, 1995</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CLASSIC-STAT</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FDR under independence</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SRC-BY2001</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Benjamini &amp; Yekutieli, 2001</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CLASSIC-STAT</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FDR under dependency classes</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SRC-PS2010</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Phipson &amp; Smyth, 2010</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STAT-METHOD</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permutation p-values not zero</w:t>
            </w:r>
          </w:p>
        </w:tc>
      </w:tr>
      <w:tr>
        <w:tc>
          <w:tcPr>
            <w:tcW w:type="dxa" w:w="2088"/>
            <w:vAlign w:val="center"/>
            <w:tcMar>
              <w:top w:w="85" w:type="dxa"/>
              <w:start w:w="100" w:type="dxa"/>
              <w:bottom w:w="85" w:type="dxa"/>
              <w:end w:w="100" w:type="dxa"/>
            </w:tcMar>
          </w:tcPr>
          <w:p>
            <w:pPr>
              <w:jc w:val="center"/>
            </w:pPr>
            <w:r>
              <w:rPr>
                <w:rFonts w:ascii="Noto Serif CJK SC" w:hAnsi="Noto Serif CJK SC" w:eastAsia="Noto Serif CJK SC"/>
                <w:sz w:val="18"/>
              </w:rPr>
              <w:t>SRC-SITE</w:t>
            </w:r>
          </w:p>
        </w:tc>
        <w:tc>
          <w:tcPr>
            <w:tcW w:type="dxa" w:w="3456"/>
            <w:vAlign w:val="center"/>
            <w:tcMar>
              <w:top w:w="85" w:type="dxa"/>
              <w:start w:w="100" w:type="dxa"/>
              <w:bottom w:w="85" w:type="dxa"/>
              <w:end w:w="100" w:type="dxa"/>
            </w:tcMar>
          </w:tcPr>
          <w:p>
            <w:pPr>
              <w:jc w:val="left"/>
            </w:pPr>
            <w:r>
              <w:rPr>
                <w:rFonts w:ascii="Noto Serif CJK SC" w:hAnsi="Noto Serif CJK SC" w:eastAsia="Noto Serif CJK SC"/>
                <w:sz w:val="18"/>
              </w:rPr>
              <w:t>https://kurpishev.com</w:t>
            </w:r>
          </w:p>
        </w:tc>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AUTHOR-ARCHIVE</w:t>
            </w:r>
          </w:p>
        </w:tc>
        <w:tc>
          <w:tcPr>
            <w:tcW w:type="dxa" w:w="2520"/>
            <w:vAlign w:val="center"/>
            <w:tcMar>
              <w:top w:w="85" w:type="dxa"/>
              <w:start w:w="100" w:type="dxa"/>
              <w:bottom w:w="85" w:type="dxa"/>
              <w:end w:w="100" w:type="dxa"/>
            </w:tcMar>
          </w:tcPr>
          <w:p>
            <w:pPr>
              <w:jc w:val="left"/>
            </w:pPr>
            <w:r>
              <w:rPr>
                <w:rFonts w:ascii="Noto Serif CJK SC" w:hAnsi="Noto Serif CJK SC" w:eastAsia="Noto Serif CJK SC"/>
                <w:sz w:val="18"/>
              </w:rPr>
              <w:t>public articles/monographs; archive authority, not numbering authority</w:t>
            </w:r>
          </w:p>
        </w:tc>
      </w:tr>
    </w:tbl>
    <w:p/>
    <w:p>
      <w:r>
        <w:t>Source-ledger规则：每一个实质性引用必须具有canonical_id、sha256（针对byte carrier）、locator、accessed_at/edition与authority_class。缺少page/section locator时应记录NO-LOCATOR blocker；hash不能代替locator。</w:t>
      </w:r>
    </w:p>
    <w:p>
      <w:pPr>
        <w:pStyle w:val="Heading1"/>
      </w:pPr>
      <w:r>
        <w:t>附录H. 关键source-bound化学例子</w:t>
      </w:r>
    </w:p>
    <w:p>
      <w:r>
        <w:t>NO₂/N₂O₄与CO+OH被用作gate architecture发展的历史例子，而不是一般DHC假设的证明。H₂/I₂/HI用于说明Evidence-D的加强，以及必须把热力学、分子光谱、基本动力学和宏观机理相互分离。</w:t>
      </w:r>
    </w:p>
    <w:p>
      <w:r>
        <w:t>对于v114，Vasileiadis &amp; Benson (1997)支持298 K下的基本动力学桥H+HI→H₂+I；它并不授权把该行与宏观平衡H₂+I₂⇌2HI视为同一对象。</w:t>
      </w:r>
    </w:p>
    <w:p>
      <w:pPr>
        <w:pStyle w:val="Heading1"/>
      </w:pPr>
      <w:r>
        <w:t>附录I. Chemical object最小schema</w:t>
      </w:r>
    </w:p>
    <w:p>
      <w:pPr>
        <w:pStyle w:val="Formula"/>
        <w:jc w:val="center"/>
      </w:pPr>
      <w:r>
        <w:t>ChemicalRow=(object_id,class_id,reaction,channel,value,unit,Dom_id,D_source_id,projection_status,quality_flag,uncertainty,lineage_id,hidden_flag).</w:t>
      </w:r>
    </w:p>
    <w:p>
      <w:r>
        <w:t>缺少Dom_id或D_source_id会把该行转入blocker；hidden_flag由blind protocol管理；projection_status区分identity与projection/RBD-morphism。</w:t>
      </w:r>
    </w:p>
    <w:p>
      <w:pPr>
        <w:pStyle w:val="Heading1"/>
      </w:pPr>
      <w:r>
        <w:t>附录J. DHC-engine schema</w:t>
      </w:r>
    </w:p>
    <w:p>
      <w:pPr>
        <w:pStyle w:val="Formula"/>
        <w:jc w:val="center"/>
      </w:pPr>
      <w:r>
        <w:t>E_ENGINE=(Parser,EvidenceDNormalizer,ChannelMapper,DHCBuilder,MatchedClassNull,BlindPredictionMasker,CGICalculator,RBDExporter,StatusLedger).</w:t>
      </w:r>
    </w:p>
    <w:p>
      <w:r>
        <w:t>每个模块必须保持typed D/Dom。Engine output可以是可复现的mechanics，同时science仍然保持ABSTAIN。</w:t>
      </w:r>
    </w:p>
    <w:p>
      <w:pPr>
        <w:pStyle w:val="Heading1"/>
      </w:pPr>
      <w:r>
        <w:t>附录K. ChemGraph/RBD card schema</w:t>
      </w:r>
    </w:p>
    <w:tbl>
      <w:tblPr>
        <w:tblW w:type="auto" w:w="0"/>
        <w:jc w:val="center"/>
        <w:tblLayout w:type="fixed"/>
        <w:tblLook w:firstColumn="1" w:firstRow="1" w:lastColumn="0" w:lastRow="0" w:noHBand="0" w:noVBand="1" w:val="04A0"/>
      </w:tblPr>
      <w:tblGrid>
        <w:gridCol w:w="5011"/>
        <w:gridCol w:w="5011"/>
      </w:tblGrid>
      <w:tr>
        <w:tc>
          <w:tcPr>
            <w:tcW w:type="dxa" w:w="2232"/>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Card</w:t>
            </w:r>
          </w:p>
        </w:tc>
        <w:tc>
          <w:tcPr>
            <w:tcW w:type="dxa" w:w="741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最小字段</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source-card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canonical_id, hash, locator, authority, Dom</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reper-card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R,I,U,D_rep, Ωλ, provenance</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null-card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family_id, matching variables, seed, N, procedure</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prediction-card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visible channels, hidden channel, prelock, loss, null comparison</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blocker-card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id, impact, resolution, status</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theorem-card</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statement, assumptions, dependencies, boundary, proof_object</w:t>
            </w:r>
          </w:p>
        </w:tc>
      </w:tr>
      <w:tr>
        <w:tc>
          <w:tcPr>
            <w:tcW w:type="dxa" w:w="2232"/>
            <w:vAlign w:val="center"/>
            <w:tcMar>
              <w:top w:w="85" w:type="dxa"/>
              <w:start w:w="100" w:type="dxa"/>
              <w:bottom w:w="85" w:type="dxa"/>
              <w:end w:w="100" w:type="dxa"/>
            </w:tcMar>
          </w:tcPr>
          <w:p>
            <w:pPr>
              <w:jc w:val="center"/>
            </w:pPr>
            <w:r>
              <w:rPr>
                <w:rFonts w:ascii="Noto Serif CJK SC" w:hAnsi="Noto Serif CJK SC" w:eastAsia="Noto Serif CJK SC"/>
                <w:sz w:val="18"/>
              </w:rPr>
              <w:t>status-ledger</w:t>
            </w:r>
          </w:p>
        </w:tc>
        <w:tc>
          <w:tcPr>
            <w:tcW w:type="dxa" w:w="7416"/>
            <w:vAlign w:val="center"/>
            <w:tcMar>
              <w:top w:w="85" w:type="dxa"/>
              <w:start w:w="100" w:type="dxa"/>
              <w:bottom w:w="85" w:type="dxa"/>
              <w:end w:w="100" w:type="dxa"/>
            </w:tcMar>
          </w:tcPr>
          <w:p>
            <w:pPr>
              <w:jc w:val="left"/>
            </w:pPr>
            <w:r>
              <w:rPr>
                <w:rFonts w:ascii="Noto Serif CJK SC" w:hAnsi="Noto Serif CJK SC" w:eastAsia="Noto Serif CJK SC"/>
                <w:sz w:val="18"/>
              </w:rPr>
              <w:t>candidate class, gates, outcome, no-promotion receipt</w:t>
            </w:r>
          </w:p>
        </w:tc>
      </w:tr>
    </w:tbl>
    <w:p/>
    <w:p>
      <w:pPr>
        <w:pStyle w:val="Heading1"/>
      </w:pPr>
      <w:r>
        <w:t>附录L. 可复现性约束</w:t>
      </w:r>
    </w:p>
    <w:p>
      <w:pPr>
        <w:pStyle w:val="ListBullet"/>
      </w:pPr>
      <w:r>
        <w:t>冻结raw inputs及其hashes</w:t>
      </w:r>
    </w:p>
    <w:p>
      <w:pPr>
        <w:pStyle w:val="ListBullet"/>
      </w:pPr>
      <w:r>
        <w:t>使用versioned transformation log进行规范化</w:t>
      </w:r>
    </w:p>
    <w:p>
      <w:pPr>
        <w:pStyle w:val="ListBullet"/>
      </w:pPr>
      <w:r>
        <w:t>使用已记录参数执行DHC</w:t>
      </w:r>
    </w:p>
    <w:p>
      <w:pPr>
        <w:pStyle w:val="ListBullet"/>
      </w:pPr>
      <w:r>
        <w:t>使用固定seed/procedure运行matched null</w:t>
      </w:r>
    </w:p>
    <w:p>
      <w:pPr>
        <w:pStyle w:val="ListBullet"/>
      </w:pPr>
      <w:r>
        <w:t>blind mask/reveal只执行一次</w:t>
      </w:r>
    </w:p>
    <w:p>
      <w:pPr>
        <w:pStyle w:val="ListBullet"/>
      </w:pPr>
      <w:r>
        <w:t>导出cards/status ledger</w:t>
      </w:r>
    </w:p>
    <w:p>
      <w:pPr>
        <w:pStyle w:val="ListBullet"/>
      </w:pPr>
      <w:r>
        <w:t>保存software/version/environment metadata</w:t>
      </w:r>
    </w:p>
    <w:p>
      <w:pPr>
        <w:pStyle w:val="ListBullet"/>
      </w:pPr>
      <w:r>
        <w:t>保留negative/null outcomes</w:t>
      </w:r>
    </w:p>
    <w:p>
      <w:pPr>
        <w:pStyle w:val="Heading1"/>
      </w:pPr>
      <w:r>
        <w:t>附录M. Software semantic firewall</w:t>
      </w:r>
    </w:p>
    <w:p>
      <w:pPr>
        <w:pStyle w:val="Formula"/>
        <w:jc w:val="center"/>
      </w:pPr>
      <w:r>
        <w:t>legacy_Auth, legacy_CRI → diagnostic_only;  diagnostic_only ↛ truth/probability/chemical_support.</w:t>
      </w:r>
    </w:p>
    <w:p>
      <w:r>
        <w:t>Typed adapter必须返回vector gap profile，并在Dom中记录scalarization weights。在此之前，ChemGraph不得把legacy scalar用于Supportπ。</w:t>
      </w:r>
    </w:p>
    <w:p>
      <w:pPr>
        <w:pStyle w:val="Heading1"/>
      </w:pPr>
      <w:r>
        <w:t>附录N. Source-carrier policy</w:t>
      </w:r>
    </w:p>
    <w:p>
      <w:r>
        <w:t>有问题的PDF carrier不能被“修正后的原文件”替换。应创建具有新hash的规范化档案副本，并显式链接original hash。在byte portability未被验证之前，可以从FC bundle中排除bytes，同时保留canonical reference/hash。</w:t>
      </w:r>
    </w:p>
    <w:p>
      <w:pPr>
        <w:pStyle w:val="Heading1"/>
      </w:pPr>
      <w:r>
        <w:t>附录O. Review patch contract P12-001…P12-008</w:t>
      </w:r>
    </w:p>
    <w:tbl>
      <w:tblPr>
        <w:tblW w:type="auto" w:w="0"/>
        <w:jc w:val="center"/>
        <w:tblLayout w:type="fixed"/>
        <w:tblLook w:firstColumn="1" w:firstRow="1" w:lastColumn="0" w:lastRow="0" w:noHBand="0" w:noVBand="1" w:val="04A0"/>
      </w:tblPr>
      <w:tblGrid>
        <w:gridCol w:w="3341"/>
        <w:gridCol w:w="3341"/>
        <w:gridCol w:w="3341"/>
      </w:tblGrid>
      <w:tr>
        <w:tc>
          <w:tcPr>
            <w:tcW w:type="dxa" w:w="1728"/>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Patch</w:t>
            </w:r>
          </w:p>
        </w:tc>
        <w:tc>
          <w:tcPr>
            <w:tcW w:type="dxa" w:w="5832"/>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Freeze实现</w:t>
            </w:r>
          </w:p>
        </w:tc>
        <w:tc>
          <w:tcPr>
            <w:tcW w:type="dxa" w:w="230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历史FC状态</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P12-001</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D_rep / Eᴰ_k已分离</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implemented in text; historical master diff pending</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P12-002</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已加入FDR dependence gate</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implemented in text</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P12-003</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已加入lineage n_eff/confidence passport</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implemented in text</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P12-004</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proof fields已定义；92条historical records未重建</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OPEN-ARCHIVE</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P12-005</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新freeze为完整中文译本；不替代70条original_en historical records</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OPEN-ARCHIVE</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P12-006</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B035-B041 impact/resolution已迁移</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implemented</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P12-007</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source schema/registry已加入；完整historical ledger仍需恢复</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PARTIAL-ARCHIVE</w:t>
            </w:r>
          </w:p>
        </w:tc>
      </w:tr>
      <w:tr>
        <w:tc>
          <w:tcPr>
            <w:tcW w:type="dxa" w:w="1728"/>
            <w:vAlign w:val="center"/>
            <w:tcMar>
              <w:top w:w="85" w:type="dxa"/>
              <w:start w:w="100" w:type="dxa"/>
              <w:bottom w:w="85" w:type="dxa"/>
              <w:end w:w="100" w:type="dxa"/>
            </w:tcMar>
          </w:tcPr>
          <w:p>
            <w:pPr>
              <w:jc w:val="center"/>
            </w:pPr>
            <w:r>
              <w:rPr>
                <w:rFonts w:ascii="Noto Serif CJK SC" w:hAnsi="Noto Serif CJK SC" w:eastAsia="Noto Serif CJK SC"/>
                <w:sz w:val="18"/>
              </w:rPr>
              <w:t>P12-008</w:t>
            </w:r>
          </w:p>
        </w:tc>
        <w:tc>
          <w:tcPr>
            <w:tcW w:type="dxa" w:w="5832"/>
            <w:vAlign w:val="center"/>
            <w:tcMar>
              <w:top w:w="85" w:type="dxa"/>
              <w:start w:w="100" w:type="dxa"/>
              <w:bottom w:w="85" w:type="dxa"/>
              <w:end w:w="100" w:type="dxa"/>
            </w:tcMar>
          </w:tcPr>
          <w:p>
            <w:pPr>
              <w:jc w:val="left"/>
            </w:pPr>
            <w:r>
              <w:rPr>
                <w:rFonts w:ascii="Noto Serif CJK SC" w:hAnsi="Noto Serif CJK SC" w:eastAsia="Noto Serif CJK SC"/>
                <w:sz w:val="18"/>
              </w:rPr>
              <w:t>normalize-or-exclude policy已加入</w:t>
            </w:r>
          </w:p>
        </w:tc>
        <w:tc>
          <w:tcPr>
            <w:tcW w:type="dxa" w:w="2304"/>
            <w:vAlign w:val="center"/>
            <w:tcMar>
              <w:top w:w="85" w:type="dxa"/>
              <w:start w:w="100" w:type="dxa"/>
              <w:bottom w:w="85" w:type="dxa"/>
              <w:end w:w="100" w:type="dxa"/>
            </w:tcMar>
          </w:tcPr>
          <w:p>
            <w:pPr>
              <w:jc w:val="center"/>
            </w:pPr>
            <w:r>
              <w:rPr>
                <w:rFonts w:ascii="Noto Serif CJK SC" w:hAnsi="Noto Serif CJK SC" w:eastAsia="Noto Serif CJK SC"/>
                <w:sz w:val="18"/>
              </w:rPr>
              <w:t>implemented as policy</w:t>
            </w:r>
          </w:p>
        </w:tc>
      </w:tr>
    </w:tbl>
    <w:p/>
    <w:p>
      <w:pPr>
        <w:pStyle w:val="Heading1"/>
      </w:pPr>
      <w:r>
        <w:t>附录P. Freeze receipt</w:t>
      </w:r>
    </w:p>
    <w:tbl>
      <w:tblPr>
        <w:tblW w:type="auto" w:w="0"/>
        <w:jc w:val="center"/>
        <w:tblLayout w:type="fixed"/>
        <w:tblLook w:firstColumn="1" w:firstRow="1" w:lastColumn="0" w:lastRow="0" w:noHBand="0" w:noVBand="1" w:val="04A0"/>
      </w:tblPr>
      <w:tblGrid>
        <w:gridCol w:w="5011"/>
        <w:gridCol w:w="5011"/>
      </w:tblGrid>
      <w:tr>
        <w:tc>
          <w:tcPr>
            <w:tcW w:type="dxa" w:w="338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Gate</w:t>
            </w:r>
          </w:p>
        </w:tc>
        <w:tc>
          <w:tcPr>
            <w:tcW w:type="dxa" w:w="626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Freeze结果</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Text structure</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30 chapters + A-T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Science locks</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unchanged</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D notation</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in freeze text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FDR passport</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in freeze text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Lineage interval passport</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in freeze text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Blocker B035-B041</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in freeze text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Historical 92-record proof graph</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OPEN-ARCHIVE; not falsely closed</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Historical source ledger</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PARTIAL-ARCHIVE</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DOCX/PDF render QA</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PASS; final receipt recorded in manifest</w:t>
            </w:r>
          </w:p>
        </w:tc>
      </w:tr>
      <w:tr>
        <w:tc>
          <w:tcPr>
            <w:tcW w:type="dxa" w:w="3384"/>
            <w:vAlign w:val="center"/>
            <w:tcMar>
              <w:top w:w="85" w:type="dxa"/>
              <w:start w:w="100" w:type="dxa"/>
              <w:bottom w:w="85" w:type="dxa"/>
              <w:end w:w="100" w:type="dxa"/>
            </w:tcMar>
          </w:tcPr>
          <w:p>
            <w:pPr>
              <w:jc w:val="center"/>
            </w:pPr>
            <w:r>
              <w:rPr>
                <w:rFonts w:ascii="Noto Serif CJK SC" w:hAnsi="Noto Serif CJK SC" w:eastAsia="Noto Serif CJK SC"/>
                <w:sz w:val="18"/>
              </w:rPr>
              <w:t>T6-RA5</w:t>
            </w:r>
          </w:p>
        </w:tc>
        <w:tc>
          <w:tcPr>
            <w:tcW w:type="dxa" w:w="6264"/>
            <w:vAlign w:val="center"/>
            <w:tcMar>
              <w:top w:w="85" w:type="dxa"/>
              <w:start w:w="100" w:type="dxa"/>
              <w:bottom w:w="85" w:type="dxa"/>
              <w:end w:w="100" w:type="dxa"/>
            </w:tcMar>
          </w:tcPr>
          <w:p>
            <w:pPr>
              <w:jc w:val="left"/>
            </w:pPr>
            <w:r>
              <w:rPr>
                <w:rFonts w:ascii="Noto Serif CJK SC" w:hAnsi="Noto Serif CJK SC" w:eastAsia="Noto Serif CJK SC"/>
                <w:sz w:val="18"/>
              </w:rPr>
              <w:t>NOT_ISSUED</w:t>
            </w:r>
          </w:p>
        </w:tc>
      </w:tr>
    </w:tbl>
    <w:p/>
    <w:p>
      <w:pPr>
        <w:pStyle w:val="Heading1"/>
      </w:pPr>
      <w:r>
        <w:t>附录Q. 公共档案与路由</w:t>
      </w:r>
    </w:p>
    <w:p>
      <w:r>
        <w:t>作者授权把整个https://kurpishev.com网站作为论文与专著档案使用。在本freeze中，该网站被视为source archive。网站中的导航方案和历史卷号变体不重新定义当前八月合同；在该合同中，第六卷是KLT-RBD化学卷。</w:t>
      </w:r>
    </w:p>
    <w:p>
      <w:pPr>
        <w:pStyle w:val="ListBullet"/>
      </w:pPr>
      <w:r>
        <w:t>主页：https://kurpishev.com</w:t>
      </w:r>
    </w:p>
    <w:p>
      <w:pPr>
        <w:pStyle w:val="ListBullet"/>
      </w:pPr>
      <w:r>
        <w:t>KLT-RBD Chem v116 RU：档案主页上的公开卡片；PDF route：https://kurpishev.com/KLT_monographv32_116.pdf</w:t>
      </w:r>
    </w:p>
    <w:p>
      <w:pPr>
        <w:pStyle w:val="ListBullet"/>
      </w:pPr>
      <w:r>
        <w:t>KLT-RBD Chem v116 EN：PDF route：https://kurpishev.com/KLT_monographv32_116_en.pdf</w:t>
      </w:r>
    </w:p>
    <w:p>
      <w:r>
        <w:t>发布freeze时执行add-only规则：已有档案材料不删除，也不追溯性提高其科学状态。</w:t>
      </w:r>
    </w:p>
    <w:p>
      <w:pPr>
        <w:pStyle w:val="Heading1"/>
      </w:pPr>
      <w:r>
        <w:t>附录R. 参考文献</w:t>
      </w:r>
    </w:p>
    <w:p>
      <w:pPr>
        <w:pStyle w:val="Small"/>
      </w:pPr>
      <w:r>
        <w:t>1. Курпишев И.Б. KLT2 PIX@PEAKS CHEM checkpoints v95-v116. 作者档案，2026. https://kurpishev.com</w:t>
      </w:r>
    </w:p>
    <w:p>
      <w:pPr>
        <w:pStyle w:val="Small"/>
      </w:pPr>
      <w:r>
        <w:t>2. Курпишев И.Б. T6-RU-REVIEW-v0.11. 科学编辑评审，2026-08-11。</w:t>
      </w:r>
    </w:p>
    <w:p>
      <w:pPr>
        <w:pStyle w:val="Small"/>
      </w:pPr>
      <w:r>
        <w:t>3. NIST Chemistry WebBook, SRD 69. https://webbook.nist.gov/chemistry/</w:t>
      </w:r>
    </w:p>
    <w:p>
      <w:pPr>
        <w:pStyle w:val="Small"/>
      </w:pPr>
      <w:r>
        <w:t>4. NIST Chemical Kinetics Database. https://kinetics.nist.gov/kinetics/</w:t>
      </w:r>
    </w:p>
    <w:p>
      <w:pPr>
        <w:pStyle w:val="Small"/>
      </w:pPr>
      <w:r>
        <w:t>5. Huber, K.P.; Herzberg, G. Constants of Diatomic Molecules. Molecular Spectra and Molecular Structure IV, 1979; data compiled in NIST Chemistry WebBook.</w:t>
      </w:r>
    </w:p>
    <w:p>
      <w:pPr>
        <w:pStyle w:val="Small"/>
      </w:pPr>
      <w:r>
        <w:t>6. Vasileiadis, S.; Benson, S.W. Kinetic study of H + HI -&gt; H2 + I at 298 K. International Journal of Chemical Kinetics 29 (1997), 915-925.</w:t>
      </w:r>
    </w:p>
    <w:p>
      <w:pPr>
        <w:pStyle w:val="Small"/>
      </w:pPr>
      <w:r>
        <w:t>7. Benjamini, Y.; Hochberg, Y. Controlling the False Discovery Rate: A Practical and Powerful Approach to Multiple Testing. JRSS B 57 (1995), 289-300.</w:t>
      </w:r>
    </w:p>
    <w:p>
      <w:pPr>
        <w:pStyle w:val="Small"/>
      </w:pPr>
      <w:r>
        <w:t>8. Benjamini, Y.; Yekutieli, D. The Control of the False Discovery Rate in Multiple Testing under Dependency. Annals of Statistics 29 (2001), 1165-1188.</w:t>
      </w:r>
    </w:p>
    <w:p>
      <w:pPr>
        <w:pStyle w:val="Small"/>
      </w:pPr>
      <w:r>
        <w:t>9. Phipson, B.; Smyth, G.K. Permutation P-values Should Never Be Zero. Statistical Applications in Genetics and Molecular Biology 9 (2010).</w:t>
      </w:r>
    </w:p>
    <w:p>
      <w:pPr>
        <w:pStyle w:val="Small"/>
      </w:pPr>
      <w:r>
        <w:t>10. IUPAC Gold Book. Activity; rate of reaction; kinetic electrolyte effect. https://goldbook.iupac.org/</w:t>
      </w:r>
    </w:p>
    <w:p>
      <w:pPr>
        <w:pStyle w:val="Small"/>
      </w:pPr>
      <w:r>
        <w:t>11. NIST FIPS 180-4. Secure Hash Standard (SHS). https://csrc.nist.gov/pubs/fips/180-4/upd1/final</w:t>
      </w:r>
    </w:p>
    <w:p>
      <w:pPr>
        <w:pStyle w:val="Heading1"/>
      </w:pPr>
      <w:r>
        <w:t>附录S. RU-EN-ZH翻译术语表</w:t>
      </w:r>
    </w:p>
    <w:tbl>
      <w:tblPr>
        <w:tblW w:type="auto" w:w="0"/>
        <w:jc w:val="center"/>
        <w:tblLayout w:type="fixed"/>
        <w:tblLook w:firstColumn="1" w:firstRow="1" w:lastColumn="0" w:lastRow="0" w:noHBand="0" w:noVBand="1" w:val="04A0"/>
      </w:tblPr>
      <w:tblGrid>
        <w:gridCol w:w="3341"/>
        <w:gridCol w:w="3341"/>
        <w:gridCol w:w="3341"/>
      </w:tblGrid>
      <w:tr>
        <w:tc>
          <w:tcPr>
            <w:tcW w:type="dxa" w:w="309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RU</w:t>
            </w:r>
          </w:p>
        </w:tc>
        <w:tc>
          <w:tcPr>
            <w:tcW w:type="dxa" w:w="3816"/>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EN</w:t>
            </w:r>
          </w:p>
        </w:tc>
        <w:tc>
          <w:tcPr>
            <w:tcW w:type="dxa" w:w="3024"/>
            <w:vAlign w:val="center"/>
            <w:shd w:fill="D9E2F3"/>
            <w:tcMar>
              <w:top w:w="85" w:type="dxa"/>
              <w:start w:w="100" w:type="dxa"/>
              <w:bottom w:w="85" w:type="dxa"/>
              <w:end w:w="100" w:type="dxa"/>
            </w:tcMar>
          </w:tcPr>
          <w:p>
            <w:pPr>
              <w:jc w:val="center"/>
            </w:pPr>
            <w:r>
              <w:rPr>
                <w:rFonts w:ascii="Noto Serif CJK SC" w:hAnsi="Noto Serif CJK SC" w:eastAsia="Noto Serif CJK SC"/>
                <w:b/>
                <w:sz w:val="18"/>
              </w:rPr>
              <w:t>中文</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репер</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reper / reference frame element</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标架元 / 参照元</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достаточное основание</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sufficient foundation</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充分根据</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область применимости</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domain of applicability</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适用域</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событие@состояние</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event@state</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事件@状态</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источниковая обеспеченность</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source-bound evidence</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来源绑定证据</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согласованный нуль</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matched null</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匹配零模型</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слепой предсказательный тест</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blind predictive test</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盲预测检验</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разрыв/блокер</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gap/blocker</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缺口/阻断项</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воздержание от вывода</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ABSTAIN</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暂不作结论</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отрицательно-дисциплинарный результат</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negative disciplined result</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负向约束性结果</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не подтверждено</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not confirmed</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未确认</w:t>
            </w:r>
          </w:p>
        </w:tc>
      </w:tr>
      <w:tr>
        <w:tc>
          <w:tcPr>
            <w:tcW w:type="dxa" w:w="3096"/>
            <w:vAlign w:val="center"/>
            <w:tcMar>
              <w:top w:w="85" w:type="dxa"/>
              <w:start w:w="100" w:type="dxa"/>
              <w:bottom w:w="85" w:type="dxa"/>
              <w:end w:w="100" w:type="dxa"/>
            </w:tcMar>
          </w:tcPr>
          <w:p>
            <w:pPr>
              <w:jc w:val="center"/>
            </w:pPr>
            <w:r>
              <w:rPr>
                <w:rFonts w:ascii="Noto Serif CJK SC" w:hAnsi="Noto Serif CJK SC" w:eastAsia="Noto Serif CJK SC"/>
                <w:sz w:val="18"/>
              </w:rPr>
              <w:t>внешний независимый прогон</w:t>
            </w:r>
          </w:p>
        </w:tc>
        <w:tc>
          <w:tcPr>
            <w:tcW w:type="dxa" w:w="3816"/>
            <w:vAlign w:val="center"/>
            <w:tcMar>
              <w:top w:w="85" w:type="dxa"/>
              <w:start w:w="100" w:type="dxa"/>
              <w:bottom w:w="85" w:type="dxa"/>
              <w:end w:w="100" w:type="dxa"/>
            </w:tcMar>
          </w:tcPr>
          <w:p>
            <w:pPr>
              <w:jc w:val="left"/>
            </w:pPr>
            <w:r>
              <w:rPr>
                <w:rFonts w:ascii="Noto Serif CJK SC" w:hAnsi="Noto Serif CJK SC" w:eastAsia="Noto Serif CJK SC"/>
                <w:sz w:val="18"/>
              </w:rPr>
              <w:t>independent external run</w:t>
            </w:r>
          </w:p>
        </w:tc>
        <w:tc>
          <w:tcPr>
            <w:tcW w:type="dxa" w:w="3024"/>
            <w:vAlign w:val="center"/>
            <w:tcMar>
              <w:top w:w="85" w:type="dxa"/>
              <w:start w:w="100" w:type="dxa"/>
              <w:bottom w:w="85" w:type="dxa"/>
              <w:end w:w="100" w:type="dxa"/>
            </w:tcMar>
          </w:tcPr>
          <w:p>
            <w:pPr>
              <w:jc w:val="center"/>
            </w:pPr>
            <w:r>
              <w:rPr>
                <w:rFonts w:ascii="Noto Serif CJK SC" w:hAnsi="Noto Serif CJK SC" w:eastAsia="Noto Serif CJK SC"/>
                <w:sz w:val="18"/>
              </w:rPr>
              <w:t>独立外部复现实验</w:t>
            </w:r>
          </w:p>
        </w:tc>
      </w:tr>
    </w:tbl>
    <w:p/>
    <w:p>
      <w:pPr>
        <w:pStyle w:val="Heading1"/>
      </w:pPr>
      <w:r>
        <w:t>附录T. Manifest字段</w:t>
      </w:r>
    </w:p>
    <w:p>
      <w:r>
        <w:t>最终freeze-manifest与DOCX/PDF放在一起，其中包含最终文件的SHA-256、源carrier文件hashes、build date、page count、science locks与QA receipt。Manifest本身是freeze的一部分；任何byte变化都创建新版本。</w:t>
      </w:r>
    </w:p>
    <w:p>
      <w:pPr>
        <w:pStyle w:val="Heading1"/>
      </w:pPr>
      <w:r>
        <w:t>最终作者冻结说明</w:t>
      </w:r>
    </w:p>
    <w:p>
      <w:r>
        <w:t>第六卷冻结化学分支时，并不把它表述为已经证明的普遍规律，而是表述为一个严格研究回路：从λ-seed依次经过Evidence-D、matched null、blind protocol、真实数据导入，最终到达v116的负向状态定理。这一阶段的科学价值在于：当方法自身规定的规则未满足时，它能够拒绝提高状态。</w:t>
      </w:r>
    </w:p>
    <w:p>
      <w:pPr>
        <w:pStyle w:val="Formula"/>
        <w:jc w:val="center"/>
      </w:pPr>
      <w:r>
        <w:t>science=ABSTAIN;  DHC_chem=OPEN-NOT-CONFIRMED;  EXT-RUN=NOT_RUN;  truth_layer_promotion=0.</w:t>
      </w:r>
    </w:p>
    <w:p>
      <w:r>
        <w:t>任何未来版本若主张更高状态，都必须提交新的source-bound corpus、预注册统计护照、blind prediction以及独立外部重复。在此之前，本版是从T6-RU-FREEZE-v1.0派生的第六卷规范中文冻结译本。</w:t>
      </w:r>
    </w:p>
    <w:sectPr w:rsidR="00FC693F" w:rsidRPr="0006063C" w:rsidSect="00034616">
      <w:headerReference w:type="default" r:id="rId9"/>
      <w:footerReference w:type="default" r:id="rId10"/>
      <w:pgSz w:w="12240" w:h="15840"/>
      <w:pgMar w:top="1080" w:right="1037" w:bottom="1008"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erif CJK SC" w:hAnsi="Noto Serif CJK SC" w:eastAsia="Noto Serif CJK SC"/>
        <w:sz w:val="16"/>
      </w:rPr>
      <w:t xml:space="preserve">© 2026 伊万·鲍里索维奇·库尔皮舍夫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t>KLT-RBD基础项目 · 第六卷 · 翻译冻结版</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Noto Serif CJK SC" w:hAnsi="Noto Serif CJK SC" w:eastAsia="Noto Serif CJK SC"/>
      <w:color w:val="141414"/>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00" w:line="259" w:lineRule="auto"/>
      <w:outlineLvl w:val="0"/>
    </w:pPr>
    <w:rPr>
      <w:rFonts w:asciiTheme="majorHAnsi" w:eastAsiaTheme="majorEastAsia" w:hAnsiTheme="majorHAnsi" w:cstheme="majorBidi" w:ascii="Noto Serif CJK SC" w:hAnsi="Noto Serif CJK SC" w:eastAsia="Noto Serif CJK SC"/>
      <w:b/>
      <w:bCs/>
      <w:color w:val="1F3A53"/>
      <w:sz w:val="34"/>
      <w:szCs w:val="28"/>
    </w:rPr>
  </w:style>
  <w:style w:type="paragraph" w:styleId="Heading2">
    <w:name w:val="heading 2"/>
    <w:basedOn w:val="Normal"/>
    <w:next w:val="Normal"/>
    <w:link w:val="Heading2Char"/>
    <w:uiPriority w:val="9"/>
    <w:unhideWhenUsed/>
    <w:qFormat/>
    <w:rsid w:val="00FC693F"/>
    <w:pPr>
      <w:keepNext/>
      <w:keepLines/>
      <w:spacing w:before="200" w:after="100" w:line="259" w:lineRule="auto"/>
      <w:outlineLvl w:val="1"/>
    </w:pPr>
    <w:rPr>
      <w:rFonts w:asciiTheme="majorHAnsi" w:eastAsiaTheme="majorEastAsia" w:hAnsiTheme="majorHAnsi" w:cstheme="majorBidi" w:ascii="Noto Serif CJK SC" w:hAnsi="Noto Serif CJK SC" w:eastAsia="Noto Serif CJK SC"/>
      <w:b/>
      <w:bCs/>
      <w:color w:val="2F5473"/>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59" w:lineRule="auto"/>
      <w:outlineLvl w:val="2"/>
    </w:pPr>
    <w:rPr>
      <w:rFonts w:asciiTheme="majorHAnsi" w:eastAsiaTheme="majorEastAsia" w:hAnsiTheme="majorHAnsi" w:cstheme="majorBidi" w:ascii="Noto Serif CJK SC" w:hAnsi="Noto Serif CJK SC" w:eastAsia="Noto Serif CJK SC"/>
      <w:b/>
      <w:bCs/>
      <w:color w:val="464646"/>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00" w:line="259" w:lineRule="auto"/>
      <w:contextualSpacing/>
    </w:pPr>
    <w:rPr>
      <w:rFonts w:asciiTheme="majorHAnsi" w:eastAsiaTheme="majorEastAsia" w:hAnsiTheme="majorHAnsi" w:cstheme="majorBidi" w:ascii="Noto Serif CJK SC" w:hAnsi="Noto Serif CJK SC" w:eastAsia="Noto Serif CJK SC"/>
      <w:color w:val="1F3A53"/>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100" w:line="259" w:lineRule="auto"/>
    </w:pPr>
    <w:rPr>
      <w:rFonts w:asciiTheme="majorHAnsi" w:eastAsiaTheme="majorEastAsia" w:hAnsiTheme="majorHAnsi" w:cstheme="majorBidi" w:ascii="Noto Serif CJK SC" w:hAnsi="Noto Serif CJK SC" w:eastAsia="Noto Serif CJK SC"/>
      <w:i/>
      <w:iCs/>
      <w:color w:val="464646"/>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rmula">
    <w:name w:val="Formula"/>
    <w:pPr>
      <w:spacing w:after="120"/>
      <w:ind w:left="288"/>
    </w:pPr>
    <w:rPr>
      <w:rFonts w:ascii="DejaVu Serif" w:hAnsi="DejaVu Serif" w:eastAsia="DejaVu Serif"/>
      <w:sz w:val="21"/>
    </w:rPr>
  </w:style>
  <w:style w:type="paragraph" w:customStyle="1" w:styleId="SourceExcerpt">
    <w:name w:val="SourceExcerpt"/>
    <w:pPr>
      <w:spacing w:after="80"/>
      <w:ind w:left="259" w:right="115"/>
    </w:pPr>
    <w:rPr>
      <w:rFonts w:ascii="Noto Serif CJK SC" w:hAnsi="Noto Serif CJK SC" w:eastAsia="Noto Serif CJK SC"/>
      <w:i/>
      <w:color w:val="414141"/>
      <w:sz w:val="20"/>
    </w:rPr>
  </w:style>
  <w:style w:type="paragraph" w:customStyle="1" w:styleId="Small">
    <w:name w:val="Small"/>
    <w:pPr>
      <w:spacing w:after="80"/>
    </w:pPr>
    <w:rPr>
      <w:rFonts w:ascii="Noto Serif CJK SC" w:hAnsi="Noto Serif CJK SC" w:eastAsia="Noto Serif CJK SC"/>
      <w:color w:val="5F5F5F"/>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KLT-RBD基础项目 — 第六卷 — 中文冻结版 v1.0</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