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</w:p>
    <w:p>
      <w:pPr>
        <w:pStyle w:val="CoverTitle"/>
        <w:jc w:val="center"/>
      </w:pPr>
      <w:r>
        <w:t>БАЗОВЫЙ ПРОЕКТ KLT-RBD</w:t>
      </w:r>
    </w:p>
    <w:p>
      <w:pPr>
        <w:pStyle w:val="CoverTitle"/>
        <w:jc w:val="center"/>
      </w:pPr>
      <w:r>
        <w:t>ТОМ VI</w:t>
      </w:r>
    </w:p>
    <w:p>
      <w:pPr>
        <w:pStyle w:val="CoverTitle"/>
        <w:jc w:val="center"/>
      </w:pPr>
      <w:r>
        <w:t>ХИМИЯ KLT-RBD</w:t>
      </w:r>
    </w:p>
    <w:p>
      <w:pPr>
        <w:pStyle w:val="CoverSub"/>
        <w:jc w:val="center"/>
      </w:pPr>
      <w:r>
        <w:t>Evidence-D, DHC₍chem₎, реперные графы, matched-null, слепое предсказание и отрицательно-дисциплинарный результат</w:t>
      </w:r>
    </w:p>
    <w:p>
      <w:pPr>
        <w:jc w:val="center"/>
      </w:pPr>
      <w:r/>
    </w:p>
    <w:p>
      <w:pPr>
        <w:jc w:val="center"/>
      </w:pPr>
      <w:r>
        <w:t>Автор: Курпишев Иван Борисович</w:t>
      </w:r>
    </w:p>
    <w:p>
      <w:pPr>
        <w:jc w:val="center"/>
      </w:pPr>
      <w:r>
        <w:t>Независимый исследователь · Калининград · 2026</w:t>
      </w:r>
    </w:p>
    <w:p>
      <w:pPr>
        <w:jc w:val="center"/>
      </w:pPr>
      <w:r/>
    </w:p>
    <w:p>
      <w:pPr>
        <w:pStyle w:val="CoverSub"/>
        <w:jc w:val="center"/>
      </w:pPr>
      <w:r>
        <w:t>КАНОНИЧЕСКАЯ РУССКАЯ ТЕКСТОВАЯ ЗАМОРОЗКА</w:t>
      </w:r>
    </w:p>
    <w:p>
      <w:pPr>
        <w:pStyle w:val="CoverTitle"/>
        <w:jc w:val="center"/>
      </w:pPr>
      <w:r>
        <w:t>T6-RU-FREEZE-v1.0</w:t>
      </w:r>
    </w:p>
    <w:p>
      <w:pPr>
        <w:pStyle w:val="Small"/>
        <w:jc w:val="center"/>
      </w:pPr>
      <w:r>
        <w:t>freeze_scope = publication_text + source-trace + status-firewall</w:t>
      </w:r>
    </w:p>
    <w:p>
      <w:pPr>
        <w:pStyle w:val="Small"/>
        <w:jc w:val="center"/>
      </w:pPr>
      <w:r>
        <w:t>science=ABSTAIN · DHC_chem=OPEN-NOT-CONFIRMED · EXT-RUN=NOT_RUN · truth_layer_promotion=0</w:t>
      </w:r>
    </w:p>
    <w:p>
      <w:pPr>
        <w:pStyle w:val="Small"/>
        <w:jc w:val="center"/>
      </w:pPr>
      <w:r>
        <w:t>T6-RA5=NOT_ISSUED: исторический proof/source-ledger gate сохраняется отдельным обязательством.</w:t>
      </w:r>
    </w:p>
    <w:p>
      <w:r>
        <w:br w:type="page"/>
      </w:r>
    </w:p>
    <w:p>
      <w:pPr>
        <w:pStyle w:val="Heading1"/>
      </w:pPr>
      <w:r>
        <w:t>Паспорт заморозки</w:t>
      </w:r>
    </w:p>
    <w:p>
      <w:r>
        <w:t>Настоящая редакция фиксирует авторский русский текст Тома VI как source-traced freeze. Она собирает химическую линию проекта из архивных checkpoint-материалов v95-v116, рецензии T6-RU-REVIEW-v0.11 и августовского патч-контракта v0.12. Заморозка не является заявлением об эмпирическом подтверждении общей химической гипотезы.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944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Поле</w:t>
            </w:r>
          </w:p>
        </w:tc>
        <w:tc>
          <w:tcPr>
            <w:tcW w:type="dxa" w:w="316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Значение</w:t>
            </w:r>
          </w:p>
        </w:tc>
        <w:tc>
          <w:tcPr>
            <w:tcW w:type="dxa" w:w="504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Смысл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freeze_id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T6-RU-FREEZE-v1.0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неизменяемая текстовая редакция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science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ABSTAIN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универсальный химический вывод не выдан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DHC_chem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OPEN-NOT-CONFIRMED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гипотеза открыта, но не подтверждена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EXT-RUN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NOT_RUN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независимый внешний прогон не выполнен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truth_layer_promotion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0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запрет повышения truth-status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T6-RA5</w:t>
            </w:r>
          </w:p>
        </w:tc>
        <w:tc>
          <w:tcPr>
            <w:tcW w:type="dxa" w:w="316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NOT_ISSUED</w:t>
            </w:r>
          </w:p>
        </w:tc>
        <w:tc>
          <w:tcPr>
            <w:tcW w:type="dxa" w:w="50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исторический FC proof/source gate не объявляется закрытым без ledger</w:t>
            </w:r>
          </w:p>
        </w:tc>
      </w:tr>
    </w:tbl>
    <w:p>
      <w:pPr>
        <w:pStyle w:val="Small"/>
      </w:pPr>
    </w:p>
    <w:p>
      <w:r>
        <w:t>Граница заморозки. Текст и структура настоящего тома замораживаются. Исторические требования v0.11 о 92 theorem/boundary records и полном source-ledger не реконструируются по памяти и остаются внешним архивным обязательством. Это не делает книгу незавершённой как монографию; это запрещает приписывать ей статус доказательства, которого источники не дают.</w:t>
      </w:r>
    </w:p>
    <w:p>
      <w:r>
        <w:br w:type="page"/>
      </w:r>
    </w:p>
    <w:p>
      <w:pPr>
        <w:pStyle w:val="Heading1"/>
      </w:pPr>
      <w:r>
        <w:t>Содержание</w:t>
      </w:r>
    </w:p>
    <w:p>
      <w:pPr>
        <w:pStyle w:val="Small"/>
      </w:pPr>
      <w:r>
        <w:t>1. Назначение Тома VI и границы вывода</w:t>
      </w:r>
    </w:p>
    <w:p>
      <w:pPr>
        <w:pStyle w:val="Small"/>
      </w:pPr>
      <w:r>
        <w:t>2. Химия как проверочный домен KLT-RBD</w:t>
      </w:r>
    </w:p>
    <w:p>
      <w:pPr>
        <w:pStyle w:val="Small"/>
      </w:pPr>
      <w:r>
        <w:t>3. C@C₍chem₎: событие@состояние химического объекта</w:t>
      </w:r>
    </w:p>
    <w:p>
      <w:pPr>
        <w:pStyle w:val="Small"/>
      </w:pPr>
      <w:r>
        <w:t>4. Rep₍chem₎=(R,I,U;D_rep) и типизация достаточного основания</w:t>
      </w:r>
    </w:p>
    <w:p>
      <w:pPr>
        <w:pStyle w:val="Small"/>
      </w:pPr>
      <w:r>
        <w:t>5. λ-истинность, cross-ratio и область Ωλ</w:t>
      </w:r>
    </w:p>
    <w:p>
      <w:pPr>
        <w:pStyle w:val="Small"/>
      </w:pPr>
      <w:r>
        <w:t>6. KMA, Γ₂,₃ и seed-слой рациональных отношений</w:t>
      </w:r>
    </w:p>
    <w:p>
      <w:pPr>
        <w:pStyle w:val="Small"/>
      </w:pPr>
      <w:r>
        <w:t>7. Химический fiber Fₒ и типизированные каналы</w:t>
      </w:r>
    </w:p>
    <w:p>
      <w:pPr>
        <w:pStyle w:val="Small"/>
      </w:pPr>
      <w:r>
        <w:t>8. Evidence-D₍chem₎ и лестница Eᴰ₀…Eᴰ₄</w:t>
      </w:r>
    </w:p>
    <w:p>
      <w:pPr>
        <w:pStyle w:val="Small"/>
      </w:pPr>
      <w:r>
        <w:t>9. Dom, единицы, uncertainty и source-bound provenance</w:t>
      </w:r>
    </w:p>
    <w:p>
      <w:pPr>
        <w:pStyle w:val="Small"/>
      </w:pPr>
      <w:r>
        <w:t>10. DHC₍chem₎ как многоканальная проективная конструкция</w:t>
      </w:r>
    </w:p>
    <w:p>
      <w:pPr>
        <w:pStyle w:val="Small"/>
      </w:pPr>
      <w:r>
        <w:t>11. Matched-class null и plus-one permutation p-value</w:t>
      </w:r>
    </w:p>
    <w:p>
      <w:pPr>
        <w:pStyle w:val="Small"/>
      </w:pPr>
      <w:r>
        <w:t>12. Multiplicity и зависимостный паспорт FDR</w:t>
      </w:r>
    </w:p>
    <w:p>
      <w:pPr>
        <w:pStyle w:val="Small"/>
      </w:pPr>
      <w:r>
        <w:t>13. Lineage-компоненты, n_eff и confidence passport</w:t>
      </w:r>
    </w:p>
    <w:p>
      <w:pPr>
        <w:pStyle w:val="Small"/>
      </w:pPr>
      <w:r>
        <w:t>14. Blind predictive gate и критерии фальсификации</w:t>
      </w:r>
    </w:p>
    <w:p>
      <w:pPr>
        <w:pStyle w:val="Small"/>
      </w:pPr>
      <w:r>
        <w:t>15. v95: NO₂/N₂O₄ — kinetic exact row и narrow-null</w:t>
      </w:r>
    </w:p>
    <w:p>
      <w:pPr>
        <w:pStyle w:val="Small"/>
      </w:pPr>
      <w:r>
        <w:t>16. v96: CO+OH — experimental same-object branch</w:t>
      </w:r>
    </w:p>
    <w:p>
      <w:pPr>
        <w:pStyle w:val="Small"/>
      </w:pPr>
      <w:r>
        <w:t>17. v97: введение DHC₍chem₎</w:t>
      </w:r>
    </w:p>
    <w:p>
      <w:pPr>
        <w:pStyle w:val="Small"/>
      </w:pPr>
      <w:r>
        <w:t>18. v98: reaction-class statistics и underpower</w:t>
      </w:r>
    </w:p>
    <w:p>
      <w:pPr>
        <w:pStyle w:val="Small"/>
      </w:pPr>
      <w:r>
        <w:t>19. v99: predictive-test protocol</w:t>
      </w:r>
    </w:p>
    <w:p>
      <w:pPr>
        <w:pStyle w:val="Small"/>
      </w:pPr>
      <w:r>
        <w:t>20. v100: doctrine chapter без truth-status</w:t>
      </w:r>
    </w:p>
    <w:p>
      <w:pPr>
        <w:pStyle w:val="Small"/>
      </w:pPr>
      <w:r>
        <w:t>21. v101: class harvest</w:t>
      </w:r>
    </w:p>
    <w:p>
      <w:pPr>
        <w:pStyle w:val="Small"/>
      </w:pPr>
      <w:r>
        <w:t>22. v102: Evidence-D normalization</w:t>
      </w:r>
    </w:p>
    <w:p>
      <w:pPr>
        <w:pStyle w:val="Small"/>
      </w:pPr>
      <w:r>
        <w:t>23. v103: DHC formalization</w:t>
      </w:r>
    </w:p>
    <w:p>
      <w:pPr>
        <w:pStyle w:val="Small"/>
      </w:pPr>
      <w:r>
        <w:t>24. v104: matched-class null</w:t>
      </w:r>
    </w:p>
    <w:p>
      <w:pPr>
        <w:pStyle w:val="Small"/>
      </w:pPr>
      <w:r>
        <w:t>25. v105: blind predictive test</w:t>
      </w:r>
    </w:p>
    <w:p>
      <w:pPr>
        <w:pStyle w:val="Small"/>
      </w:pPr>
      <w:r>
        <w:t>26. v106: KLT-RBD-CHEM update</w:t>
      </w:r>
    </w:p>
    <w:p>
      <w:pPr>
        <w:pStyle w:val="Small"/>
      </w:pPr>
      <w:r>
        <w:t>27. v107-v110: статья, engine, reproducibility pack и monograph patch</w:t>
      </w:r>
    </w:p>
    <w:p>
      <w:pPr>
        <w:pStyle w:val="Small"/>
      </w:pPr>
      <w:r>
        <w:t>28. v111-v115: real Evidence-D, спектральные каналы и iodine-hydrogen branch</w:t>
      </w:r>
    </w:p>
    <w:p>
      <w:pPr>
        <w:pStyle w:val="Small"/>
      </w:pPr>
      <w:r>
        <w:t>29. v116: статусная теорема и отрицательно-дисциплинарное закрытие</w:t>
      </w:r>
    </w:p>
    <w:p>
      <w:pPr>
        <w:pStyle w:val="Small"/>
      </w:pPr>
      <w:r>
        <w:t>30. ChemGraph, программный firewall, замороженные blockers и следующий внешний цикл</w:t>
      </w:r>
    </w:p>
    <w:p>
      <w:pPr>
        <w:pStyle w:val="Small"/>
      </w:pPr>
      <w:r>
        <w:t>Приложения A-T: обозначения, формулы, theorem/boundary registry, blockers, checkpoint matrix, статистический паспорт, source register, object/engine/RBD schemas, reproducibility, software firewall, source-carrier policy, review patch contract, freeze receipt, site routes, библиография, переводной глоссарий и manifest.</w:t>
      </w:r>
    </w:p>
    <w:p>
      <w:r>
        <w:br w:type="page"/>
      </w:r>
    </w:p>
    <w:p>
      <w:pPr>
        <w:pStyle w:val="Heading1"/>
      </w:pPr>
      <w:r>
        <w:t>1. Назначение Тома VI и границы вывода</w:t>
      </w:r>
    </w:p>
    <w:p>
      <w:r>
        <w:t>Том VI рассматривает химию не как пространство для поиска эффектных числовых совпадений, а как стресс-тест реперно-проективного метода. Центральный вопрос сформулирован операционально: можно ли построить такой источник-ориентированный многоканальный объект, для которого проективно-гармоническая структура сохраняется после контроля Dom, единиц, uncertainty, matched-null, multiplicity, слепого раскрытия и независимой проверки?</w:t>
      </w:r>
    </w:p>
    <w:p>
      <w:r>
        <w:t>Каноническая цепочка Тома VI имеет вид:</w:t>
      </w:r>
    </w:p>
    <w:p>
      <w:pPr>
        <w:pStyle w:val="Formula"/>
        <w:jc w:val="center"/>
      </w:pPr>
      <w:r>
        <w:t>Fₒ → C@C₍chem₎ → Rep₍chem₎(R,I,U;D_rep) → Evidence-D → Ωλ → λ-profile → CGI-vector → matched-null → blind test → certificate ∨ ABSTAIN.</w:t>
      </w:r>
    </w:p>
    <w:p>
      <w:r>
        <w:t>Эта цепочка задаёт правила допуска к выводу. Ни λ≈−1, ни высокий DHC-score, ни программный PASS, ни регистрация строки в RBD не создают химическую истину автоматически. Там, где хотя бы один обязательный паспорт отсутствует, корректным результатом является blocker либо ABSTAIN.</w:t>
      </w:r>
    </w:p>
    <w:p>
      <w:r>
        <w:t>Именно отрицательно-дисциплинарный характер химической линии является содержательным результатом: метод показал способность удерживать границу между структурным наблюдением и эмпирическим подтверждением.</w:t>
      </w:r>
    </w:p>
    <w:p>
      <w:r>
        <w:br w:type="page"/>
      </w:r>
    </w:p>
    <w:p>
      <w:pPr>
        <w:pStyle w:val="Heading1"/>
      </w:pPr>
      <w:r>
        <w:t>2. Химия как проверочный домен KLT-RBD</w:t>
      </w:r>
    </w:p>
    <w:p>
      <w:r>
        <w:t>Химический домен сложен тем, что один и тот же символ реакции может агрегировать разные физические ситуации: фазы, температуры, давления, активности, растворители, каталитические режимы, механизмы и экспериментальные методы. Поэтому химия особенно чувствительна к ложному склеиванию данных. KLT-RBD вводит запрет на такое склеивание без явного morphism и Dom-паспорта.</w:t>
      </w:r>
    </w:p>
    <w:p>
      <w:r>
        <w:t>Минимальный химический объект должен содержать не только числовые значения, но и условия их происхождения. Для каждой строки фиксируются object_id, class_id, reaction, channel, value, unit, Dom_id, D_source_id, projection_status, uncertainty/quality flag и lineage.</w:t>
      </w:r>
    </w:p>
    <w:p>
      <w:r>
        <w:t>Химический успех в этом томе определяется не существованием красивого отношения, а предсказательной устойчивостью класса относительно честного matched-null. Это принципиально переводит метод из постфактум-описания в проверяемую программу.</w:t>
      </w:r>
    </w:p>
    <w:p>
      <w:r>
        <w:br w:type="page"/>
      </w:r>
    </w:p>
    <w:p>
      <w:pPr>
        <w:pStyle w:val="Heading1"/>
      </w:pPr>
      <w:r>
        <w:t>3. C@C₍chem₎: событие@состояние химического объекта</w:t>
      </w:r>
    </w:p>
    <w:p>
      <w:r>
        <w:t>C@C₍chem₎ различает событие и состояние. Событие — переход, измерение, реакционный акт или зарегистрированное изменение; состояние — совокупность условий и инвариантов, при которых запись имеет определённый смысл. Эта двойственность препятствует переносу значения из одного экспериментального состояния в другое только из-за одинаковой химической формулы.</w:t>
      </w:r>
    </w:p>
    <w:p>
      <w:pPr>
        <w:pStyle w:val="Formula"/>
        <w:jc w:val="center"/>
      </w:pPr>
      <w:r>
        <w:t>C@C₍chem₎ = (event, state; Dom, source, uncertainty, lineage).</w:t>
      </w:r>
    </w:p>
    <w:p>
      <w:r>
        <w:t>Для реакции H₂+I₂⇌2HI макро-равновесие и элементарный радикальный акт HI+H•→H₂+I• являются разными C@C-объектами. Связь между ними допускается только через mechanism graph и RBD-morphism, который сохраняет стехиометрию, радикальный баланс, Dom и происхождение данных.</w:t>
      </w:r>
    </w:p>
    <w:p>
      <w:r>
        <w:br w:type="page"/>
      </w:r>
    </w:p>
    <w:p>
      <w:pPr>
        <w:pStyle w:val="Heading1"/>
      </w:pPr>
      <w:r>
        <w:t>4. Rep₍chem₎=(R,I,U;D_rep) и типизация достаточного основания</w:t>
      </w:r>
    </w:p>
    <w:p>
      <w:r>
        <w:t>Репер химического объекта записывается как четверка R,I,U,D_rep. В настоящей редакции координата достаточного основания типизирована как D_rep, чтобы исключить коллизию с уровнями Evidence-D. Это реализует blocker-патч P12-001 без изменения математической роли координаты D в базовой формуле cross-ratio.</w:t>
      </w:r>
    </w:p>
    <w:p>
      <w:pPr>
        <w:pStyle w:val="Formula"/>
        <w:jc w:val="center"/>
      </w:pPr>
      <w:r>
        <w:t>Rep₍chem₎=(R,I,U;D_rep).</w:t>
      </w:r>
    </w:p>
    <w:p>
      <w:pPr>
        <w:pStyle w:val="Formula"/>
        <w:jc w:val="center"/>
      </w:pPr>
      <w:r>
        <w:t>λ = cr(U,I;R,D_rep) = ((U−R)(I−D_rep))/((U−D_rep)(I−R)).</w:t>
      </w:r>
    </w:p>
    <w:p>
      <w:r>
        <w:t>D_rep не является числом “доверия”. Это типизированное основание, указывающее, почему конкретная реперная четверка допустима в данной области. При отсутствии D_rep объект может оставаться наблюдением, seed или gap, но не переходит в доказательный слой.</w:t>
      </w:r>
    </w:p>
    <w:p>
      <w:r>
        <w:br w:type="page"/>
      </w:r>
    </w:p>
    <w:p>
      <w:pPr>
        <w:pStyle w:val="Heading1"/>
      </w:pPr>
      <w:r>
        <w:t>5. λ-истинность, cross-ratio и область Ωλ</w:t>
      </w:r>
    </w:p>
    <w:p>
      <w:r>
        <w:t>λ-слой применяется только там, где четыре координаты приведены к совместимой безразмерной проективной области Ωλ. Дробь, построенная из несовместимых размерных величин, не является λ-кандидатом. Полюса cross-ratio и вырожденные конфигурации должны явно блокироваться.</w:t>
      </w:r>
    </w:p>
    <w:p>
      <w:r>
        <w:t>Гармоническое значение λ=−1 интерпретируется как структурное projective-harmonic условие. В химии оно не тождественно эмпирической истинности утверждения о механизме, энергии или кинетике. Научный вывод требует Evidence-D, Dom, статистических и предсказательных ворот.</w:t>
      </w:r>
    </w:p>
    <w:p>
      <w:r>
        <w:br w:type="page"/>
      </w:r>
    </w:p>
    <w:p>
      <w:pPr>
        <w:pStyle w:val="Heading1"/>
      </w:pPr>
      <w:r>
        <w:t>6. KMA, Γ₂,₃ и seed-слой рациональных отношений</w:t>
      </w:r>
    </w:p>
    <w:p>
      <w:r>
        <w:t>Исторический KMA-слой использует рациональные ориентиры 1/2, 1/3, 3/4, 2/3, 2 и 3 как эвристическую сетку поиска. В Томe VI эти ориентиры разрешены только как seed/artifact layer. Близость наблюдаемого отношения к одной из этих дробей не является ни p-value, ни вероятностью истины, ни химическим доказательством.</w:t>
      </w:r>
    </w:p>
    <w:p>
      <w:r>
        <w:t>Особенно опасен posthoc-anchor: выбор рационального ориентира после просмотра результата. Поэтому anchor policy должна фиксироваться до confirmatory run; иначе запись остаётся exploratory и не может поддерживать предсказательный статус.</w:t>
      </w:r>
    </w:p>
    <w:p>
      <w:r>
        <w:br w:type="page"/>
      </w:r>
    </w:p>
    <w:p>
      <w:pPr>
        <w:pStyle w:val="Heading1"/>
      </w:pPr>
      <w:r>
        <w:t>7. Химический fiber Fₒ и типизированные каналы</w:t>
      </w:r>
    </w:p>
    <w:p>
      <w:pPr>
        <w:pStyle w:val="Formula"/>
        <w:jc w:val="center"/>
      </w:pPr>
      <w:r>
        <w:t>Fₒ = (stoich, redox, energy, kin, spec, cat, Dom, D_rep, source, lineage).</w:t>
      </w:r>
    </w:p>
    <w:p>
      <w:r>
        <w:t>Same-object fiber объединяет только те каналы, которые принадлежат одному объекту либо связаны явно определённым RBD-morphism. Каналы stoich/redox имеют структурный характер; energy, kin, spec и cat требуют числового Dom, единиц и преобразования к допустимой безразмерной проекции. Projection и identity всегда различаются.</w:t>
      </w:r>
    </w:p>
    <w:p>
      <w:r>
        <w:t>В частности, молекулярные спектральные константы H₂, I₂, HI не могут автоматически служить атомным spectral channel для H• и I•. Такое смешение в v115 было специально запрещено и перенесено в blocker layer.</w:t>
      </w:r>
    </w:p>
    <w:p>
      <w:r>
        <w:br w:type="page"/>
      </w:r>
    </w:p>
    <w:p>
      <w:pPr>
        <w:pStyle w:val="Heading1"/>
      </w:pPr>
      <w:r>
        <w:t>8. Evidence-D₍chem₎ и лестница Eᴰ₀…Eᴰ₄</w:t>
      </w:r>
    </w:p>
    <w:p>
      <w:r>
        <w:t>Чтобы устранить нотационную коллизию D⁰/D0, уровни источниковой обеспеченности обозначаются Eᴰ₀,…,Eᴰ₄ и не смешиваются с D_rep. Лестница описывает зрелость evidence object, но не заменяет его содержание.</w:t>
      </w:r>
    </w:p>
    <w:p>
      <w:pPr>
        <w:pStyle w:val="Formula"/>
        <w:jc w:val="center"/>
      </w:pPr>
      <w:r>
        <w:t>Eᴰ₀ &lt; Eᴰ₁ &lt; Eᴰ₂ &lt; Eᴰ₃ &lt; Eᴰ₄.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00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Уровень</w:t>
            </w:r>
          </w:p>
        </w:tc>
        <w:tc>
          <w:tcPr>
            <w:tcW w:type="dxa" w:w="561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Минимальное содержание</w:t>
            </w:r>
          </w:p>
        </w:tc>
        <w:tc>
          <w:tcPr>
            <w:tcW w:type="dxa" w:w="352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Допустимый статус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Eᴰ₀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идентификатор/маршрут источника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source target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Eᴰ₁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библиографическая идентичность и locator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source-bound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Eᴰ₂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значение + unit + Dom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normalized observation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Eᴰ₃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uncertainty/method/lineage + контроль преобразования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analysis-ready</w:t>
            </w:r>
          </w:p>
        </w:tc>
      </w:tr>
      <w:tr>
        <w:tc>
          <w:tcPr>
            <w:tcW w:type="dxa" w:w="100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Eᴰ₄</w:t>
            </w:r>
          </w:p>
        </w:tc>
        <w:tc>
          <w:tcPr>
            <w:tcW w:type="dxa" w:w="56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reproducible package + prereg/null/blind passport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candidate-input, не truth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9. Dom, единицы, uncertainty и source-bound provenance</w:t>
      </w:r>
    </w:p>
    <w:p>
      <w:r>
        <w:t>Dom является типом области применимости: температура, давление, фаза, растворитель, ionic strength, bath gas, инструмент, метод, calibration и иные условия. Перенос значения между Dom допускается только через явный закон переноса. Отсутствие такого закона создаёт blocker.</w:t>
      </w:r>
    </w:p>
    <w:p>
      <w:r>
        <w:t>Для кислотно-основных и электролитных задач концентрация не подменяет активность без модели коэффициентов активности. Для электрохимии равновесный потенциал не смешивается с junction, transport, IR и kinetic effects. Эти правила отражены в blocker ledger B036-B038.</w:t>
      </w:r>
    </w:p>
    <w:p>
      <w:r>
        <w:br w:type="page"/>
      </w:r>
    </w:p>
    <w:p>
      <w:pPr>
        <w:pStyle w:val="Heading1"/>
      </w:pPr>
      <w:r>
        <w:t>10. DHC₍chem₎ как многоканальная проективная конструкция</w:t>
      </w:r>
    </w:p>
    <w:p>
      <w:r>
        <w:t>DHC₍chem₎ был введён как попытка перейти от одиночного λ-hit к согласованной многоканальной геометрии. Наблюдаемый треугольник каналов сопоставляется с заранее фиксированной anchor-конфигурацией, а вспомогательные каналы выполняют роль projection checks.</w:t>
      </w:r>
    </w:p>
    <w:p>
      <w:pPr>
        <w:pStyle w:val="Formula"/>
        <w:jc w:val="center"/>
      </w:pPr>
      <w:r>
        <w:t>DHC_ρ = Φ(Δ_obs, Δ_anchor, Π_channels, cr, Dom, D_rep).</w:t>
      </w:r>
    </w:p>
    <w:p>
      <w:r>
        <w:t>Seed-редакция v97 использовала линейную комбинацию C_center, C_axis, C_harm и C_spec. В v103 эта запись была переосмыслена как протокол, а не универсальная метрическая истина. Значение DHC без статистического и предсказательного контроля остаётся геометрическим диагностическим сигналом.</w:t>
      </w:r>
    </w:p>
    <w:p>
      <w:r>
        <w:br w:type="page"/>
      </w:r>
    </w:p>
    <w:p>
      <w:pPr>
        <w:pStyle w:val="Heading1"/>
      </w:pPr>
      <w:r>
        <w:t>11. Matched-class null и plus-one permutation p-value</w:t>
      </w:r>
    </w:p>
    <w:p>
      <w:r>
        <w:t>Matched-class null сохраняет те характеристики, которые могли бы искусственно создавать структуру: class_id, channel signature, Dom-class, Evidence-D quality, projection_status, числовые bins и lineage constraints. Нулевая модель не должна превращать реальный класс в сравнение с произвольной смесью объектов.</w:t>
      </w:r>
    </w:p>
    <w:p>
      <w:pPr>
        <w:pStyle w:val="Formula"/>
        <w:jc w:val="center"/>
      </w:pPr>
      <w:r>
        <w:t>p_class = (1 + #{j : S_null^(j) ≥ S_real})/(1+N).</w:t>
      </w:r>
    </w:p>
    <w:p>
      <w:r>
        <w:t>Plus-one форма исключает нулевые перестановочные p-values при конечном числе случайных перестановок. В настоящем томе она рассматривается как вычислительная дисциплина, а не как самостоятельное доказательство химической гипотезы.</w:t>
      </w:r>
    </w:p>
    <w:p>
      <w:r>
        <w:br w:type="page"/>
      </w:r>
    </w:p>
    <w:p>
      <w:pPr>
        <w:pStyle w:val="Heading1"/>
      </w:pPr>
      <w:r>
        <w:t>12. Multiplicity и зависимостный паспорт FDR</w:t>
      </w:r>
    </w:p>
    <w:p>
      <w:r>
        <w:t>Патч P12-002 устраняет скрытое предположение о применимости BH/FDR. Закрытое family само по себе недостаточно: необходимо заранее зафиксировать режим зависимости и процедуру, корректную для него.</w:t>
      </w:r>
    </w:p>
    <w:p>
      <w:pPr>
        <w:pStyle w:val="Formula"/>
        <w:jc w:val="center"/>
      </w:pPr>
      <w:r>
        <w:t>G_FDR=PASS ⇔ family_locked ∧ dependence_mode∈{INDEPENDENT,PRDS,CERTIFIED_OTHER} ∧ procedure_valid_for(dependence_mode).</w:t>
      </w:r>
    </w:p>
    <w:p>
      <w:pPr>
        <w:pStyle w:val="Formula"/>
        <w:jc w:val="center"/>
      </w:pPr>
      <w:r>
        <w:t>иначе: outcome=ABSTAIN(FDR-DOM).</w:t>
      </w:r>
    </w:p>
    <w:p>
      <w:r>
        <w:t>Для каждой multiplicity family обязательны dependence_mode и procedure_id. Если используется CERTIFIED_OTHER, соответствующая зависимостно-устойчивая процедура должна быть определена до раскрытия holdout. Вычисленное q не трактуется как универсальная гарантия FDR вне области теоремы применённой процедуры.</w:t>
      </w:r>
    </w:p>
    <w:p>
      <w:r>
        <w:br w:type="page"/>
      </w:r>
    </w:p>
    <w:p>
      <w:pPr>
        <w:pStyle w:val="Heading1"/>
      </w:pPr>
      <w:r>
        <w:t>13. Lineage-компоненты, n_eff и confidence passport</w:t>
      </w:r>
    </w:p>
    <w:p>
      <w:r>
        <w:t>Патч P12-003 типизирует статистическую единицу. Несколько коррелированных строк одного lineage-компонента не являются несколькими независимыми наблюдениями. Поэтому effective sample size строится по независимым компонентам.</w:t>
      </w:r>
    </w:p>
    <w:p>
      <w:pPr>
        <w:pStyle w:val="Formula"/>
        <w:jc w:val="center"/>
      </w:pPr>
      <w:r>
        <w:t>n_eff = |C_holdout|,     p̂ = (1/n_eff) Σ_{c∈C_holdout} Y_c,   Y_c∈{0,1}.</w:t>
      </w:r>
    </w:p>
    <w:p>
      <w:r>
        <w:t>Wilson-интервал допустим только при удостоверенной независимости Bernoulli-компонент в заявленном Dom. Иначе используется заранее выбранная cluster-valid процедура; до этого outcome=ABSTAIN(CONF-UNIT). Обязательные поля: sample_unit, dependence_certificate, interval_method.</w:t>
      </w:r>
    </w:p>
    <w:p>
      <w:r>
        <w:br w:type="page"/>
      </w:r>
    </w:p>
    <w:p>
      <w:pPr>
        <w:pStyle w:val="Heading1"/>
      </w:pPr>
      <w:r>
        <w:t>14. Blind predictive gate и критерии фальсификации</w:t>
      </w:r>
    </w:p>
    <w:p>
      <w:r>
        <w:t>Blind protocol отделяет предсказание от постдикции. HiddenChannel, AnchorPolicy, NullModel и Thresholds фиксируются до раскрытия скрытого канала. После фиксации видимые каналы используются для восстановления/предсказания, а результат сравнивается с matched-null.</w:t>
      </w:r>
    </w:p>
    <w:p>
      <w:r>
        <w:t>Поддержка класса возможна только при одновременном выполнении preregistration, минимального эффекта, multiplicity gate, source/Dom completeness и предсказательного превосходства. Неудача любого обязательного gate не “исправляется” сменой anchor или threshold после просмотра результата.</w:t>
      </w:r>
    </w:p>
    <w:p>
      <w:pPr>
        <w:pStyle w:val="ListBullet"/>
      </w:pPr>
      <w:r>
        <w:rPr>
          <w:rFonts w:ascii="Liberation Serif" w:hAnsi="Liberation Serif"/>
          <w:sz w:val="21"/>
        </w:rPr>
        <w:t>Support: заранее зафиксированный протокол, достаточный n_eff, effect gate, корректный null, multiplicity passport, blind superiority.</w:t>
      </w:r>
    </w:p>
    <w:p>
      <w:pPr>
        <w:pStyle w:val="ListBullet"/>
      </w:pPr>
      <w:r>
        <w:rPr>
          <w:rFonts w:ascii="Liberation Serif" w:hAnsi="Liberation Serif"/>
          <w:sz w:val="21"/>
        </w:rPr>
        <w:t>Falsification/boundary: DHC_real≤DHC_null, p выше порога, CGI/blocker gate не пройден, либо blind prediction не превосходит matched-null.</w:t>
      </w:r>
    </w:p>
    <w:p>
      <w:r>
        <w:br w:type="page"/>
      </w:r>
    </w:p>
    <w:p>
      <w:pPr>
        <w:pStyle w:val="Heading1"/>
      </w:pPr>
      <w:r>
        <w:t>15. v95: NO₂/N₂O₄ — kinetic exact row и narrow-null</w:t>
      </w:r>
    </w:p>
    <w:p>
      <w:r>
        <w:t>Первый строгий химический тест показал, что same-object конструкция сама по себе недостаточна. Кинетическая строка и narrow-null не дали права на candidate; ранний сигнал остался review-level.</w:t>
      </w:r>
    </w:p>
    <w:p>
      <w:pPr>
        <w:pStyle w:val="Heading3"/>
      </w:pPr>
      <w:r>
        <w:t>Source-trace: v95</w:t>
      </w:r>
    </w:p>
    <w:p>
      <w:pPr>
        <w:pStyle w:val="SourceExcerpt"/>
      </w:pPr>
      <w:r>
        <w:t>NO2/N2O4 рассматривается как early same-object kinetic/narrow-null test. Результат не прошёл кандидатный gate и был сохранён как review_required_not_candidate.</w:t>
      </w:r>
    </w:p>
    <w:p>
      <w:pPr>
        <w:pStyle w:val="SourceExcerpt"/>
      </w:pPr>
      <w:r>
        <w:t>Методологический вклад v95: даже при наличии удобного same-object объекта числовая близость и kinetic row не заменяют нулевую модель и источник-ориентированную проверку.</w:t>
      </w:r>
    </w:p>
    <w:p>
      <w:pPr>
        <w:pStyle w:val="Small"/>
      </w:pPr>
      <w:r>
        <w:rPr>
          <w:i/>
        </w:rPr>
        <w:t>Carrier/locator: ХИМИЯ KLT-RBD.pdf / chem_archive.txt lines 1914+</w:t>
      </w:r>
    </w:p>
    <w:p>
      <w:r>
        <w:br w:type="page"/>
      </w:r>
    </w:p>
    <w:p>
      <w:pPr>
        <w:pStyle w:val="Heading1"/>
      </w:pPr>
      <w:r>
        <w:t>16. v96: CO+OH — experimental same-object branch</w:t>
      </w:r>
    </w:p>
    <w:p>
      <w:r>
        <w:t>Ветка CO+OH усилила эмпирический same-object слой, но контроль p_null и CGI не поддержал candidate. Этот отрицательный эпизод стал аргументом против “подгонки” одиночных λ.</w:t>
      </w:r>
    </w:p>
    <w:p>
      <w:pPr>
        <w:pStyle w:val="Heading3"/>
      </w:pPr>
      <w:r>
        <w:t>Source-trace: v96</w:t>
      </w:r>
    </w:p>
    <w:p>
      <w:pPr>
        <w:pStyle w:val="SourceExcerpt"/>
      </w:pPr>
      <w:r>
        <w:t>CO+OH -&gt; CO2+H открыл experimental same-object branch. Позднейшая сводка v106 фиксирует CGI_lambda96=1.08 и p_null=0.8901, то есть ветка не поддержала candidate.</w:t>
      </w:r>
    </w:p>
    <w:p>
      <w:pPr>
        <w:pStyle w:val="SourceExcerpt"/>
      </w:pPr>
      <w:r>
        <w:t>Отрицательный результат стал основанием для перехода к class harvest и matched-class null вместо дальнейшей настройки одиночного отношения.</w:t>
      </w:r>
    </w:p>
    <w:p>
      <w:pPr>
        <w:pStyle w:val="Small"/>
      </w:pPr>
      <w:r>
        <w:rPr>
          <w:i/>
        </w:rPr>
        <w:t>Carrier/locator: ХИМИЯ KLT-RBD.pdf / lines 1769+</w:t>
      </w:r>
    </w:p>
    <w:p>
      <w:r>
        <w:br w:type="page"/>
      </w:r>
    </w:p>
    <w:p>
      <w:pPr>
        <w:pStyle w:val="Heading1"/>
      </w:pPr>
      <w:r>
        <w:t>17. v97: введение DHC₍chem₎</w:t>
      </w:r>
    </w:p>
    <w:p>
      <w:r>
        <w:t>DHC₍chem₎ возник как ответ на слабость одиночного отношения: анализ переносится к многоканальной конфигурации. v97 остаётся seed geometry, не truth-status.</w:t>
      </w:r>
    </w:p>
    <w:p>
      <w:pPr>
        <w:pStyle w:val="Heading3"/>
      </w:pPr>
      <w:r>
        <w:t>Source-trace: v97</w:t>
      </w:r>
    </w:p>
    <w:p>
      <w:pPr>
        <w:pStyle w:val="SourceExcerpt"/>
      </w:pPr>
      <w:r>
        <w:t>Введён DHC_chem как Desargues-harmonic seed geometry: согласование channel triangle, center/axis/harmonic/spectral components.</w:t>
      </w:r>
    </w:p>
    <w:p>
      <w:pPr>
        <w:pStyle w:val="SourceExcerpt"/>
      </w:pPr>
      <w:r>
        <w:t>Статус v97 - seed_signal_only. Score служит детектором структурного рисунка, но не статистическим доказательством.</w:t>
      </w:r>
    </w:p>
    <w:p>
      <w:pPr>
        <w:pStyle w:val="Small"/>
      </w:pPr>
      <w:r>
        <w:rPr>
          <w:i/>
        </w:rPr>
        <w:t>Carrier/locator: ХИМИЯ KLT-RBD.pdf / lines 1658+</w:t>
      </w:r>
    </w:p>
    <w:p>
      <w:r>
        <w:br w:type="page"/>
      </w:r>
    </w:p>
    <w:p>
      <w:pPr>
        <w:pStyle w:val="Heading1"/>
      </w:pPr>
      <w:r>
        <w:t>18. v98: reaction-class statistics и underpower</w:t>
      </w:r>
    </w:p>
    <w:p>
      <w:r>
        <w:t>v98 показывает, что геометрический score без достаточного класса статистически недоопределён. Недостаточная мощность стала явным blocker, а не поводом ослабить порог.</w:t>
      </w:r>
    </w:p>
    <w:p>
      <w:pPr>
        <w:pStyle w:val="Heading3"/>
      </w:pPr>
      <w:r>
        <w:t>Source-trace: v98</w:t>
      </w:r>
    </w:p>
    <w:p>
      <w:pPr>
        <w:pStyle w:val="SourceExcerpt"/>
      </w:pPr>
      <w:r>
        <w:t>Reaction-class statistics показала недостаточный размер однородного класса. В сводке v106 blocker BLK-106-003 фиксирует n&lt;5 для class-level inference.</w:t>
      </w:r>
    </w:p>
    <w:p>
      <w:pPr>
        <w:pStyle w:val="SourceExcerpt"/>
      </w:pPr>
      <w:r>
        <w:t>Underpower оформлен как критический blocker: порог не ослабляется ради сохранения гипотезы.</w:t>
      </w:r>
    </w:p>
    <w:p>
      <w:pPr>
        <w:pStyle w:val="Small"/>
      </w:pPr>
      <w:r>
        <w:rPr>
          <w:i/>
        </w:rPr>
        <w:t>Carrier/locator: ХИМИЯ KLT-RBD.pdf / lines 1511+</w:t>
      </w:r>
    </w:p>
    <w:p>
      <w:r>
        <w:br w:type="page"/>
      </w:r>
    </w:p>
    <w:p>
      <w:pPr>
        <w:pStyle w:val="Heading1"/>
      </w:pPr>
      <w:r>
        <w:t>19. v99: predictive-test protocol</w:t>
      </w:r>
    </w:p>
    <w:p>
      <w:r>
        <w:t>v99 открывает predictive branch: критерий успеха переносится с описания известных каналов на предсказание скрытого канала в заранее определённом протоколе.</w:t>
      </w:r>
    </w:p>
    <w:p>
      <w:pPr>
        <w:pStyle w:val="Heading3"/>
      </w:pPr>
      <w:r>
        <w:t>Source-trace: v99</w:t>
      </w:r>
    </w:p>
    <w:p>
      <w:pPr>
        <w:pStyle w:val="SourceExcerpt"/>
      </w:pPr>
      <w:r>
        <w:t>Открыт predictive-test protocol. Цель смещена от объяснения видимых чисел к предсказанию заранее скрытого канала.</w:t>
      </w:r>
    </w:p>
    <w:p>
      <w:pPr>
        <w:pStyle w:val="SourceExcerpt"/>
      </w:pPr>
      <w:r>
        <w:t>Статус остаётся opened_without_truth_status: протокол - необходимое условие проверки, а не эмпирический результат.</w:t>
      </w:r>
    </w:p>
    <w:p>
      <w:pPr>
        <w:pStyle w:val="Small"/>
      </w:pPr>
      <w:r>
        <w:rPr>
          <w:i/>
        </w:rPr>
        <w:t>Carrier/locator: ХИМИЯ KLT-RBD.pdf / lines 1382+</w:t>
      </w:r>
    </w:p>
    <w:p>
      <w:r>
        <w:br w:type="page"/>
      </w:r>
    </w:p>
    <w:p>
      <w:pPr>
        <w:pStyle w:val="Heading1"/>
      </w:pPr>
      <w:r>
        <w:t>20. v100: doctrine chapter без truth-status</w:t>
      </w:r>
    </w:p>
    <w:p>
      <w:r>
        <w:t>v100 собирает химическую doctrine chapter, но фиксирует её как исследовательскую архитектуру без эмпирической промоции. Это важная точка разделения философской программы и доказательного статуса.</w:t>
      </w:r>
    </w:p>
    <w:p>
      <w:pPr>
        <w:pStyle w:val="Heading3"/>
      </w:pPr>
      <w:r>
        <w:t>Source-trace: v100</w:t>
      </w:r>
    </w:p>
    <w:p>
      <w:pPr>
        <w:pStyle w:val="SourceExcerpt"/>
      </w:pPr>
      <w:r>
        <w:t>Chemistry doctrine chapter свела C@C, Reper, λ, CGI, DHC, null и prediction в единый химический маршрут.</w:t>
      </w:r>
    </w:p>
    <w:p>
      <w:pPr>
        <w:pStyle w:val="SourceExcerpt"/>
      </w:pPr>
      <w:r>
        <w:t>Главная граница v100: doctrine может быть математически организована и одновременно оставаться без truth-status, пока нет класса, null и слепого предсказания.</w:t>
      </w:r>
    </w:p>
    <w:p>
      <w:pPr>
        <w:pStyle w:val="Small"/>
      </w:pPr>
      <w:r>
        <w:rPr>
          <w:i/>
        </w:rPr>
        <w:t>Carrier/locator: ХИМИЯ KLT-RBD.pdf / lines 1218+</w:t>
      </w:r>
    </w:p>
    <w:p>
      <w:r>
        <w:br w:type="page"/>
      </w:r>
    </w:p>
    <w:p>
      <w:pPr>
        <w:pStyle w:val="Heading1"/>
      </w:pPr>
      <w:r>
        <w:t>21. v101: class harvest</w:t>
      </w:r>
    </w:p>
    <w:p>
      <w:r>
        <w:t>v101 вводит harvest-class как источник будущей статистической мощности. Реестр кандидатов не равен набору независимых валидных наблюдений; lineage и Dom должны учитываться отдельно.</w:t>
      </w:r>
    </w:p>
    <w:p>
      <w:pPr>
        <w:pStyle w:val="Heading3"/>
      </w:pPr>
      <w:r>
        <w:t>Source-trace: v101</w:t>
      </w:r>
    </w:p>
    <w:p>
      <w:pPr>
        <w:pStyle w:val="SourceExcerpt"/>
      </w:pPr>
      <w:r>
        <w:t>Открыт class harvest. Target registry не приравнивается к независимой выборке; required fields включают object/class identity, channel signature, Dom, Evidence-D и качество источника.</w:t>
      </w:r>
    </w:p>
    <w:p>
      <w:pPr>
        <w:pStyle w:val="SourceExcerpt"/>
      </w:pPr>
      <w:r>
        <w:t>Эта точка подготавливает статистический объект, но не создаёт class-candidate.</w:t>
      </w:r>
    </w:p>
    <w:p>
      <w:pPr>
        <w:pStyle w:val="Small"/>
      </w:pPr>
      <w:r>
        <w:rPr>
          <w:i/>
        </w:rPr>
        <w:t>Carrier/locator: ХИМИЯ KLT-RBD.pdf / lines 1025+</w:t>
      </w:r>
    </w:p>
    <w:p>
      <w:r>
        <w:br w:type="page"/>
      </w:r>
    </w:p>
    <w:p>
      <w:pPr>
        <w:pStyle w:val="Heading1"/>
      </w:pPr>
      <w:r>
        <w:t>22. v102: Evidence-D normalization</w:t>
      </w:r>
    </w:p>
    <w:p>
      <w:r>
        <w:t>v102 делает source/Dom normalization обязательным входным gate. Строка без D_source_id и Dom_id не участвует в candidate inference.</w:t>
      </w:r>
    </w:p>
    <w:p>
      <w:pPr>
        <w:pStyle w:val="Heading3"/>
      </w:pPr>
      <w:r>
        <w:t>Source-trace: v102</w:t>
      </w:r>
    </w:p>
    <w:p>
      <w:pPr>
        <w:pStyle w:val="SourceExcerpt"/>
      </w:pPr>
      <w:r>
        <w:t>Evidence-D normalization делает D_source_id, Dom_id, units и quality/uncertainty обязательными. Строка без D_source_id и Dom_id не поддерживает candidate.</w:t>
      </w:r>
    </w:p>
    <w:p>
      <w:pPr>
        <w:pStyle w:val="SourceExcerpt"/>
      </w:pPr>
      <w:r>
        <w:t>Нормализация отделяет identity, projection и RBD-morphism и запрещает смешивание условий без закона переноса.</w:t>
      </w:r>
    </w:p>
    <w:p>
      <w:pPr>
        <w:pStyle w:val="Small"/>
      </w:pPr>
      <w:r>
        <w:rPr>
          <w:i/>
        </w:rPr>
        <w:t>Carrier/locator: ХИМИЯ KLT-RBD.pdf / lines 862+</w:t>
      </w:r>
    </w:p>
    <w:p>
      <w:r>
        <w:br w:type="page"/>
      </w:r>
    </w:p>
    <w:p>
      <w:pPr>
        <w:pStyle w:val="Heading1"/>
      </w:pPr>
      <w:r>
        <w:t>23. v103: DHC formalization</w:t>
      </w:r>
    </w:p>
    <w:p>
      <w:r>
        <w:t>v103 переводит DHC из seed-index в формальный объект с projective channel map, запретом posthoc-anchor и явной границей identity/projection/morphism.</w:t>
      </w:r>
    </w:p>
    <w:p>
      <w:pPr>
        <w:pStyle w:val="Heading3"/>
      </w:pPr>
      <w:r>
        <w:t>Source-trace: v103</w:t>
      </w:r>
    </w:p>
    <w:p>
      <w:pPr>
        <w:pStyle w:val="SourceExcerpt"/>
      </w:pPr>
      <w:r>
        <w:t>DHC_chem формализован как DHC_rho=Phi(Delta_obs,Delta_anchor,Pi_channels,cr,Dom,D).</w:t>
      </w:r>
    </w:p>
    <w:p>
      <w:pPr>
        <w:pStyle w:val="SourceExcerpt"/>
      </w:pPr>
      <w:r>
        <w:t>Ключевые требования: заранее заданная anchor policy, разделение channel types, масштабная/проективная корректность и explicit blockers для вырожденных конфигураций.</w:t>
      </w:r>
    </w:p>
    <w:p>
      <w:pPr>
        <w:pStyle w:val="Small"/>
      </w:pPr>
      <w:r>
        <w:rPr>
          <w:i/>
        </w:rPr>
        <w:t>Carrier/locator: ХИМИЯ KLT-RBD.pdf / lines 736+</w:t>
      </w:r>
    </w:p>
    <w:p>
      <w:r>
        <w:br w:type="page"/>
      </w:r>
    </w:p>
    <w:p>
      <w:pPr>
        <w:pStyle w:val="Heading1"/>
      </w:pPr>
      <w:r>
        <w:t>24. v104: matched-class null</w:t>
      </w:r>
    </w:p>
    <w:p>
      <w:r>
        <w:t>v104 задаёт нулевую модель, сохраняющую класс и структуру источников. Высокий score без честного null становится только seed geometry signal.</w:t>
      </w:r>
    </w:p>
    <w:p>
      <w:pPr>
        <w:pStyle w:val="Heading3"/>
      </w:pPr>
      <w:r>
        <w:t>Source-trace: v104</w:t>
      </w:r>
    </w:p>
    <w:p>
      <w:pPr>
        <w:pStyle w:val="SourceExcerpt"/>
      </w:pPr>
      <w:r>
        <w:t>Matched-class null сохраняет class, channel signature, Dom, Evidence-D quality, projection status и numeric bins.</w:t>
      </w:r>
    </w:p>
    <w:p>
      <w:pPr>
        <w:pStyle w:val="SourceExcerpt"/>
      </w:pPr>
      <w:r>
        <w:t>Плюс-one permutation p-value используется для конечного Monte Carlo/permutation baseline. Высокий DHC без этого null остаётся seed signal.</w:t>
      </w:r>
    </w:p>
    <w:p>
      <w:pPr>
        <w:pStyle w:val="Small"/>
      </w:pPr>
      <w:r>
        <w:rPr>
          <w:i/>
        </w:rPr>
        <w:t>Carrier/locator: ХИМИЯ KLT-RBD.pdf / lines 571+</w:t>
      </w:r>
    </w:p>
    <w:p>
      <w:r>
        <w:br w:type="page"/>
      </w:r>
    </w:p>
    <w:p>
      <w:pPr>
        <w:pStyle w:val="Heading1"/>
      </w:pPr>
      <w:r>
        <w:t>25. v105: blind predictive test</w:t>
      </w:r>
    </w:p>
    <w:p>
      <w:r>
        <w:t>v105 формализует one-shot hidden-channel protocol. В текущем корпусе gate был открыт, но не выполнен на достаточном однородном классе.</w:t>
      </w:r>
    </w:p>
    <w:p>
      <w:pPr>
        <w:pStyle w:val="Heading3"/>
      </w:pPr>
      <w:r>
        <w:t>Source-trace: v105</w:t>
      </w:r>
    </w:p>
    <w:p>
      <w:pPr>
        <w:pStyle w:val="SourceExcerpt"/>
      </w:pPr>
      <w:r>
        <w:t>HiddenChannel, AnchorPolicy, Thresholds и NullModel фиксируются до reveal. Prediction сравнивается с matched-class null.</w:t>
      </w:r>
    </w:p>
    <w:p>
      <w:pPr>
        <w:pStyle w:val="SourceExcerpt"/>
      </w:pPr>
      <w:r>
        <w:t>В корпусе v105 gate был формально открыт, но full class dataset отсутствовал; truth-status не повышен.</w:t>
      </w:r>
    </w:p>
    <w:p>
      <w:pPr>
        <w:pStyle w:val="Small"/>
      </w:pPr>
      <w:r>
        <w:rPr>
          <w:i/>
        </w:rPr>
        <w:t>Carrier/locator: ХИМИЯ KLT-RBD.pdf / lines 380+</w:t>
      </w:r>
    </w:p>
    <w:p>
      <w:r>
        <w:br w:type="page"/>
      </w:r>
    </w:p>
    <w:p>
      <w:pPr>
        <w:pStyle w:val="Heading1"/>
      </w:pPr>
      <w:r>
        <w:t>26. v106: KLT-RBD-CHEM update</w:t>
      </w:r>
    </w:p>
    <w:p>
      <w:r>
        <w:t>v106 регистрирует prediction/blocker/theorem/null cards в RBD и фиксирует принцип: регистрация объекта в базе не является повышением научного статуса.</w:t>
      </w:r>
    </w:p>
    <w:p>
      <w:pPr>
        <w:pStyle w:val="Formula"/>
        <w:jc w:val="center"/>
      </w:pPr>
      <w:r>
        <w:t>RBD-registration ≠ λ-domain-candidate ≠ truth-status.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51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Checkpoint</w:t>
            </w:r>
          </w:p>
        </w:tc>
        <w:tc>
          <w:tcPr>
            <w:tcW w:type="dxa" w:w="633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Результат</w:t>
            </w:r>
          </w:p>
        </w:tc>
        <w:tc>
          <w:tcPr>
            <w:tcW w:type="dxa" w:w="172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Truth promotion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v95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review_required_not_candidate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v96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review_required_not_candidate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v97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seed_signal_only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v98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underpowered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v99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predictive protocol opened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v100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doctrine closed without truth-status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v101-v105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gates/harvest/formalization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  <w:tr>
        <w:tc>
          <w:tcPr>
            <w:tcW w:type="dxa" w:w="15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v106</w:t>
            </w:r>
          </w:p>
        </w:tc>
        <w:tc>
          <w:tcPr>
            <w:tcW w:type="dxa" w:w="63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rbd_registered_without_truth_status</w:t>
            </w:r>
          </w:p>
        </w:tc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нет</w:t>
            </w:r>
          </w:p>
        </w:tc>
      </w:tr>
    </w:tbl>
    <w:p>
      <w:pPr>
        <w:pStyle w:val="Small"/>
      </w:pPr>
    </w:p>
    <w:p>
      <w:pPr>
        <w:pStyle w:val="Heading3"/>
      </w:pPr>
      <w:r>
        <w:t>Source-trace: v106</w:t>
      </w:r>
    </w:p>
    <w:p>
      <w:pPr>
        <w:pStyle w:val="SourceExcerpt"/>
      </w:pPr>
      <w:r>
        <w:t>Результаты v95-v105 зарегистрированы в KLT-RBD-CHEM как prediction-cards, blocker-cards, theorem-candidates, null-cards и status ledger.</w:t>
      </w:r>
    </w:p>
    <w:p>
      <w:pPr>
        <w:pStyle w:val="SourceExcerpt"/>
      </w:pPr>
      <w:r>
        <w:t>Сводный принцип v106: RBD-registration != lambda-domain-candidate != truth-status; для всех v95-v106 truth promotion = no.</w:t>
      </w:r>
    </w:p>
    <w:p>
      <w:pPr>
        <w:pStyle w:val="Small"/>
      </w:pPr>
      <w:r>
        <w:rPr>
          <w:i/>
        </w:rPr>
        <w:t>Carrier/locator: ХИМИЯ KLT-RBD.pdf / lines 299+</w:t>
      </w:r>
    </w:p>
    <w:p>
      <w:r>
        <w:br w:type="page"/>
      </w:r>
    </w:p>
    <w:p>
      <w:pPr>
        <w:pStyle w:val="Heading1"/>
      </w:pPr>
      <w:r>
        <w:t>27. v107-v110: статья, engine, reproducibility pack и monograph patch</w:t>
      </w:r>
    </w:p>
    <w:p>
      <w:r>
        <w:t>v107-v110 переводят химическую линию из набора исследовательских checkpoint’ов в публикационный и воспроизводимый контур. v107 формулирует двуязычную статью-протокол; v108 создаёт DHC-engine; v109 фиксирует reproducibility pack; v110 интегрирует результаты в монографическую схему. Ни один из этих шагов не является независимой эмпирической репликацией.</w:t>
      </w:r>
    </w:p>
    <w:p>
      <w:pPr>
        <w:pStyle w:val="Formula"/>
        <w:jc w:val="center"/>
      </w:pPr>
      <w:r>
        <w:t>engine PASS ≠ EXT-RUN ≠ CHEMICAL_TRUTH.</w:t>
      </w:r>
    </w:p>
    <w:p>
      <w:pPr>
        <w:pStyle w:val="Heading3"/>
      </w:pPr>
      <w:r>
        <w:t>Source-trace: v107</w:t>
      </w:r>
    </w:p>
    <w:p>
      <w:pPr>
        <w:pStyle w:val="SourceExcerpt"/>
      </w:pPr>
      <w:r>
        <w:t>Двуязычная protocol article формулирует same-object fiber, DHC_chem, Evidence-D, matched-class null и blind predictive gate как публикационный контур.</w:t>
      </w:r>
    </w:p>
    <w:p>
      <w:pPr>
        <w:pStyle w:val="SourceExcerpt"/>
      </w:pPr>
      <w:r>
        <w:t>Статья прямо фиксирует: protocol article without truth-status.</w:t>
      </w:r>
    </w:p>
    <w:p>
      <w:pPr>
        <w:pStyle w:val="Small"/>
      </w:pPr>
      <w:r>
        <w:rPr>
          <w:i/>
        </w:rPr>
        <w:t>Carrier/locator: ХИМИЯ KLT-RBD.pdf / protocol article</w:t>
      </w:r>
    </w:p>
    <w:p>
      <w:pPr>
        <w:pStyle w:val="Heading3"/>
      </w:pPr>
      <w:r>
        <w:t>Source-trace: v108</w:t>
      </w:r>
    </w:p>
    <w:p>
      <w:pPr>
        <w:pStyle w:val="SourceExcerpt"/>
      </w:pPr>
      <w:r>
        <w:t>DHC-engine вводит Parser, EvidenceDNormalizer, ChannelMapper, DHCBuilder, MatchedClassNull, BlindPredictionMasker, CGICalculator, RBDExporter и StatusLedger.</w:t>
      </w:r>
    </w:p>
    <w:p>
      <w:pPr>
        <w:pStyle w:val="SourceExcerpt"/>
      </w:pPr>
      <w:r>
        <w:t>Прототипные outputs NO2/N2O4 и CO+OH остаются blocked_without_truth_status; executable mechanics не равна scientific validation.</w:t>
      </w:r>
    </w:p>
    <w:p>
      <w:pPr>
        <w:pStyle w:val="Small"/>
      </w:pPr>
      <w:r>
        <w:rPr>
          <w:i/>
        </w:rPr>
        <w:t>Carrier/locator: ХИМИЯ KLT-RBD.pdf / DHC-engine</w:t>
      </w:r>
    </w:p>
    <w:p>
      <w:pPr>
        <w:pStyle w:val="Heading3"/>
      </w:pPr>
      <w:r>
        <w:t>Source-trace: v109</w:t>
      </w:r>
    </w:p>
    <w:p>
      <w:pPr>
        <w:pStyle w:val="SourceExcerpt"/>
      </w:pPr>
      <w:r>
        <w:t>Reproducibility pack фиксирует raw/processed data, scripts, figures/reports, checksums и README, чтобы внешний проверяющий мог повторить data -&gt; DHC -&gt; null -&gt; prediction -&gt; RBD cards.</w:t>
      </w:r>
    </w:p>
    <w:p>
      <w:pPr>
        <w:pStyle w:val="SourceExcerpt"/>
      </w:pPr>
      <w:r>
        <w:t>Reproducibility route не заменяет независимый EXT-RUN.</w:t>
      </w:r>
    </w:p>
    <w:p>
      <w:pPr>
        <w:pStyle w:val="Small"/>
      </w:pPr>
      <w:r>
        <w:rPr>
          <w:i/>
        </w:rPr>
        <w:t>Carrier/locator: v32-168.pdf / reproducibility pack</w:t>
      </w:r>
    </w:p>
    <w:p>
      <w:pPr>
        <w:pStyle w:val="Heading3"/>
      </w:pPr>
      <w:r>
        <w:t>Source-trace: v110</w:t>
      </w:r>
    </w:p>
    <w:p>
      <w:pPr>
        <w:pStyle w:val="SourceExcerpt"/>
      </w:pPr>
      <w:r>
        <w:t>Monograph patch интегрирует v95-v109 в связный химический раздел и закрепляет boundary seed-signal != class-candidate != predictive-lambda-domain-candidate != truth-status.</w:t>
      </w:r>
    </w:p>
    <w:p>
      <w:pPr>
        <w:pStyle w:val="Small"/>
      </w:pPr>
      <w:r>
        <w:rPr>
          <w:i/>
        </w:rPr>
        <w:t>Carrier/locator: v32-168.pdf / monograph patch</w:t>
      </w:r>
    </w:p>
    <w:p>
      <w:r>
        <w:br w:type="page"/>
      </w:r>
    </w:p>
    <w:p>
      <w:pPr>
        <w:pStyle w:val="Heading1"/>
      </w:pPr>
      <w:r>
        <w:t>28. v111-v115: real Evidence-D, спектральные каналы и iodine-hydrogen branch</w:t>
      </w:r>
    </w:p>
    <w:p>
      <w:r>
        <w:t>Эта фаза специально проверяет, изменится ли статус при переходе от демонстрационных/синтетических карточек к реальным source-bound строкам. v111 расширяет class dataset, но independent_valid_n остаётся ниже exploratory gate. v112 импортирует термохимический пакет H₂/I₂/HI; v113 добавляет diatomic spectral constants; v114 находит элементарную кинетическую строку HI+H•→H₂+I•; v115 открывает homogeneous elementary-class registry, но source-bound n остаётся равным 1.</w:t>
      </w:r>
    </w:p>
    <w:p>
      <w:r>
        <w:t>Для H₂(g)+I₂(g)⇌2HI(g) v112 зафиксировал derived Evidence-D: ΔrH≈−9.420 kJ/mol, ΔrS≈21.813 J mol⁻¹ K⁻¹, ΔrG≈−15.924 kJ/mol и Kp(298.15 K)≈616.147. Эти значения — производные термодинамические строки, а не DHC proof.</w:t>
      </w:r>
    </w:p>
    <w:p>
      <w:r>
        <w:t>В v113 архивный spectral row I₂ содержит значение B_e, которое требует повторной сверки с первичным NIST carrier перед повторным численным использованием; заморозка сохраняет историческую запись, но не превращает её в подтверждённую числовую основу нового вывода.</w:t>
      </w:r>
    </w:p>
    <w:p>
      <w:pPr>
        <w:pStyle w:val="Heading3"/>
      </w:pPr>
      <w:r>
        <w:t>Source-trace: v111</w:t>
      </w:r>
    </w:p>
    <w:p>
      <w:pPr>
        <w:pStyle w:val="SourceExcerpt"/>
      </w:pPr>
      <w:r>
        <w:t>Class dataset expansion достигает target registry, но independent_valid_n=2&lt;5. Номинальное число строк не заменяет независимый effective sample size.</w:t>
      </w:r>
    </w:p>
    <w:p>
      <w:pPr>
        <w:pStyle w:val="Small"/>
      </w:pPr>
      <w:r>
        <w:rPr>
          <w:i/>
        </w:rPr>
        <w:t>Carrier/locator: v32-168.pdf / class dataset expansion</w:t>
      </w:r>
    </w:p>
    <w:p>
      <w:pPr>
        <w:pStyle w:val="Heading3"/>
      </w:pPr>
      <w:r>
        <w:t>Source-trace: v112</w:t>
      </w:r>
    </w:p>
    <w:p>
      <w:pPr>
        <w:pStyle w:val="SourceExcerpt"/>
      </w:pPr>
      <w:r>
        <w:t>Для H2(g)+I2(g)&lt;-&gt;2HI(g) импортированы source-bound NIST thermochemistry rows. Derived values: Delta_rH=-9.420 kJ/mol, Delta_rS=21.813 J/mol/K, Delta_rG=-15.924 kJ/mol, Kp(298.15K)=616.147.</w:t>
      </w:r>
    </w:p>
    <w:p>
      <w:pPr>
        <w:pStyle w:val="SourceExcerpt"/>
      </w:pPr>
      <w:r>
        <w:t>Это Evidence-D derived rows, а не DHC proof; independent_valid_n_strict_class=2&lt;5.</w:t>
      </w:r>
    </w:p>
    <w:p>
      <w:pPr>
        <w:pStyle w:val="Small"/>
      </w:pPr>
      <w:r>
        <w:rPr>
          <w:i/>
        </w:rPr>
        <w:t>Carrier/locator: v32-168.pdf / real Evidence-D import</w:t>
      </w:r>
    </w:p>
    <w:p>
      <w:pPr>
        <w:pStyle w:val="Heading3"/>
      </w:pPr>
      <w:r>
        <w:t>Source-trace: v113</w:t>
      </w:r>
    </w:p>
    <w:p>
      <w:pPr>
        <w:pStyle w:val="SourceExcerpt"/>
      </w:pPr>
      <w:r>
        <w:t>NIST diatomic constants превращены в molecular spectral channel rows для H2, I2, HI; kinetic exact row макро-реакции остаётся blocker.</w:t>
      </w:r>
    </w:p>
    <w:p>
      <w:pPr>
        <w:pStyle w:val="SourceExcerpt"/>
      </w:pPr>
      <w:r>
        <w:t>Некоторые derived ratios близки к рациональным anchors, но posthoc-anchor warning сохраняется; ни один не получает candidate status.</w:t>
      </w:r>
    </w:p>
    <w:p>
      <w:pPr>
        <w:pStyle w:val="Small"/>
      </w:pPr>
      <w:r>
        <w:rPr>
          <w:i/>
        </w:rPr>
        <w:t>Carrier/locator: v32-168.pdf / kinetic/spec numeric extraction</w:t>
      </w:r>
    </w:p>
    <w:p>
      <w:pPr>
        <w:pStyle w:val="Heading3"/>
      </w:pPr>
      <w:r>
        <w:t>Source-trace: v114</w:t>
      </w:r>
    </w:p>
    <w:p>
      <w:pPr>
        <w:pStyle w:val="SourceExcerpt"/>
      </w:pPr>
      <w:r>
        <w:t>Поиск прямой macro kinetic row не закрыт. Найдена элементарная строка HI+H· -&gt; H2+I· при 298 K (Vasileiadis &amp; Benson, 1997; NIST kinetics route).</w:t>
      </w:r>
    </w:p>
    <w:p>
      <w:pPr>
        <w:pStyle w:val="SourceExcerpt"/>
      </w:pPr>
      <w:r>
        <w:t>Она открывает elementary-switch branch, но не идентична macro equilibrium без mechanism graph/RBD-morphism.</w:t>
      </w:r>
    </w:p>
    <w:p>
      <w:pPr>
        <w:pStyle w:val="Small"/>
      </w:pPr>
      <w:r>
        <w:rPr>
          <w:i/>
        </w:rPr>
        <w:t>Carrier/locator: v32-168.pdf / kinetic source search</w:t>
      </w:r>
    </w:p>
    <w:p>
      <w:pPr>
        <w:pStyle w:val="Heading3"/>
      </w:pPr>
      <w:r>
        <w:t>Source-trace: v115</w:t>
      </w:r>
    </w:p>
    <w:p>
      <w:pPr>
        <w:pStyle w:val="SourceExcerpt"/>
      </w:pPr>
      <w:r>
        <w:t>Создан CLS-IODINE-HYDROGEN-RADICAL-ELEMENTARY с пятью target reactions, но source_bound_elementary_rows=1.</w:t>
      </w:r>
    </w:p>
    <w:p>
      <w:pPr>
        <w:pStyle w:val="SourceExcerpt"/>
      </w:pPr>
      <w:r>
        <w:t>Явно запрещено смешивать molecular diatomic spectra с atomic H/I spectra; macro-to-elementary morphism требует stoichiometric closure, radical balance и Dom preservation.</w:t>
      </w:r>
    </w:p>
    <w:p>
      <w:pPr>
        <w:pStyle w:val="Small"/>
      </w:pPr>
      <w:r>
        <w:rPr>
          <w:i/>
        </w:rPr>
        <w:t>Carrier/locator: v32-168.pdf / iodine-hydrogen elementary class</w:t>
      </w:r>
    </w:p>
    <w:p>
      <w:r>
        <w:br w:type="page"/>
      </w:r>
    </w:p>
    <w:p>
      <w:pPr>
        <w:pStyle w:val="Heading1"/>
      </w:pPr>
      <w:r>
        <w:t>29. v116: статусная теорема и отрицательно-дисциплинарное закрытие</w:t>
      </w:r>
    </w:p>
    <w:p>
      <w:r>
        <w:t>v116 является верхней научной границей химической линии v95-v115. Она не утверждает, что гипотеза “опровергнута в природе”. Формулируется более узкий и проверяемый вывод: в рассмотренном корпусе не получен объект или класс, который одновременно проходит все обязательные gates.</w:t>
      </w:r>
    </w:p>
    <w:p>
      <w:pPr>
        <w:pStyle w:val="Heading2"/>
      </w:pPr>
      <w:r>
        <w:t>Теорема-фиксация T6-STAT-116</w:t>
      </w:r>
    </w:p>
    <w:p>
      <w:r>
        <w:t>В химической линии v95-v115 не получен объект или класс объектов, для которого одновременно выполнены D/Dom completeness, CGI-class blocker gate, заданный p-class threshold при достаточном независимом размере класса и успешное blind prediction. Следовательно, на уровне данного корпуса химическая гипотеза не получает статуса class-candidate, predictive-λ-domain-candidate или truth-status.</w:t>
      </w:r>
    </w:p>
    <w:p>
      <w:pPr>
        <w:pStyle w:val="Heading2"/>
      </w:pPr>
      <w:r>
        <w:t>Доказательная цепочка</w:t>
      </w:r>
    </w:p>
    <w:p>
      <w:pPr>
        <w:pStyle w:val="ListBullet"/>
      </w:pPr>
      <w:r>
        <w:rPr>
          <w:rFonts w:ascii="Liberation Serif" w:hAnsi="Liberation Serif"/>
          <w:sz w:val="21"/>
        </w:rPr>
        <w:t>v111: target registry расширен, но independent_valid_n=2&lt;5.</w:t>
      </w:r>
    </w:p>
    <w:p>
      <w:pPr>
        <w:pStyle w:val="ListBullet"/>
      </w:pPr>
      <w:r>
        <w:rPr>
          <w:rFonts w:ascii="Liberation Serif" w:hAnsi="Liberation Serif"/>
          <w:sz w:val="21"/>
        </w:rPr>
        <w:t>v112-v113: улучшены Evidence-D и spectral layers для H₂/I₂/HI, но macro kinetic exact row не закрыт.</w:t>
      </w:r>
    </w:p>
    <w:p>
      <w:pPr>
        <w:pStyle w:val="ListBullet"/>
      </w:pPr>
      <w:r>
        <w:rPr>
          <w:rFonts w:ascii="Liberation Serif" w:hAnsi="Liberation Serif"/>
          <w:sz w:val="21"/>
        </w:rPr>
        <w:t>v114: найден элементарный kinetic bridge HI+H•→H₂+I•, который не тождествен макро-равновесию без RBD-morphism.</w:t>
      </w:r>
    </w:p>
    <w:p>
      <w:pPr>
        <w:pStyle w:val="ListBullet"/>
      </w:pPr>
      <w:r>
        <w:rPr>
          <w:rFonts w:ascii="Liberation Serif" w:hAnsi="Liberation Serif"/>
          <w:sz w:val="21"/>
        </w:rPr>
        <w:t>v115: elementary class registry открыт, но source_bound_elementary_rows=1&lt;5; atomic/molecular spectral separation и blind/null gates остаются незакрытыми.</w:t>
      </w:r>
    </w:p>
    <w:p>
      <w:pPr>
        <w:pStyle w:val="ListBullet"/>
      </w:pPr>
      <w:r>
        <w:rPr>
          <w:rFonts w:ascii="Liberation Serif" w:hAnsi="Liberation Serif"/>
          <w:sz w:val="21"/>
        </w:rPr>
        <w:t>Следовательно, совместное условие gates не выполнено; status promotion запрещён.</w:t>
      </w:r>
    </w:p>
    <w:p>
      <w:pPr>
        <w:pStyle w:val="Formula"/>
        <w:jc w:val="center"/>
      </w:pPr>
      <w:r>
        <w:t>seed-signal ≠ class-candidate ≠ predictive-λ-domain-candidate ≠ truth-status.</w:t>
      </w:r>
    </w:p>
    <w:p>
      <w:r>
        <w:t>Именно эта теорема-фиксация определяет статус настоящей заморозки: DHC_chem остаётся OPEN-NOT-CONFIRMED, а корректный глобальный научный ответ — ABSTAIN.</w:t>
      </w:r>
    </w:p>
    <w:p>
      <w:pPr>
        <w:pStyle w:val="Heading3"/>
      </w:pPr>
      <w:r>
        <w:t>Source-trace: v116</w:t>
      </w:r>
    </w:p>
    <w:p>
      <w:pPr>
        <w:pStyle w:val="SourceExcerpt"/>
      </w:pPr>
      <w:r>
        <w:t>Финальный химический checkpoint фиксирует negative disciplined closure: в v95-v115 не найден объект/класс, одновременно проходящий D/Dom, CGI/blocker, class statistics, matched-null и blind prediction.</w:t>
      </w:r>
    </w:p>
    <w:p>
      <w:pPr>
        <w:pStyle w:val="SourceExcerpt"/>
      </w:pPr>
      <w:r>
        <w:t>Гипотеза DHC_chem остаётся открытой, но не подтверждённой; химический цикл замораживается до нового внешнего Evidence-D класса и независимой проверки.</w:t>
      </w:r>
    </w:p>
    <w:p>
      <w:pPr>
        <w:pStyle w:val="Small"/>
      </w:pPr>
      <w:r>
        <w:rPr>
          <w:i/>
        </w:rPr>
        <w:t>Carrier/locator: v32-168.pdf / final chemistry monograph and physics roadmap</w:t>
      </w:r>
    </w:p>
    <w:p>
      <w:r>
        <w:br w:type="page"/>
      </w:r>
    </w:p>
    <w:p>
      <w:pPr>
        <w:pStyle w:val="Heading1"/>
      </w:pPr>
      <w:r>
        <w:t>30. ChemGraph, программный firewall, замороженные blockers и следующий внешний цикл</w:t>
      </w:r>
    </w:p>
    <w:p>
      <w:r>
        <w:t>ChemGraph связывает source objects, Reper cards, domain records, null/blind passports, blockers и status ledger. Программная система обязана быть строже текста: отсутствие требуемого поля должно вести к BLOCKER/ABSTAIN, а не к молчаливому заполнению значения по умолчанию.</w:t>
      </w:r>
    </w:p>
    <w:p>
      <w:r>
        <w:t>Legacy scalar Auth=1/(1+δ) и scalar CRI сохраняются только как diagnostic closeness. Они не являются truth, probability или chemical support. Любая scalarization должна быть типизирована внутри Dom и не подменяет vector CGI/gap profile. T6-B032 остаётся OPEN до появления typed adapter.</w:t>
      </w:r>
    </w:p>
    <w:p>
      <w:pPr>
        <w:pStyle w:val="Heading2"/>
      </w:pPr>
      <w:r>
        <w:t>Замороженные химические blockers</w:t>
      </w:r>
    </w:p>
    <w:p>
      <w:pPr>
        <w:pStyle w:val="ListBullet"/>
      </w:pPr>
      <w:r>
        <w:rPr>
          <w:rFonts w:ascii="Liberation Serif" w:hAnsi="Liberation Serif"/>
          <w:sz w:val="21"/>
        </w:rPr>
        <w:t>добор независимого однородного класса до предзарегистрированного n_eff;</w:t>
      </w:r>
    </w:p>
    <w:p>
      <w:pPr>
        <w:pStyle w:val="ListBullet"/>
      </w:pPr>
      <w:r>
        <w:rPr>
          <w:rFonts w:ascii="Liberation Serif" w:hAnsi="Liberation Serif"/>
          <w:sz w:val="21"/>
        </w:rPr>
        <w:t>отделение molecular и atomic spectral channels;</w:t>
      </w:r>
    </w:p>
    <w:p>
      <w:pPr>
        <w:pStyle w:val="ListBullet"/>
      </w:pPr>
      <w:r>
        <w:rPr>
          <w:rFonts w:ascii="Liberation Serif" w:hAnsi="Liberation Serif"/>
          <w:sz w:val="21"/>
        </w:rPr>
        <w:t>явный RBD-morphism между macro equilibrium и elementary mechanism graph;</w:t>
      </w:r>
    </w:p>
    <w:p>
      <w:pPr>
        <w:pStyle w:val="ListBullet"/>
      </w:pPr>
      <w:r>
        <w:rPr>
          <w:rFonts w:ascii="Liberation Serif" w:hAnsi="Liberation Serif"/>
          <w:sz w:val="21"/>
        </w:rPr>
        <w:t>строгий matched-class null с dependence passport;</w:t>
      </w:r>
    </w:p>
    <w:p>
      <w:pPr>
        <w:pStyle w:val="ListBullet"/>
      </w:pPr>
      <w:r>
        <w:rPr>
          <w:rFonts w:ascii="Liberation Serif" w:hAnsi="Liberation Serif"/>
          <w:sz w:val="21"/>
        </w:rPr>
        <w:t>blind hidden-channel run с one-shot reveal;</w:t>
      </w:r>
    </w:p>
    <w:p>
      <w:pPr>
        <w:pStyle w:val="ListBullet"/>
      </w:pPr>
      <w:r>
        <w:rPr>
          <w:rFonts w:ascii="Liberation Serif" w:hAnsi="Liberation Serif"/>
          <w:sz w:val="21"/>
        </w:rPr>
        <w:t>внешняя независимая EXT-RUN репликация;</w:t>
      </w:r>
    </w:p>
    <w:p>
      <w:pPr>
        <w:pStyle w:val="ListBullet"/>
      </w:pPr>
      <w:r>
        <w:rPr>
          <w:rFonts w:ascii="Liberation Serif" w:hAnsi="Liberation Serif"/>
          <w:sz w:val="21"/>
        </w:rPr>
        <w:t>полный proof/source ledger для исторического FC-gate.</w:t>
      </w:r>
    </w:p>
    <w:p>
      <w:r>
        <w:t>Следующий научный цикл может быть открыт только новыми source-bound данными либо внешней репликацией. Пересчёт уже известных строк с новым anchor не является новым экспериментом.</w:t>
      </w:r>
    </w:p>
    <w:p>
      <w:r>
        <w:br w:type="page"/>
      </w:r>
    </w:p>
    <w:p>
      <w:pPr>
        <w:pStyle w:val="Heading1"/>
      </w:pPr>
      <w:r>
        <w:t>Приложение A. Канонические обозначения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72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Обозначение</w:t>
            </w:r>
          </w:p>
        </w:tc>
        <w:tc>
          <w:tcPr>
            <w:tcW w:type="dxa" w:w="237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Тип</w:t>
            </w:r>
          </w:p>
        </w:tc>
        <w:tc>
          <w:tcPr>
            <w:tcW w:type="dxa" w:w="568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Смысл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C@C₍chem₎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event@state object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событие и состояние химической записи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Rep₍chem₎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typed reper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(R,I,U;D_rep)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D_rep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foundation coordinate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достаточное основание репера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Eᴰ₀…Eᴰ₄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evidence ladder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уровни Evidence-D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Dom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domain passport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область применимости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Ωλ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admissible projective domain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область cross-ratio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DHC₍chem₎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protocol geometry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многоканальная coherence-конструкция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CGI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vector gap profile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набор независимых разрывов; не truth-score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EXT-RUN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external run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независимая внешняя проверка</w:t>
            </w:r>
          </w:p>
        </w:tc>
      </w:tr>
      <w:tr>
        <w:tc>
          <w:tcPr>
            <w:tcW w:type="dxa" w:w="17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ABSTAIN</w:t>
            </w:r>
          </w:p>
        </w:tc>
        <w:tc>
          <w:tcPr>
            <w:tcW w:type="dxa" w:w="237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status</w:t>
            </w:r>
          </w:p>
        </w:tc>
        <w:tc>
          <w:tcPr>
            <w:tcW w:type="dxa" w:w="56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запрет вывода при незакрытом gate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B. Формульное ядро freeze</w:t>
      </w:r>
    </w:p>
    <w:p>
      <w:pPr>
        <w:pStyle w:val="Formula"/>
        <w:jc w:val="center"/>
      </w:pPr>
      <w:r>
        <w:t>C@C₍chem₎=(event,state;Dom,source,uncertainty,lineage)</w:t>
      </w:r>
    </w:p>
    <w:p>
      <w:pPr>
        <w:pStyle w:val="Formula"/>
        <w:jc w:val="center"/>
      </w:pPr>
      <w:r>
        <w:t>Rep₍chem₎=(R,I,U;D_rep)</w:t>
      </w:r>
    </w:p>
    <w:p>
      <w:pPr>
        <w:pStyle w:val="Formula"/>
        <w:jc w:val="center"/>
      </w:pPr>
      <w:r>
        <w:t>λ=cr(U,I;R,D_rep)=((U−R)(I−D_rep))/((U−D_rep)(I−R))</w:t>
      </w:r>
    </w:p>
    <w:p>
      <w:pPr>
        <w:pStyle w:val="Formula"/>
        <w:jc w:val="center"/>
      </w:pPr>
      <w:r>
        <w:t>Fₒ=(stoich,redox,energy,kin,spec,cat,Dom,D_rep,source,lineage)</w:t>
      </w:r>
    </w:p>
    <w:p>
      <w:pPr>
        <w:pStyle w:val="Formula"/>
        <w:jc w:val="center"/>
      </w:pPr>
      <w:r>
        <w:t>DHC_ρ=Φ(Δ_obs,Δ_anchor,Π_channels,cr,Dom,D_rep)</w:t>
      </w:r>
    </w:p>
    <w:p>
      <w:pPr>
        <w:pStyle w:val="Formula"/>
        <w:jc w:val="center"/>
      </w:pPr>
      <w:r>
        <w:t>p_class=(1+#{j:S_null^(j)≥S_real})/(1+N)</w:t>
      </w:r>
    </w:p>
    <w:p>
      <w:pPr>
        <w:pStyle w:val="Formula"/>
        <w:jc w:val="center"/>
      </w:pPr>
      <w:r>
        <w:t>G_FDR=family_locked ∧ dependence_mode ∧ procedure_valid</w:t>
      </w:r>
    </w:p>
    <w:p>
      <w:pPr>
        <w:pStyle w:val="Formula"/>
        <w:jc w:val="center"/>
      </w:pPr>
      <w:r>
        <w:t>n_eff=|C_holdout|; p̂=(1/n_eff)ΣY_c</w:t>
      </w:r>
    </w:p>
    <w:p>
      <w:pPr>
        <w:pStyle w:val="Formula"/>
        <w:jc w:val="center"/>
      </w:pPr>
      <w:r>
        <w:t>candidate ⇒ D/Dom ∧ null ∧ multiplicity ∧ effect ∧ blind ∧ provenance</w:t>
      </w:r>
    </w:p>
    <w:p>
      <w:pPr>
        <w:pStyle w:val="Formula"/>
        <w:jc w:val="center"/>
      </w:pPr>
      <w:r>
        <w:t>engine_PASS ≠ EXT_RUN ≠ truth_status</w:t>
      </w:r>
    </w:p>
    <w:p>
      <w:r>
        <w:t>Примечание: рецензия v0.11 сообщает, что прежний v0.10 master содержал 194 формульных ID. Настоящий source-traced freeze не реконструирует отсутствующие исторические ID по памяти; он фиксирует смысловое формульное ядро и сохраняет это как отдельный архивный proof-ledger obligation.</w:t>
      </w:r>
    </w:p>
    <w:p>
      <w:r>
        <w:br w:type="page"/>
      </w:r>
    </w:p>
    <w:p>
      <w:pPr>
        <w:pStyle w:val="Heading1"/>
      </w:pPr>
      <w:r>
        <w:t>Приложение C. Theorem/boundary registry freeze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44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ID</w:t>
            </w:r>
          </w:p>
        </w:tc>
        <w:tc>
          <w:tcPr>
            <w:tcW w:type="dxa" w:w="669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Формулировка</w:t>
            </w:r>
          </w:p>
        </w:tc>
        <w:tc>
          <w:tcPr>
            <w:tcW w:type="dxa" w:w="144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Статус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T6-BND-001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λ=−1 является projective-harmonic structural condition, не chemical truth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BOUNDARY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T6-BND-002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строка без D_source_id/Dom_id не участвует в candidate inference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PROTOCOL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T6-BND-003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matched-null необходим до class support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PROTOCOL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T6-BND-004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blind channel фиксируется до раскрытия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PROTOCOL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T6-STAT-116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в v95-v115 не найден объект, прошедший совокупность обязательных gates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SOURCE-TRACE PROVED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T6-BND-005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software diagnostic scalar не является probability/truth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BOUNDARY</w:t>
            </w:r>
          </w:p>
        </w:tc>
      </w:tr>
      <w:tr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T6-BND-006</w:t>
            </w:r>
          </w:p>
        </w:tc>
        <w:tc>
          <w:tcPr>
            <w:tcW w:type="dxa" w:w="66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EXT-RUN=NOT_RUN не может быть заменён fixture/selftest PASS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BOUNDARY</w:t>
            </w:r>
          </w:p>
        </w:tc>
      </w:tr>
    </w:tbl>
    <w:p>
      <w:pPr>
        <w:pStyle w:val="Small"/>
      </w:pPr>
    </w:p>
    <w:p>
      <w:r>
        <w:t>Историческая таблица 92 theorem/boundary records из v0.10 не подменяется этой компактной freeze-таблицей. Для T6-RA5 она должна быть восстановлена/сверена как отдельный proof object.</w:t>
      </w:r>
    </w:p>
    <w:p>
      <w:r>
        <w:br w:type="page"/>
      </w:r>
    </w:p>
    <w:p>
      <w:pPr>
        <w:pStyle w:val="Heading1"/>
      </w:pPr>
      <w:r>
        <w:t>Приложение D. Blocker ledger T6-B035…T6-B041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08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ID</w:t>
            </w:r>
          </w:p>
        </w:tc>
        <w:tc>
          <w:tcPr>
            <w:tcW w:type="dxa" w:w="403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Impact</w:t>
            </w:r>
          </w:p>
        </w:tc>
        <w:tc>
          <w:tcPr>
            <w:tcW w:type="dxa" w:w="453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Resolution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T6-B035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Дидактические карточки не могут поддерживать эмпирический химический вывод.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Сохранить DIDACTIC/SYNTHETIC либо заменить source-bound measured dossier с реальным null/blind/EXT.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T6-B036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Кислотно-основной адаптер не авторизован для реальных расчётов активности.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Зафиксировать T, solvent, ionic strength, activity model, γ_i, uncertainty, calibration и raw source.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T6-B037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Ksp/speciation сравнения не имеют единой области применимости.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Предоставить T-dependent Ksp source/version, фазу, solvent, ionic strength, speciation model и raw measurements.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T6-B038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Нельзя отделить равновесный потенциал от junction, transport, IR и kinetic effects.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Зафиксировать electrode/reference/junction/transport passport, activities, current efficiency и uncertainty.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T6-B039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Органический механизм остаётся недоопределённым.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Собрать source-bound kinetic/stereo/isotope/spectral class и граф конкурирующих механизмов с exclusions.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T6-B040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Материальный state/defect вывод не переносим без history и metrology.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Зафиксировать phase, defect, process history, sample lineage, metrology, uncertainty и transport witness.</w:t>
            </w:r>
          </w:p>
        </w:tc>
      </w:tr>
      <w:tr>
        <w:tc>
          <w:tcPr>
            <w:tcW w:type="dxa" w:w="10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T6-B041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Учебный/экспертный score не имеет внешней калибровки и не должен считаться объективной оценкой.</w:t>
            </w:r>
          </w:p>
        </w:tc>
        <w:tc>
          <w:tcPr>
            <w:tcW w:type="dxa" w:w="453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Провести blinded benchmark с независимыми экспертами, predeclared rubric, inter-rater reliability и appeal protocol.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E. Матрица checkpoint v95-v116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15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Точка</w:t>
            </w:r>
          </w:p>
        </w:tc>
        <w:tc>
          <w:tcPr>
            <w:tcW w:type="dxa" w:w="691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Результат</w:t>
            </w:r>
          </w:p>
        </w:tc>
        <w:tc>
          <w:tcPr>
            <w:tcW w:type="dxa" w:w="144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Truth promotion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v95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review; no candidate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v96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review; no candidate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v97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seed geometry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v98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underpowered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v99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protocol opened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v100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doctrine without truth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v101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harvest opened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v102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Evidence-D normalized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v103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formalization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v104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matched-null formalized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v105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blind protocol opened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v106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RBD registered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v107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protocol article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v108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engine prototype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v109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reproducibility route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v110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monograph patch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v111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 independent &lt; gate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v112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real evidence partial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v113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spectral partial; kinetic blocker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v114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elementary bridge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v115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source_bound n=1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v116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negative disciplined closure</w:t>
            </w:r>
          </w:p>
        </w:tc>
        <w:tc>
          <w:tcPr>
            <w:tcW w:type="dxa" w:w="144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F. Статистический паспорт confirmatory family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11"/>
        <w:gridCol w:w="5011"/>
      </w:tblGrid>
      <w:tr>
        <w:tc>
          <w:tcPr>
            <w:tcW w:type="dxa" w:w="288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Поле</w:t>
            </w:r>
          </w:p>
        </w:tc>
        <w:tc>
          <w:tcPr>
            <w:tcW w:type="dxa" w:w="691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Обязательное значение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family_id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предзарегистрированный идентификатор семейства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family_locked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true до reveal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dependence_mode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INDEPENDENT / PRDS / CERTIFIED_OTHER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procedure_id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процедура multiplicity, корректная для режима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sample_unit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lineage component / иной заранее типизированный unit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dependence_certificate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основание независимости/кластерной зависимости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interval_method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Wilson при независимых Bernoulli units либо cluster-valid method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effect_threshold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ε_min до reveal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null_model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matched-class, сохраняющий Dom/signature/quality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hidden_channel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locked before computation</w:t>
            </w:r>
          </w:p>
        </w:tc>
      </w:tr>
      <w:tr>
        <w:tc>
          <w:tcPr>
            <w:tcW w:type="dxa" w:w="288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outcome</w:t>
            </w:r>
          </w:p>
        </w:tc>
        <w:tc>
          <w:tcPr>
            <w:tcW w:type="dxa" w:w="691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support / falsification / ABSTAIN с причиной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G. Source register и authority classes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05"/>
        <w:gridCol w:w="2505"/>
        <w:gridCol w:w="2505"/>
        <w:gridCol w:w="2505"/>
      </w:tblGrid>
      <w:tr>
        <w:tc>
          <w:tcPr>
            <w:tcW w:type="dxa" w:w="165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canonical_id</w:t>
            </w:r>
          </w:p>
        </w:tc>
        <w:tc>
          <w:tcPr>
            <w:tcW w:type="dxa" w:w="403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Источник/носитель</w:t>
            </w:r>
          </w:p>
        </w:tc>
        <w:tc>
          <w:tcPr>
            <w:tcW w:type="dxa" w:w="201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Authority</w:t>
            </w:r>
          </w:p>
        </w:tc>
        <w:tc>
          <w:tcPr>
            <w:tcW w:type="dxa" w:w="223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Locator/роль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SRC-T6-CHEM-ARCH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ХИМИЯ KLT-RBD.pdf · Google Drive mirror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AUTHOR-ARCHIVE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v95-v108 checkpoints; 1438-page carrier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SRC-V32-168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v32-168.pdf · Google Drive mirror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AUTHOR-ARCHIVE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v109-v116 + cross-domain archive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SRC-T6-REV011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T6-RU-REVIEW-v0.11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REVIEW-CONTROL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P12/FC contract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SRC-NIST-WB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NIST Chemistry WebBook SRD 69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PRIMARY/EVALUATED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thermochemistry, molecular constants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SRC-NIST-KIN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NIST Chemical Kinetics Database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PRIMARY/EVALUATED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kinetic source routes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SRC-BH1995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Benjamini &amp; Hochberg, 1995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CLASSIC-STAT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FDR under independence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SRC-BY2001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Benjamini &amp; Yekutieli, 2001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CLASSIC-STAT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FDR under dependency classes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SRC-PS2010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Phipson &amp; Smyth, 2010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STAT-METHOD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permutation p-values not zero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SRC-SITE</w:t>
            </w:r>
          </w:p>
        </w:tc>
        <w:tc>
          <w:tcPr>
            <w:tcW w:type="dxa" w:w="40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https://kurpishev.com</w:t>
            </w:r>
          </w:p>
        </w:tc>
        <w:tc>
          <w:tcPr>
            <w:tcW w:type="dxa" w:w="201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AUTHOR-ARCHIVE</w:t>
            </w:r>
          </w:p>
        </w:tc>
        <w:tc>
          <w:tcPr>
            <w:tcW w:type="dxa" w:w="223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public articles/monographs; archive authority, not numbering authority</w:t>
            </w:r>
          </w:p>
        </w:tc>
      </w:tr>
    </w:tbl>
    <w:p>
      <w:pPr>
        <w:pStyle w:val="Small"/>
      </w:pPr>
    </w:p>
    <w:p>
      <w:r>
        <w:t>Source-ledger rule: каждая содержательная ссылка должна иметь canonical_id, sha256 (для байтового carrier), locator, accessed_at/edition и authority_class. Если page/section locator отсутствует, фиксируется NO-LOCATOR blocker; hash не подменяет locator.</w:t>
      </w:r>
    </w:p>
    <w:p>
      <w:r>
        <w:br w:type="page"/>
      </w:r>
    </w:p>
    <w:p>
      <w:pPr>
        <w:pStyle w:val="Heading1"/>
      </w:pPr>
      <w:r>
        <w:t>Приложение H. Ключевые source-bound химические примеры</w:t>
      </w:r>
    </w:p>
    <w:p>
      <w:r>
        <w:t>NO₂/N₂O₄ и CO+OH используются как исторические примеры развития gate architecture, а не как доказательство общей DHC-гипотезы. H₂/I₂/HI используется как пример усиления Evidence-D и необходимости отделить термодинамику, молекулярную спектроскопию, элементарную кинетику и макро-механизм.</w:t>
      </w:r>
    </w:p>
    <w:p>
      <w:r>
        <w:t>Для v114 источник Vasileiadis &amp; Benson (1997) поддерживает элементарный kinetic bridge H+HI→H₂+I при 298 K; он не авторизует идентичность этой строки с макро-равновесием H₂+I₂⇌2HI.</w:t>
      </w:r>
    </w:p>
    <w:p>
      <w:r>
        <w:br w:type="page"/>
      </w:r>
    </w:p>
    <w:p>
      <w:pPr>
        <w:pStyle w:val="Heading1"/>
      </w:pPr>
      <w:r>
        <w:t>Приложение I. Минимальная схема chemical object</w:t>
      </w:r>
    </w:p>
    <w:p>
      <w:pPr>
        <w:pStyle w:val="Formula"/>
        <w:jc w:val="center"/>
      </w:pPr>
      <w:r>
        <w:t>ChemicalRow=(object_id,class_id,reaction,channel,value,unit,Dom_id,D_source_id,projection_status,quality_flag,uncertainty,lineage_id,hidden_flag).</w:t>
      </w:r>
    </w:p>
    <w:p>
      <w:r>
        <w:t>Missing Dom_id или D_source_id переводит строку в blocker; hidden_flag управляется blind protocol; projection_status отличает identity от projection/RBD-morphism.</w:t>
      </w:r>
    </w:p>
    <w:p>
      <w:r>
        <w:br w:type="page"/>
      </w:r>
    </w:p>
    <w:p>
      <w:pPr>
        <w:pStyle w:val="Heading1"/>
      </w:pPr>
      <w:r>
        <w:t>Приложение J. DHC-engine schema</w:t>
      </w:r>
    </w:p>
    <w:p>
      <w:pPr>
        <w:pStyle w:val="Formula"/>
        <w:jc w:val="center"/>
      </w:pPr>
      <w:r>
        <w:t>E_ENGINE=(Parser,EvidenceDNormalizer,ChannelMapper,DHCBuilder,MatchedClassNull,BlindPredictionMasker,CGICalculator,RBDExporter,StatusLedger).</w:t>
      </w:r>
    </w:p>
    <w:p>
      <w:r>
        <w:t>Каждый модуль обязан сохранять typed D/Dom. Engine output может быть reproducible mechanics и одновременно оставаться science=ABSTAIN.</w:t>
      </w:r>
    </w:p>
    <w:p>
      <w:r>
        <w:br w:type="page"/>
      </w:r>
    </w:p>
    <w:p>
      <w:pPr>
        <w:pStyle w:val="Heading1"/>
      </w:pPr>
      <w:r>
        <w:t>Приложение K. ChemGraph/RBD card schema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11"/>
        <w:gridCol w:w="5011"/>
      </w:tblGrid>
      <w:tr>
        <w:tc>
          <w:tcPr>
            <w:tcW w:type="dxa" w:w="1944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Card</w:t>
            </w:r>
          </w:p>
        </w:tc>
        <w:tc>
          <w:tcPr>
            <w:tcW w:type="dxa" w:w="784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Минимальные поля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source-card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canonical_id, hash, locator, authority, Dom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reper-card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R,I,U,D_rep, Ωλ, provenance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null-card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family_id, matching variables, seed, N, procedure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prediction-card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visible channels, hidden channel, prelock, loss, null comparison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blocker-card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id, impact, resolution, status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theorem-card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statement, assumptions, dependencies, boundary, proof_object</w:t>
            </w:r>
          </w:p>
        </w:tc>
      </w:tr>
      <w:tr>
        <w:tc>
          <w:tcPr>
            <w:tcW w:type="dxa" w:w="194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status-ledger</w:t>
            </w:r>
          </w:p>
        </w:tc>
        <w:tc>
          <w:tcPr>
            <w:tcW w:type="dxa" w:w="784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candidate class, gates, outcome, no-promotion receipt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L. Reproducibility contract</w:t>
      </w:r>
    </w:p>
    <w:p>
      <w:pPr>
        <w:pStyle w:val="ListBullet"/>
      </w:pPr>
      <w:r>
        <w:rPr>
          <w:rFonts w:ascii="Liberation Serif" w:hAnsi="Liberation Serif"/>
          <w:sz w:val="21"/>
        </w:rPr>
        <w:t>freeze raw inputs and hashes</w:t>
      </w:r>
    </w:p>
    <w:p>
      <w:pPr>
        <w:pStyle w:val="ListBullet"/>
      </w:pPr>
      <w:r>
        <w:rPr>
          <w:rFonts w:ascii="Liberation Serif" w:hAnsi="Liberation Serif"/>
          <w:sz w:val="21"/>
        </w:rPr>
        <w:t>normalize with versioned transformation log</w:t>
      </w:r>
    </w:p>
    <w:p>
      <w:pPr>
        <w:pStyle w:val="ListBullet"/>
      </w:pPr>
      <w:r>
        <w:rPr>
          <w:rFonts w:ascii="Liberation Serif" w:hAnsi="Liberation Serif"/>
          <w:sz w:val="21"/>
        </w:rPr>
        <w:t>execute DHC with recorded parameters</w:t>
      </w:r>
    </w:p>
    <w:p>
      <w:pPr>
        <w:pStyle w:val="ListBullet"/>
      </w:pPr>
      <w:r>
        <w:rPr>
          <w:rFonts w:ascii="Liberation Serif" w:hAnsi="Liberation Serif"/>
          <w:sz w:val="21"/>
        </w:rPr>
        <w:t>run matched-null with fixed seed/procedure</w:t>
      </w:r>
    </w:p>
    <w:p>
      <w:pPr>
        <w:pStyle w:val="ListBullet"/>
      </w:pPr>
      <w:r>
        <w:rPr>
          <w:rFonts w:ascii="Liberation Serif" w:hAnsi="Liberation Serif"/>
          <w:sz w:val="21"/>
        </w:rPr>
        <w:t>execute blind mask/reveal exactly once</w:t>
      </w:r>
    </w:p>
    <w:p>
      <w:pPr>
        <w:pStyle w:val="ListBullet"/>
      </w:pPr>
      <w:r>
        <w:rPr>
          <w:rFonts w:ascii="Liberation Serif" w:hAnsi="Liberation Serif"/>
          <w:sz w:val="21"/>
        </w:rPr>
        <w:t>export cards/status ledger</w:t>
      </w:r>
    </w:p>
    <w:p>
      <w:pPr>
        <w:pStyle w:val="ListBullet"/>
      </w:pPr>
      <w:r>
        <w:rPr>
          <w:rFonts w:ascii="Liberation Serif" w:hAnsi="Liberation Serif"/>
          <w:sz w:val="21"/>
        </w:rPr>
        <w:t>store software/version/environment metadata</w:t>
      </w:r>
    </w:p>
    <w:p>
      <w:pPr>
        <w:pStyle w:val="ListBullet"/>
      </w:pPr>
      <w:r>
        <w:rPr>
          <w:rFonts w:ascii="Liberation Serif" w:hAnsi="Liberation Serif"/>
          <w:sz w:val="21"/>
        </w:rPr>
        <w:t>preserve negative/null outcomes</w:t>
      </w:r>
    </w:p>
    <w:p>
      <w:r>
        <w:br w:type="page"/>
      </w:r>
    </w:p>
    <w:p>
      <w:pPr>
        <w:pStyle w:val="Heading1"/>
      </w:pPr>
      <w:r>
        <w:t>Приложение M. Software semantic firewall</w:t>
      </w:r>
    </w:p>
    <w:p>
      <w:pPr>
        <w:pStyle w:val="Formula"/>
        <w:jc w:val="center"/>
      </w:pPr>
      <w:r>
        <w:t>legacy_Auth, legacy_CRI → diagnostic_only;  diagnostic_only ↛ truth/probability/chemical_support.</w:t>
      </w:r>
    </w:p>
    <w:p>
      <w:r>
        <w:t>Typed adapter должен вернуть vector gap profile и записать scalarization weights в Dom. До этого ChemGraph не использует legacy scalar в Supportπ.</w:t>
      </w:r>
    </w:p>
    <w:p>
      <w:r>
        <w:br w:type="page"/>
      </w:r>
    </w:p>
    <w:p>
      <w:pPr>
        <w:pStyle w:val="Heading1"/>
      </w:pPr>
      <w:r>
        <w:t>Приложение N. Source-carrier policy</w:t>
      </w:r>
    </w:p>
    <w:p>
      <w:r>
        <w:t>Проблемный PDF carrier не заменяется исходным файлом “с исправлениями”. Создаётся нормализованная архивная копия с новым hash и явной связью с original hash. До верификации переносимости bytes могут быть исключены из FC bundle при сохранении canonical reference/hash.</w:t>
      </w:r>
    </w:p>
    <w:p>
      <w:r>
        <w:br w:type="page"/>
      </w:r>
    </w:p>
    <w:p>
      <w:pPr>
        <w:pStyle w:val="Heading1"/>
      </w:pPr>
      <w:r>
        <w:t>Приложение O. Review patch contract P12-001…P12-008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115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Patch</w:t>
            </w:r>
          </w:p>
        </w:tc>
        <w:tc>
          <w:tcPr>
            <w:tcW w:type="dxa" w:w="655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Freeze implementation</w:t>
            </w:r>
          </w:p>
        </w:tc>
        <w:tc>
          <w:tcPr>
            <w:tcW w:type="dxa" w:w="208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6"/>
              </w:rPr>
              <w:t>Исторический FC статус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P12-001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D_rep / Eᴰ_k разведены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implemented in text; historical master diff pending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P12-002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FDR dependence gate включён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implemented in text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P12-003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lineage n_eff/confidence passport включён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implemented in text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P12-004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proof fields определены; 92 historical records не реконструированы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OPEN-ARCHIVE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P12-005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новый freeze целиком русский; 70 original_en historical records не подменены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OPEN-ARCHIVE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P12-006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B035-B041 impact/resolution перенесены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implemented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P12-007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source schema/registry включены; полный historical ledger требует восстановления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PARTIAL-ARCHIVE</w:t>
            </w:r>
          </w:p>
        </w:tc>
      </w:tr>
      <w:tr>
        <w:tc>
          <w:tcPr>
            <w:tcW w:type="dxa" w:w="11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P12-008</w:t>
            </w:r>
          </w:p>
        </w:tc>
        <w:tc>
          <w:tcPr>
            <w:tcW w:type="dxa" w:w="655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normalize-or-exclude policy включена</w:t>
            </w:r>
          </w:p>
        </w:tc>
        <w:tc>
          <w:tcPr>
            <w:tcW w:type="dxa" w:w="208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6"/>
              </w:rPr>
              <w:t>implemented as policy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P. Freeze receipt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11"/>
        <w:gridCol w:w="5011"/>
      </w:tblGrid>
      <w:tr>
        <w:tc>
          <w:tcPr>
            <w:tcW w:type="dxa" w:w="4392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Gate</w:t>
            </w:r>
          </w:p>
        </w:tc>
        <w:tc>
          <w:tcPr>
            <w:tcW w:type="dxa" w:w="5400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8"/>
              </w:rPr>
              <w:t>Freeze result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Text structure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PASS: 30 chapters + A-T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Science locks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PASS: unchanged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 notation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 in freeze text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FDR passport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 in freeze text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Lineage interval passport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 in freeze text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Blocker B035-B041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PASS in freeze text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Historical 92-record proof graph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OPEN-ARCHIVE; not falsely closed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Historical source ledger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PARTIAL-ARCHIVE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DOCX/PDF render QA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to be stamped by manifest after rendering</w:t>
            </w:r>
          </w:p>
        </w:tc>
      </w:tr>
      <w:tr>
        <w:tc>
          <w:tcPr>
            <w:tcW w:type="dxa" w:w="439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T6-RA5</w:t>
            </w:r>
          </w:p>
        </w:tc>
        <w:tc>
          <w:tcPr>
            <w:tcW w:type="dxa" w:w="540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8"/>
              </w:rPr>
              <w:t>NOT_ISSUED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Q. Публичный архив и маршруты</w:t>
      </w:r>
    </w:p>
    <w:p>
      <w:r>
        <w:t>Автор разрешает использовать весь сайт https://kurpishev.com как архив статей и монографий. В рамках этой заморозки сайт рассматривается как source archive. Навигационные схемы и исторические варианты нумерации томов на сайте не переопределяют настоящий августовский контракт, в котором Том VI — химический том KLT-RBD.</w:t>
      </w:r>
    </w:p>
    <w:p>
      <w:pPr>
        <w:pStyle w:val="ListBullet"/>
      </w:pPr>
      <w:r>
        <w:rPr>
          <w:rFonts w:ascii="Liberation Serif" w:hAnsi="Liberation Serif"/>
          <w:sz w:val="21"/>
        </w:rPr>
        <w:t>Главная: https://kurpishev.com</w:t>
      </w:r>
    </w:p>
    <w:p>
      <w:pPr>
        <w:pStyle w:val="ListBullet"/>
      </w:pPr>
      <w:r>
        <w:rPr>
          <w:rFonts w:ascii="Liberation Serif" w:hAnsi="Liberation Serif"/>
          <w:sz w:val="21"/>
        </w:rPr>
        <w:t>KLT-RBD Chem v116 RU: публичная карточка на главной странице архива; PDF route: https://kurpishev.com/KLT_monographv32_116.pdf</w:t>
      </w:r>
    </w:p>
    <w:p>
      <w:pPr>
        <w:pStyle w:val="ListBullet"/>
      </w:pPr>
      <w:r>
        <w:rPr>
          <w:rFonts w:ascii="Liberation Serif" w:hAnsi="Liberation Serif"/>
          <w:sz w:val="21"/>
        </w:rPr>
        <w:t>KLT-RBD Chem v116 EN: PDF route: https://kurpishev.com/KLT_monographv32_116_en.pdf</w:t>
      </w:r>
    </w:p>
    <w:p>
      <w:r>
        <w:t>При публикации freeze действует add-only правило: существующие архивные материалы не удаляются и не получают ретроспективно более высокий научный статус.</w:t>
      </w:r>
    </w:p>
    <w:p>
      <w:r>
        <w:br w:type="page"/>
      </w:r>
    </w:p>
    <w:p>
      <w:pPr>
        <w:pStyle w:val="Heading1"/>
      </w:pPr>
      <w:r>
        <w:t>Приложение R. Библиография</w:t>
      </w:r>
    </w:p>
    <w:p>
      <w:pPr>
        <w:pStyle w:val="Small"/>
      </w:pPr>
      <w:r>
        <w:t>1. Курпишев И.Б. KLT2 PIX@PEAKS CHEM checkpoints v95-v116. Авторский архив, 2026. https://kurpishev.com</w:t>
      </w:r>
    </w:p>
    <w:p>
      <w:pPr>
        <w:pStyle w:val="Small"/>
      </w:pPr>
      <w:r>
        <w:t>2. Курпишев И.Б. T6-RU-REVIEW-v0.11. Научно-редакционная рецензия, 11.08.2026.</w:t>
      </w:r>
    </w:p>
    <w:p>
      <w:pPr>
        <w:pStyle w:val="Small"/>
      </w:pPr>
      <w:r>
        <w:t>3. NIST Chemistry WebBook, SRD 69. https://webbook.nist.gov/chemistry/</w:t>
      </w:r>
    </w:p>
    <w:p>
      <w:pPr>
        <w:pStyle w:val="Small"/>
      </w:pPr>
      <w:r>
        <w:t>4. NIST Chemical Kinetics Database. https://kinetics.nist.gov/kinetics/</w:t>
      </w:r>
    </w:p>
    <w:p>
      <w:pPr>
        <w:pStyle w:val="Small"/>
      </w:pPr>
      <w:r>
        <w:t>5. Huber, K.P.; Herzberg, G. Constants of Diatomic Molecules. Molecular Spectra and Molecular Structure IV, 1979; data compiled in NIST Chemistry WebBook.</w:t>
      </w:r>
    </w:p>
    <w:p>
      <w:pPr>
        <w:pStyle w:val="Small"/>
      </w:pPr>
      <w:r>
        <w:t>6. Vasileiadis, S.; Benson, S.W. Kinetic study of H + HI -&gt; H2 + I at 298 K. International Journal of Chemical Kinetics 29 (1997), 915-925.</w:t>
      </w:r>
    </w:p>
    <w:p>
      <w:pPr>
        <w:pStyle w:val="Small"/>
      </w:pPr>
      <w:r>
        <w:t>7. Benjamini, Y.; Hochberg, Y. Controlling the False Discovery Rate: A Practical and Powerful Approach to Multiple Testing. JRSS B 57 (1995), 289-300.</w:t>
      </w:r>
    </w:p>
    <w:p>
      <w:pPr>
        <w:pStyle w:val="Small"/>
      </w:pPr>
      <w:r>
        <w:t>8. Benjamini, Y.; Yekutieli, D. The Control of the False Discovery Rate in Multiple Testing under Dependency. Annals of Statistics 29 (2001), 1165-1188.</w:t>
      </w:r>
    </w:p>
    <w:p>
      <w:pPr>
        <w:pStyle w:val="Small"/>
      </w:pPr>
      <w:r>
        <w:t>9. Phipson, B.; Smyth, G.K. Permutation P-values Should Never Be Zero. Statistical Applications in Genetics and Molecular Biology 9 (2010).</w:t>
      </w:r>
    </w:p>
    <w:p>
      <w:pPr>
        <w:pStyle w:val="Small"/>
      </w:pPr>
      <w:r>
        <w:t>10. IUPAC Gold Book. Activity; rate of reaction; kinetic electrolyte effect. https://goldbook.iupac.org/</w:t>
      </w:r>
    </w:p>
    <w:p>
      <w:pPr>
        <w:pStyle w:val="Small"/>
      </w:pPr>
      <w:r>
        <w:t>11. NIST FIPS 180-4. Secure Hash Standard (SHS). https://csrc.nist.gov/pubs/fips/180-4/upd1/final</w:t>
      </w:r>
    </w:p>
    <w:p>
      <w:r>
        <w:br w:type="page"/>
      </w:r>
    </w:p>
    <w:p>
      <w:pPr>
        <w:pStyle w:val="Heading1"/>
      </w:pPr>
      <w:r>
        <w:t>Приложение S. Переводной глоссарий RU-EN-ZH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41"/>
        <w:gridCol w:w="3341"/>
        <w:gridCol w:w="3341"/>
      </w:tblGrid>
      <w:tr>
        <w:tc>
          <w:tcPr>
            <w:tcW w:type="dxa" w:w="309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RU</w:t>
            </w:r>
          </w:p>
        </w:tc>
        <w:tc>
          <w:tcPr>
            <w:tcW w:type="dxa" w:w="3528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EN</w:t>
            </w:r>
          </w:p>
        </w:tc>
        <w:tc>
          <w:tcPr>
            <w:tcW w:type="dxa" w:w="3096"/>
            <w:shd w:fill="D9E4F0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rFonts w:ascii="Liberation Serif" w:hAnsi="Liberation Serif"/>
                <w:b/>
                <w:sz w:val="17"/>
              </w:rPr>
              <w:t>中文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репер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reper / reference frame element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标架元 / 参照元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достаточное основание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sufficient foundation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充分根据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область применимости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domain of applicability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适用域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событие@состояние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event@state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事件@状态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источниковая обеспеченность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source-bound evidence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来源绑定证据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согласованный нуль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matched null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匹配零模型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слепой предсказательный тест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blind predictive test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盲预测检验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разрыв/блокер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gap/blocker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缺口/阻断项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воздержание от вывода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ABSTAIN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暂不作结论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отрицательно-дисциплинарный результат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negative disciplined result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负向约束性结果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не подтверждено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not confirmed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未确认</w:t>
            </w:r>
          </w:p>
        </w:tc>
      </w:tr>
      <w:tr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внешний независимый прогон</w:t>
            </w:r>
          </w:p>
        </w:tc>
        <w:tc>
          <w:tcPr>
            <w:tcW w:type="dxa" w:w="3528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independent external run</w:t>
            </w:r>
          </w:p>
        </w:tc>
        <w:tc>
          <w:tcPr>
            <w:tcW w:type="dxa" w:w="3096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spacing w:after="20" w:line="240" w:lineRule="auto"/>
            </w:pPr>
            <w:r>
              <w:rPr>
                <w:rFonts w:ascii="Liberation Serif" w:hAnsi="Liberation Serif"/>
                <w:sz w:val="17"/>
              </w:rPr>
              <w:t>独立外部复现实验</w:t>
            </w:r>
          </w:p>
        </w:tc>
      </w:tr>
    </w:tbl>
    <w:p>
      <w:pPr>
        <w:pStyle w:val="Small"/>
      </w:pPr>
    </w:p>
    <w:p>
      <w:r>
        <w:br w:type="page"/>
      </w:r>
    </w:p>
    <w:p>
      <w:pPr>
        <w:pStyle w:val="Heading1"/>
      </w:pPr>
      <w:r>
        <w:t>Приложение T. Manifest fields</w:t>
      </w:r>
    </w:p>
    <w:p>
      <w:r>
        <w:t>Финальный freeze-manifest хранится рядом с DOCX/PDF и содержит SHA-256 итоговых файлов, хеши исходных carrier-файлов, дату сборки, page count, science locks и QA receipt. Наличие manifest является частью заморозки; изменение любого байта создаёт новую версию.</w:t>
      </w:r>
    </w:p>
    <w:p>
      <w:r>
        <w:br w:type="page"/>
      </w:r>
    </w:p>
    <w:p>
      <w:pPr>
        <w:pStyle w:val="Heading1"/>
      </w:pPr>
      <w:r>
        <w:t>Заключительная авторская фиксация</w:t>
      </w:r>
    </w:p>
    <w:p>
      <w:r>
        <w:t>Том VI замораживает химическую ветвь не как доказанный универсальный закон, а как строгий исследовательский контур, прошедший путь от λ-seed к Evidence-D, matched-null, blind protocol, real-data import и отрицательной статусной теореме v116. Научная ценность этой стадии заключается в способности метода не повышать статус там, где не выполнены собственные правила.</w:t>
      </w:r>
    </w:p>
    <w:p>
      <w:pPr>
        <w:pStyle w:val="Formula"/>
        <w:jc w:val="center"/>
      </w:pPr>
      <w:r>
        <w:t>science=ABSTAIN;  DHC_chem=OPEN-NOT-CONFIRMED;  EXT-RUN=NOT_RUN;  truth_layer_promotion=0.</w:t>
      </w:r>
    </w:p>
    <w:p>
      <w:r>
        <w:t>Любая будущая версия, претендующая на более высокий статус, обязана предъявить новый source-bound корпус, предзарегистрированный статистический паспорт, blind prediction и независимую внешнюю репликацию. До этого настоящая редакция является канонической русской текстовой заморозкой Тома VI.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037" w:bottom="979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center"/>
    </w:pPr>
    <w:r>
      <w:t xml:space="preserve">© 2026 Курпишев Иван Борисович · стр.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center"/>
    </w:pPr>
    <w:r>
      <w:t>БАЗОВЫЙ ПРОЕКТ KLT-RBD · ТОМ VI · T6-RU-FREEZE-v1.0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Liberation Serif" w:hAnsi="Liberation Serif" w:eastAsia="Liberation Serif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erif" w:hAnsi="Liberation Serif" w:eastAsia="Liberation Serif"/>
      <w:b/>
      <w:bCs/>
      <w:color w:val="1F3A53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erif" w:hAnsi="Liberation Serif" w:eastAsia="Liberation Serif"/>
      <w:b/>
      <w:bCs/>
      <w:color w:val="2F547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erif" w:hAnsi="Liberation Serif" w:eastAsia="Liberation Serif"/>
      <w:b/>
      <w:bCs/>
      <w:color w:val="46464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erif" w:hAnsi="Liberation Serif" w:eastAsia="Liberation Serif"/>
      <w:color w:val="1F3A5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160" w:after="100"/>
    </w:pPr>
    <w:rPr>
      <w:rFonts w:asciiTheme="majorHAnsi" w:eastAsiaTheme="majorEastAsia" w:hAnsiTheme="majorHAnsi" w:cstheme="majorBidi" w:ascii="Liberation Serif" w:hAnsi="Liberation Serif" w:eastAsia="Liberation Serif"/>
      <w:i/>
      <w:iCs/>
      <w:color w:val="464646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ula">
    <w:name w:val="Formula"/>
    <w:pPr>
      <w:keepLines/>
      <w:spacing w:before="80" w:after="120"/>
      <w:ind w:left="403" w:right="216"/>
    </w:pPr>
    <w:rPr>
      <w:rFonts w:ascii="DejaVu Serif" w:hAnsi="DejaVu Serif"/>
      <w:sz w:val="21"/>
    </w:rPr>
  </w:style>
  <w:style w:type="paragraph" w:customStyle="1" w:styleId="SourceExcerpt">
    <w:name w:val="SourceExcerpt"/>
    <w:pPr>
      <w:spacing w:after="60" w:line="240" w:lineRule="auto"/>
      <w:ind w:left="317" w:right="216"/>
    </w:pPr>
    <w:rPr>
      <w:rFonts w:ascii="Liberation Serif" w:hAnsi="Liberation Serif"/>
      <w:color w:val="414141"/>
      <w:sz w:val="18"/>
    </w:rPr>
  </w:style>
  <w:style w:type="paragraph" w:customStyle="1" w:styleId="Small">
    <w:name w:val="Small"/>
    <w:pPr>
      <w:spacing w:after="60"/>
    </w:pPr>
    <w:rPr>
      <w:rFonts w:ascii="Liberation Serif" w:hAnsi="Liberation Serif"/>
      <w:color w:val="4B4B4B"/>
      <w:sz w:val="18"/>
    </w:rPr>
  </w:style>
  <w:style w:type="paragraph" w:customStyle="1" w:styleId="CoverTitle">
    <w:name w:val="CoverTitle"/>
    <w:pPr>
      <w:spacing w:before="80" w:after="80"/>
    </w:pPr>
    <w:rPr>
      <w:rFonts w:ascii="Liberation Serif" w:hAnsi="Liberation Serif" w:eastAsia="Liberation Serif"/>
      <w:i w:val="0"/>
      <w:color w:val="1F3A53"/>
      <w:sz w:val="48"/>
    </w:rPr>
  </w:style>
  <w:style w:type="paragraph" w:customStyle="1" w:styleId="CoverSub">
    <w:name w:val="CoverSub"/>
    <w:pPr>
      <w:spacing w:before="80" w:after="80"/>
    </w:pPr>
    <w:rPr>
      <w:rFonts w:ascii="Liberation Serif" w:hAnsi="Liberation Serif" w:eastAsia="Liberation Serif"/>
      <w:i/>
      <w:color w:val="464646"/>
      <w:sz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