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pacing w:after="80"/>
      </w:pPr>
    </w:p>
    <w:p>
      <w:pPr>
        <w:widowControl/>
        <w:spacing w:after="80"/>
      </w:pPr>
    </w:p>
    <w:p>
      <w:pPr>
        <w:widowControl/>
        <w:jc w:val="center"/>
      </w:pPr>
      <w:r>
        <w:rPr>
          <w:rFonts w:ascii="DejaVu Sans" w:hAnsi="DejaVu Sans" w:eastAsia="DejaVu Sans"/>
          <w:b/>
          <w:color w:val="173A61"/>
          <w:sz w:val="44"/>
        </w:rPr>
        <w:t>МОНОГРАФИЯ</w:t>
      </w:r>
    </w:p>
    <w:p>
      <w:pPr>
        <w:widowControl/>
        <w:jc w:val="center"/>
      </w:pPr>
      <w:r>
        <w:rPr>
          <w:rFonts w:ascii="DejaVu Sans" w:hAnsi="DejaVu Sans" w:eastAsia="DejaVu Sans"/>
          <w:b/>
          <w:color w:val="173A61"/>
          <w:sz w:val="50"/>
        </w:rPr>
        <w:t>БАЗОВЫЙ ПРОЕКТ KLT-RBD</w:t>
      </w:r>
    </w:p>
    <w:p>
      <w:pPr>
        <w:widowControl/>
        <w:jc w:val="center"/>
      </w:pPr>
      <w:r>
        <w:rPr>
          <w:rFonts w:ascii="DejaVu Sans" w:hAnsi="DejaVu Sans" w:eastAsia="DejaVu Sans"/>
          <w:b/>
          <w:color w:val="A97814"/>
          <w:sz w:val="40"/>
        </w:rPr>
        <w:t>ТОМ IV</w:t>
      </w:r>
    </w:p>
    <w:p>
      <w:pPr>
        <w:widowControl/>
        <w:spacing w:before="160"/>
        <w:jc w:val="center"/>
      </w:pPr>
      <w:r>
        <w:rPr>
          <w:rFonts w:ascii="DejaVu Sans" w:hAnsi="DejaVu Sans" w:eastAsia="DejaVu Sans"/>
          <w:b/>
          <w:color w:val="173A61"/>
          <w:sz w:val="41"/>
        </w:rPr>
        <w:t>АНТРОПОЛОГИЯ ПОЗНАНИЯ И REPER</w:t>
        <w:br/>
        <w:t>РАЗВОРОТА</w:t>
      </w:r>
    </w:p>
    <w:p>
      <w:pPr>
        <w:pStyle w:val="SubtitleKLT"/>
        <w:widowControl/>
        <w:spacing w:before="140" w:after="400"/>
        <w:jc w:val="center"/>
      </w:pPr>
      <w:r>
        <w:rPr>
          <w:rFonts w:ascii="DejaVu Serif" w:hAnsi="DejaVu Serif" w:eastAsia="DejaVu Serif"/>
          <w:i/>
          <w:sz w:val="26"/>
        </w:rPr>
        <w:t>Исторические формы восприятия, феноменология, память, документ и философия естествознания</w:t>
        <w:br/>
        <w:t>Два постоянных ядра KLT-RBD и антропологический предел машинного знания</w:t>
      </w:r>
    </w:p>
    <w:p>
      <w:pPr>
        <w:widowControl/>
        <w:jc w:val="center"/>
      </w:pPr>
      <w:r>
        <w:rPr>
          <w:rFonts w:ascii="DejaVu Sans" w:hAnsi="DejaVu Sans" w:eastAsia="DejaVu Sans"/>
          <w:b/>
          <w:color w:val="214D7A"/>
          <w:sz w:val="31"/>
        </w:rPr>
        <w:t>Курпишев Иван Борисович</w:t>
      </w:r>
    </w:p>
    <w:p>
      <w:pPr>
        <w:widowControl/>
        <w:jc w:val="center"/>
      </w:pPr>
      <w:r>
        <w:rPr>
          <w:rFonts w:ascii="DejaVu Serif" w:hAnsi="DejaVu Serif" w:eastAsia="DejaVu Serif"/>
          <w:color w:val="53677D"/>
          <w:sz w:val="22"/>
        </w:rPr>
        <w:t>Независимый исследователь · Калининград · 2026</w:t>
      </w:r>
    </w:p>
    <w:p>
      <w:pPr>
        <w:widowControl/>
        <w:spacing w:before="400"/>
        <w:jc w:val="center"/>
      </w:pPr>
      <w:r>
        <w:rPr>
          <w:rFonts w:ascii="DejaVu Sans" w:hAnsi="DejaVu Sans" w:eastAsia="DejaVu Sans"/>
          <w:b/>
          <w:color w:val="1F416A"/>
          <w:sz w:val="22"/>
        </w:rPr>
        <w:t>КОНТРОЛЬНАЯ ТОЧКА T4-NATPHIL-v0.8</w:t>
      </w:r>
    </w:p>
    <w:p>
      <w:pPr>
        <w:widowControl/>
        <w:jc w:val="center"/>
      </w:pPr>
      <w:r>
        <w:rPr>
          <w:rFonts w:ascii="DejaVu Serif" w:hAnsi="DejaVu Serif" w:eastAsia="DejaVu Serif"/>
          <w:sz w:val="18"/>
        </w:rPr>
        <w:t>Философский пролог; главы 23-24; философия естествознания KLT; end-to-end антропологический оператор; publication gate; сводный маршрут к аудиту и заморозке</w:t>
      </w:r>
    </w:p>
    <w:tbl>
      <w:tblPr>
        <w:tblW w:type="auto" w:w="0"/>
        <w:jc w:val="center"/>
        <w:tblLayout w:type="fixed"/>
        <w:tblLook w:firstColumn="1" w:firstRow="1" w:lastColumn="0" w:lastRow="0" w:noHBand="0" w:noVBand="1" w:val="04A0"/>
      </w:tblPr>
      <w:tblGrid>
        <w:gridCol w:w="9638"/>
      </w:tblGrid>
      <w:tr>
        <w:trPr>
          <w:cantSplit/>
          <w:trHeight w:hRule="atLeast"/>
          <w:tblHeader w:val="true"/>
        </w:trPr>
        <w:tc>
          <w:tcPr>
            <w:tcW w:type="dxa" w:w="9865"/>
            <w:shd w:fill="F7F1DF" w:val="clear"/>
            <w:tcMar>
              <w:top w:w="90" w:type="dxa"/>
              <w:start w:w="100" w:type="dxa"/>
              <w:bottom w:w="90" w:type="dxa"/>
              <w:end w:w="100" w:type="dxa"/>
            </w:tcMar>
            <w:vAlign w:val="center"/>
            <w:tcBorders>
              <w:top w:sz="12" w:val="single" w:color="B5534B"/>
              <w:left w:sz="12" w:val="single" w:color="B5534B"/>
              <w:bottom w:sz="12" w:val="single" w:color="B5534B"/>
              <w:right w:sz="12" w:val="single" w:color="B5534B"/>
            </w:tcBorders>
          </w:tcPr>
          <w:p>
            <w:pPr>
              <w:widowControl/>
              <w:spacing w:before="0" w:after="0" w:line="252" w:lineRule="auto"/>
              <w:jc w:val="left"/>
            </w:pPr>
            <w:r>
              <w:rPr>
                <w:rFonts w:ascii="DejaVu Serif" w:hAnsi="DejaVu Serif" w:eastAsia="DejaVu Serif"/>
                <w:sz w:val="19"/>
              </w:rPr>
              <w:t>СТАТУСНЫЙ ЗАМОК. truth_layer_promotion=0. T4-NATPHIL-v0.8 завершает философско-антропологический каркас Тома IV, но не превращает философскую интерпретацию в математическое доказательство, модель в физический закон или документ в живой опыт. Научный факт, модель, объяснение, человеческое решение и машинный вывод сохраняют раздельные типы. End-to-end оператор обязан возвращать ABSTAIN при незакрытом D/Dom, повреждённом provenance, отсутствии согласия, доказательства, воспроизводимости либо ответственного субъекта.</w:t>
            </w:r>
          </w:p>
        </w:tc>
      </w:tr>
    </w:tbl>
    <w:p>
      <w:pPr>
        <w:widowControl/>
        <w:spacing w:after="0"/>
      </w:pPr>
    </w:p>
    <w:p>
      <w:pPr>
        <w:widowControl/>
      </w:pPr>
      <w:r>
        <w:br w:type="page"/>
      </w:r>
    </w:p>
    <w:p>
      <w:pPr>
        <w:pStyle w:val="Heading1"/>
        <w:keepNext/>
        <w:pageBreakBefore w:val="0"/>
        <w:widowControl/>
        <w:spacing w:before="200" w:after="100"/>
        <w:jc w:val="center"/>
      </w:pPr>
      <w:r>
        <w:t>Паспорт выпуска T4-NATPHIL-v0.8</w:t>
      </w:r>
    </w:p>
    <w:tbl>
      <w:tblPr>
        <w:tblStyle w:val="TableGrid"/>
        <w:tblW w:type="auto" w:w="0"/>
        <w:jc w:val="center"/>
        <w:tblLayout w:type="fixed"/>
        <w:tblLook w:firstColumn="1" w:firstRow="1" w:lastColumn="0" w:lastRow="0" w:noHBand="0" w:noVBand="1" w:val="04A0"/>
      </w:tblPr>
      <w:tblGrid>
        <w:gridCol w:w="2835"/>
        <w:gridCol w:w="6803"/>
      </w:tblGrid>
      <w:tr>
        <w:trPr>
          <w:trHeight w:hRule="atLeast"/>
          <w:tblHeader w:val="true"/>
          <w:cantSplit/>
        </w:trPr>
        <w:tc>
          <w:tcPr>
            <w:tcW w:type="dxa" w:w="2376"/>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erif" w:hAnsi="DejaVu Serif" w:eastAsia="DejaVu Serif"/>
                <w:b w:val="0"/>
                <w:color w:val="FFFFFF"/>
                <w:sz w:val="17"/>
              </w:rPr>
              <w:t>Поле</w:t>
            </w:r>
          </w:p>
        </w:tc>
        <w:tc>
          <w:tcPr>
            <w:tcW w:type="dxa" w:w="6624"/>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erif" w:hAnsi="DejaVu Serif" w:eastAsia="DejaVu Serif"/>
                <w:b w:val="0"/>
                <w:color w:val="FFFFFF"/>
                <w:sz w:val="17"/>
              </w:rPr>
              <w:t>Зафиксированное значение</w:t>
            </w:r>
          </w:p>
        </w:tc>
      </w:tr>
      <w:tr>
        <w:trPr>
          <w:cantSplit/>
          <w:trHeight w:hRule="atLeast"/>
        </w:trPr>
        <w:tc>
          <w:tcPr>
            <w:tcW w:type="dxa" w:w="2376"/>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7"/>
              </w:rPr>
              <w:t>Автор</w:t>
            </w:r>
          </w:p>
        </w:tc>
        <w:tc>
          <w:tcPr>
            <w:tcW w:type="dxa" w:w="662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7"/>
              </w:rPr>
              <w:t>Курпишев Иван Борисович</w:t>
            </w:r>
          </w:p>
        </w:tc>
      </w:tr>
      <w:tr>
        <w:trPr>
          <w:cantSplit/>
          <w:trHeight w:hRule="atLeast"/>
        </w:trPr>
        <w:tc>
          <w:tcPr>
            <w:tcW w:type="dxa" w:w="2376"/>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7"/>
              </w:rPr>
              <w:t>Проект</w:t>
            </w:r>
          </w:p>
        </w:tc>
        <w:tc>
          <w:tcPr>
            <w:tcW w:type="dxa" w:w="6624"/>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7"/>
              </w:rPr>
              <w:t>ЛОГИКА КУРПИШЕВА 2 · Базовый проект KLT-RBD</w:t>
            </w:r>
          </w:p>
        </w:tc>
      </w:tr>
      <w:tr>
        <w:trPr>
          <w:cantSplit/>
          <w:trHeight w:hRule="atLeast"/>
        </w:trPr>
        <w:tc>
          <w:tcPr>
            <w:tcW w:type="dxa" w:w="2376"/>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7"/>
              </w:rPr>
              <w:t>Том</w:t>
            </w:r>
          </w:p>
        </w:tc>
        <w:tc>
          <w:tcPr>
            <w:tcW w:type="dxa" w:w="662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7"/>
              </w:rPr>
              <w:t>IV · Антропология познания и Reper разворота</w:t>
            </w:r>
          </w:p>
        </w:tc>
      </w:tr>
      <w:tr>
        <w:trPr>
          <w:cantSplit/>
          <w:trHeight w:hRule="atLeast"/>
        </w:trPr>
        <w:tc>
          <w:tcPr>
            <w:tcW w:type="dxa" w:w="2376"/>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7"/>
              </w:rPr>
              <w:t>Контрольная точка</w:t>
            </w:r>
          </w:p>
        </w:tc>
        <w:tc>
          <w:tcPr>
            <w:tcW w:type="dxa" w:w="6624"/>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r>
              <w:rPr>
                <w:rFonts w:ascii="DejaVu Serif" w:hAnsi="DejaVu Serif" w:eastAsia="DejaVu Serif"/>
                <w:b w:val="0"/>
                <w:sz w:val="17"/>
              </w:rPr>
              <w:t>T4-NATPHIL-v0.8</w:t>
            </w:r>
          </w:p>
        </w:tc>
      </w:tr>
      <w:tr>
        <w:trPr>
          <w:cantSplit/>
          <w:trHeight w:hRule="atLeast"/>
        </w:trPr>
        <w:tc>
          <w:tcPr>
            <w:tcW w:type="dxa" w:w="2376"/>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7"/>
              </w:rPr>
              <w:t>Предыдущая точка</w:t>
            </w:r>
          </w:p>
        </w:tc>
        <w:tc>
          <w:tcPr>
            <w:tcW w:type="dxa" w:w="662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r>
              <w:rPr>
                <w:rFonts w:ascii="DejaVu Serif" w:hAnsi="DejaVu Serif" w:eastAsia="DejaVu Serif"/>
                <w:b w:val="0"/>
                <w:sz w:val="17"/>
              </w:rPr>
              <w:t>T4-KERN-RBD-v0.7</w:t>
            </w:r>
          </w:p>
        </w:tc>
      </w:tr>
      <w:tr>
        <w:trPr>
          <w:cantSplit/>
          <w:trHeight w:hRule="atLeast"/>
        </w:trPr>
        <w:tc>
          <w:tcPr>
            <w:tcW w:type="dxa" w:w="2376"/>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7"/>
              </w:rPr>
              <w:t>Канонические нулевые точки</w:t>
            </w:r>
          </w:p>
        </w:tc>
        <w:tc>
          <w:tcPr>
            <w:tcW w:type="dxa" w:w="6624"/>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7"/>
              </w:rPr>
              <w:t>Том I v197 RU; Том II T2-FREEZE-v1.0; действующая ветвь Тома III</w:t>
            </w:r>
          </w:p>
        </w:tc>
      </w:tr>
      <w:tr>
        <w:trPr>
          <w:cantSplit/>
          <w:trHeight w:hRule="atLeast"/>
        </w:trPr>
        <w:tc>
          <w:tcPr>
            <w:tcW w:type="dxa" w:w="2376"/>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7"/>
              </w:rPr>
              <w:t>Предмет выпуска</w:t>
            </w:r>
          </w:p>
        </w:tc>
        <w:tc>
          <w:tcPr>
            <w:tcW w:type="dxa" w:w="662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r>
              <w:rPr>
                <w:rFonts w:ascii="DejaVu Serif" w:hAnsi="DejaVu Serif" w:eastAsia="DejaVu Serif"/>
                <w:b w:val="0"/>
                <w:sz w:val="17"/>
              </w:rPr>
              <w:t>Максимальное философско-антропологическое усиление начала Тома IV; главы 23-24 о философии естествознания KLT, редукции, научном объяснении, end-to-end антропологическом операторе, publication gate и переходе к Тому V.</w:t>
            </w:r>
          </w:p>
        </w:tc>
      </w:tr>
      <w:tr>
        <w:trPr>
          <w:cantSplit/>
          <w:trHeight w:hRule="atLeast"/>
        </w:trPr>
        <w:tc>
          <w:tcPr>
            <w:tcW w:type="dxa" w:w="2376"/>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7"/>
              </w:rPr>
              <w:t>Формальный статус</w:t>
            </w:r>
          </w:p>
        </w:tc>
        <w:tc>
          <w:tcPr>
            <w:tcW w:type="dxa" w:w="6624"/>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r>
              <w:rPr>
                <w:rFonts w:ascii="DejaVu Serif" w:hAnsi="DejaVu Serif" w:eastAsia="DejaVu Serif"/>
                <w:b w:val="0"/>
                <w:sz w:val="17"/>
              </w:rPr>
              <w:t>DEF / AXIOM / PROP / THM-FORMAL / COND / MODEL / HERM. Теоремы действуют только внутри объявленных типов и Dom; естественно-научные и антропологические мосты сохраняют собственные статусы.</w:t>
            </w:r>
          </w:p>
        </w:tc>
      </w:tr>
      <w:tr>
        <w:trPr>
          <w:cantSplit/>
          <w:trHeight w:hRule="atLeast"/>
        </w:trPr>
        <w:tc>
          <w:tcPr>
            <w:tcW w:type="dxa" w:w="2376"/>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7"/>
              </w:rPr>
              <w:t>Антропологический статус</w:t>
            </w:r>
          </w:p>
        </w:tc>
        <w:tc>
          <w:tcPr>
            <w:tcW w:type="dxa" w:w="662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r>
              <w:rPr>
                <w:rFonts w:ascii="DejaVu Serif" w:hAnsi="DejaVu Serif" w:eastAsia="DejaVu Serif"/>
                <w:b w:val="0"/>
                <w:sz w:val="17"/>
              </w:rPr>
              <w:t>AUTHORIAL PHILOSOPHICAL-ANTHROPOLOGICAL SYNTHESIS. Человек рассматривается как телесный, исторический, языковой и ответственный Reper разворота; ни один формальный оператор не объявляется полным эквивалентом живого опыта или достоинства субъекта.</w:t>
            </w:r>
          </w:p>
        </w:tc>
      </w:tr>
      <w:tr>
        <w:trPr>
          <w:cantSplit/>
          <w:trHeight w:hRule="atLeast"/>
        </w:trPr>
        <w:tc>
          <w:tcPr>
            <w:tcW w:type="dxa" w:w="2376"/>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7"/>
              </w:rPr>
              <w:t>Эмпирический статус</w:t>
            </w:r>
          </w:p>
        </w:tc>
        <w:tc>
          <w:tcPr>
            <w:tcW w:type="dxa" w:w="6624"/>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r>
              <w:rPr>
                <w:rFonts w:ascii="DejaVu Serif" w:hAnsi="DejaVu Serif" w:eastAsia="DejaVu Serif"/>
                <w:b w:val="0"/>
                <w:sz w:val="17"/>
              </w:rPr>
              <w:t>EMP-OBS отсутствует для философско-антропологических моделей, KLT world function и универсального end-to-end применения. Предметные EXT-RUN и независимый аудит остаются OPEN.</w:t>
            </w:r>
          </w:p>
        </w:tc>
      </w:tr>
      <w:tr>
        <w:trPr>
          <w:cantSplit/>
          <w:trHeight w:hRule="atLeast"/>
        </w:trPr>
        <w:tc>
          <w:tcPr>
            <w:tcW w:type="dxa" w:w="2376"/>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7"/>
              </w:rPr>
              <w:t>Закрытые обязательства</w:t>
            </w:r>
          </w:p>
        </w:tc>
        <w:tc>
          <w:tcPr>
            <w:tcW w:type="dxa" w:w="662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r>
              <w:rPr>
                <w:rFonts w:ascii="DejaVu Serif" w:hAnsi="DejaVu Serif" w:eastAsia="DejaVu Serif"/>
                <w:b w:val="0"/>
                <w:sz w:val="17"/>
              </w:rPr>
              <w:t>Закрыты формальные обязательства T4-NAT-PO-001-012 и T4-E2E-PO-001-011; открыты эмпирические, программные, юридические, этические и независимые проверки, перечисленные в реестре блокеров.</w:t>
            </w:r>
          </w:p>
        </w:tc>
      </w:tr>
      <w:tr>
        <w:trPr>
          <w:cantSplit/>
          <w:trHeight w:hRule="atLeast"/>
        </w:trPr>
        <w:tc>
          <w:tcPr>
            <w:tcW w:type="dxa" w:w="2376"/>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7"/>
              </w:rPr>
              <w:t>Следующая точка</w:t>
            </w:r>
          </w:p>
        </w:tc>
        <w:tc>
          <w:tcPr>
            <w:tcW w:type="dxa" w:w="6624"/>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r>
              <w:rPr>
                <w:rFonts w:ascii="DejaVu Serif" w:hAnsi="DejaVu Serif" w:eastAsia="DejaVu Serif"/>
                <w:b w:val="0"/>
                <w:sz w:val="17"/>
              </w:rPr>
              <w:t>T4-AUDIT-v0.9 · сквозной философско-математический аудит, устранение дубликатов, библиографическая проверка, формульная синхронизация и freeze-candidate.</w:t>
            </w:r>
          </w:p>
        </w:tc>
      </w:tr>
    </w:tbl>
    <w:p>
      <w:pPr>
        <w:widowControl/>
        <w:spacing w:after="20"/>
      </w:pPr>
    </w:p>
    <w:tbl>
      <w:tblPr>
        <w:tblW w:type="auto" w:w="0"/>
        <w:jc w:val="center"/>
        <w:tblLayout w:type="fixed"/>
        <w:tblLook w:firstColumn="1" w:firstRow="1" w:lastColumn="0" w:lastRow="0" w:noHBand="0" w:noVBand="1" w:val="04A0"/>
      </w:tblPr>
      <w:tblGrid>
        <w:gridCol w:w="9638"/>
      </w:tblGrid>
      <w:tr>
        <w:trPr>
          <w:cantSplit/>
          <w:trHeight w:hRule="atLeast"/>
          <w:tblHeader w:val="true"/>
        </w:trPr>
        <w:tc>
          <w:tcPr>
            <w:tcW w:type="dxa" w:w="9865"/>
            <w:shd w:fill="EAF0F7" w:val="clear"/>
            <w:tcMar>
              <w:top w:w="90" w:type="dxa"/>
              <w:start w:w="100" w:type="dxa"/>
              <w:bottom w:w="90" w:type="dxa"/>
              <w:end w:w="100" w:type="dxa"/>
            </w:tcMar>
            <w:vAlign w:val="center"/>
            <w:tcBorders>
              <w:top w:sz="12" w:val="single" w:color="A97825"/>
              <w:left w:sz="12" w:val="single" w:color="A97825"/>
              <w:bottom w:sz="12" w:val="single" w:color="A97825"/>
              <w:right w:sz="12" w:val="single" w:color="A97825"/>
            </w:tcBorders>
          </w:tcPr>
          <w:p>
            <w:pPr>
              <w:widowControl/>
              <w:spacing w:before="0" w:after="0" w:line="252" w:lineRule="auto"/>
              <w:jc w:val="left"/>
            </w:pPr>
            <w:r>
              <w:rPr>
                <w:rFonts w:ascii="DejaVu Serif" w:hAnsi="DejaVu Serif" w:eastAsia="DejaVu Serif"/>
                <w:sz w:val="19"/>
              </w:rPr>
              <w:t>ПРИНЯТОЕ РЕШЕНИЕ. Том IV является антропологическим контрольным слоем всей архитектуры KLT-RBD. Он обязан не только описывать человека как Human_R, но и проверять, какие смысловые, телесные, исторические, этические и ответственные отношения теряются при переходе к формуле, документу, базе данных или алгоритму. Поэтому завершение Тома IV строится вокруг принципа антропологического остатка, философии естествознания и права системы на ABSTAIN.</w:t>
            </w:r>
          </w:p>
        </w:tc>
      </w:tr>
    </w:tbl>
    <w:p>
      <w:pPr>
        <w:widowControl/>
        <w:spacing w:after="0"/>
      </w:pPr>
    </w:p>
    <w:p>
      <w:bookmarkStart w:id="101" w:name="abstract"/>
      <w:pPr>
        <w:pStyle w:val="Heading1"/>
        <w:keepNext/>
        <w:pageBreakBefore w:val="0"/>
        <w:widowControl/>
        <w:spacing w:before="200" w:after="100"/>
      </w:pPr>
      <w:r>
        <w:rPr>
          <w:rFonts w:ascii="DejaVu Sans" w:hAnsi="DejaVu Sans" w:eastAsia="DejaVu Sans"/>
          <w:b/>
          <w:color w:val="173A61"/>
          <w:sz w:val="35"/>
        </w:rPr>
        <w:t>Аннотация</w:t>
      </w:r>
      <w:bookmarkEnd w:id="101"/>
    </w:p>
    <w:p>
      <w:pPr>
        <w:keepLines w:val="0"/>
        <w:widowControl/>
        <w:spacing w:after="80" w:before="0" w:line="269" w:lineRule="auto"/>
        <w:ind w:firstLine="425"/>
        <w:jc w:val="both"/>
      </w:pPr>
      <w:r>
        <w:rPr>
          <w:rFonts w:ascii="DejaVu Serif" w:hAnsi="DejaVu Serif" w:eastAsia="DejaVu Serif"/>
          <w:i w:val="0"/>
          <w:color w:val="1A2433"/>
          <w:sz w:val="21"/>
        </w:rPr>
        <w:t>Настоящая контрольная редакция формализует начальное ядро Тома IV многотомной монографии «Базовый проект KLT-RBD». Введена антропологическая доменная сигнатура Ω_h, различены минимальная единица C@C_h^0=(event,state) и её свидетельственно-контекстуальное декорирование, определён тип Human_R как зависимая запись, а не как арифметическая сумма. Операторы действия Δ_h, изменения Ξ_h и разворота Υ_h помещены в категорию частичных отображений, для них заданы области определения и значения, условия композиции и totalization через ABSTAIN.</w:t>
      </w:r>
    </w:p>
    <w:p>
      <w:pPr>
        <w:keepLines w:val="0"/>
        <w:widowControl/>
        <w:spacing w:after="80" w:before="0" w:line="269" w:lineRule="auto"/>
        <w:ind w:firstLine="425"/>
        <w:jc w:val="both"/>
      </w:pPr>
      <w:r>
        <w:rPr>
          <w:rFonts w:ascii="DejaVu Serif" w:hAnsi="DejaVu Serif" w:eastAsia="DejaVu Serif"/>
          <w:i w:val="0"/>
          <w:color w:val="1A2433"/>
          <w:sz w:val="21"/>
        </w:rPr>
        <w:t>Проективно-гармонический канал λ_h разрешён только после явного кодирования компонентов Reper_h в одну проектную прямую и проверки знаменателей. Поэтому λ_h не вычисляется автоматически для философских или биографических понятий. Построены семь контрмоделей: коллапс события без состояния, конфликт свидетелей, зависимость от D, отсутствие проектного кодирования, смешение операторов, повышение статуса по максимуму и произвольная перепись прошлого.</w:t>
      </w:r>
    </w:p>
    <w:p>
      <w:pPr>
        <w:keepLines w:val="0"/>
        <w:widowControl/>
        <w:spacing w:after="80" w:before="0" w:line="269" w:lineRule="auto"/>
        <w:ind w:firstLine="425"/>
        <w:jc w:val="both"/>
      </w:pPr>
      <w:r>
        <w:rPr>
          <w:rFonts w:ascii="DejaVu Serif" w:hAnsi="DejaVu Serif" w:eastAsia="DejaVu Serif"/>
          <w:i w:val="0"/>
          <w:color w:val="1A2433"/>
          <w:sz w:val="21"/>
        </w:rPr>
        <w:t>Результаты имеют формальный статус внутри авторской модельной архитектуры Курпишева Ивана Борисовича. Они не являются эмпирической психологией, клинической диагностикой, юридической квалификацией или универсальной теорией человека. Классические кросс-соотношение, теория категорий частичных отображений, графы происхождения данных и философские источники рассматриваются как prior art; авторской является их пакетно-реперная композиция в Human_R и blocker-safe дисциплина антропологического вывода.</w:t>
      </w:r>
    </w:p>
    <w:p>
      <w:pPr>
        <w:widowControl/>
      </w:pPr>
      <w:r>
        <w:rPr>
          <w:rFonts w:ascii="DejaVu Serif" w:hAnsi="DejaVu Serif" w:eastAsia="DejaVu Serif"/>
          <w:b w:val="0"/>
          <w:i w:val="0"/>
          <w:color w:val="1A2433"/>
          <w:sz w:val="21"/>
        </w:rPr>
        <w:t>Новая стадия принимает авторский тезис Курпишева: свобода воли не отменяет причинность, а локально порождает антропогенную причинную ветвь. Строгая редакция различает три операции — оценивание альтернатив, выбор/селекцию и начало действия. Лишь последняя относится к оператору Δ_h. Проективная «дырка» трактуется не как буквальная пустота в материи, а как новое направление в проектном завершении локального пространства состояний, не порождённое объявленным эндогенным конусом Ξ.</w:t>
      </w:r>
    </w:p>
    <w:p>
      <w:pPr>
        <w:widowControl/>
      </w:pPr>
      <w:r>
        <w:rPr>
          <w:rFonts w:ascii="DejaVu Serif" w:hAnsi="DejaVu Serif" w:eastAsia="DejaVu Serif"/>
          <w:b w:val="0"/>
          <w:i w:val="0"/>
          <w:color w:val="1A2433"/>
          <w:sz w:val="21"/>
        </w:rPr>
        <w:t>Феноменологический образ «следа ножа на воде» превращён в условную динамическую модель отклонения H_Δ(t) между вмешанной и базовой траекториями. Экспоненциальное затухание доказано только при положительной интенсивности Разворота и отсутствии подпитки. В инерциальном, консервативном или поддерживаемом домене такой вывод запрещён. Для шести качественных выводов найден библиографический указатель на книгу В. И. Арнольда «Теория катастроф» (Наука, 1990, с. 98-102). Профиль AK-6 теперь явно разделяет авторский слой Арнольда и усиления Курпишева; первичный скан страниц остаётся к сверке.</w:t>
      </w:r>
    </w:p>
    <w:p>
      <w:pPr>
        <w:widowControl/>
      </w:pPr>
      <w:r>
        <w:t>Стадия v0.5 принимает авторскую заметку Курпишева о R−1, кососимметричном понимании причинности и «Загадке Еноха» как первичный проектный источник T4-SRC-016. Ранее существовавшая английская редакция уже содержала «Feathers as Skew-Symmetric Tensors», daemon-gap и формулу перехода R−1→R−02; новая русская редакция не копирует её, а впервые даёт полную матричную теорему, доказательство рангового свойства, минимальную факторизацию через опорный слой и строгие отрицательные результаты.</w:t>
      </w:r>
    </w:p>
    <w:p>
      <w:pPr>
        <w:widowControl/>
      </w:pPr>
      <w:r>
        <w:t>Леви-Брюлевское различение пра-логической и отвлечённой мысли используется исторически и критически. Поздние «Записные книжки» Леви-Брюля отказываются от тезиса об иной логической структуре человеческого ума; поэтому R-режимы трактуются не как лестница «низших» и «высших» народов, а как типы ориентации, замыкания и достаточного основания, способные сосуществовать. Теологические образы Еноха, Моисея, Христа и Сатаны помещены в слой HERM-MODEL и не выдаются за исторические факты или математические теоремы.</w:t>
      </w:r>
    </w:p>
    <w:p>
      <w:pPr>
        <w:keepNext w:val="0"/>
        <w:widowControl/>
        <w:spacing w:after="80" w:line="269" w:lineRule="auto"/>
      </w:pPr>
      <w:r>
        <w:rPr>
          <w:rFonts w:ascii="DejaVu Serif" w:hAnsi="DejaVu Serif" w:eastAsia="DejaVu Serif"/>
          <w:b w:val="0"/>
          <w:i w:val="0"/>
          <w:color w:val="1A2433"/>
          <w:sz w:val="21"/>
        </w:rPr>
        <w:t>Стадия v0.6 закрепляет философскую подачу как отличительную форму Тома IV. Здесь философия не служит орнаментом вокруг формул. Она выполняет три строгие функции: выявляет, какой объект считается существующим; показывает, каким образом он может быть познан; и удерживает границу между живым опытом, его понятийным образом, документом и вычислительной моделью. Поэтому главы 17-20 строятся в единой последовательности: философский пролог → типизированное определение → математическое обязательство → контрмодель → граница вывода → философское следствие.</w:t>
      </w:r>
    </w:p>
    <w:tbl>
      <w:tblPr>
        <w:tblW w:type="auto" w:w="0"/>
        <w:jc w:val="center"/>
        <w:tblLayout w:type="fixed"/>
        <w:tblLook w:firstColumn="1" w:firstRow="1" w:lastColumn="0" w:lastRow="0" w:noHBand="0" w:noVBand="1" w:val="04A0"/>
      </w:tblPr>
      <w:tblGrid>
        <w:gridCol w:w="9432"/>
      </w:tblGrid>
      <w:tr>
        <w:trPr>
          <w:cantSplit w:val="true"/>
          <w:trHeight w:hRule="atLeast"/>
        </w:trPr>
        <w:tc>
          <w:tcPr>
            <w:tcW w:type="dxa" w:w="9432"/>
            <w:vAlign w:val="center"/>
            <w:shd w:fill="F7F1DF" w:val="clear"/>
            <w:tcBorders>
              <w:top w:val="single" w:sz="12" w:color="A87B20"/>
              <w:left w:val="single" w:sz="12" w:color="A87B20"/>
              <w:bottom w:val="single" w:sz="12" w:color="A87B20"/>
              <w:right w:val="single" w:sz="12" w:color="A87B20"/>
            </w:tcBorders>
            <w:tcMar>
              <w:top w:w="90" w:type="dxa"/>
              <w:start w:w="100" w:type="dxa"/>
              <w:bottom w:w="90" w:type="dxa"/>
              <w:end w:w="100" w:type="dxa"/>
            </w:tcMar>
          </w:tcPr>
          <w:p>
            <w:pPr>
              <w:widowControl/>
              <w:spacing w:before="0" w:after="0" w:line="252" w:lineRule="auto"/>
              <w:jc w:val="left"/>
            </w:pPr>
            <w:r/>
            <w:r>
              <w:rPr>
                <w:rFonts w:ascii="DejaVu Serif" w:hAnsi="DejaVu Serif" w:eastAsia="DejaVu Serif"/>
                <w:b/>
                <w:i w:val="0"/>
                <w:color w:val="8B6508"/>
                <w:sz w:val="18"/>
              </w:rPr>
              <w:t>ФИЛОСОФСКАЯ РЕДАКЦИОННАЯ НОРМА v0.7</w:t>
              <w:br/>
              <w:t>Том IV начинается не с перечисления терминов, а с вопроса о том, как мир становится событием для наблюдателя. Первое ядро выражает генезис: событие возникает из вариации Хода Времени, метрики Размера и потенциала Перехода. Второе выражает тождество: событие остаётся тем же сквозь допустимые преобразования и достигает механического замыкания. Каждая последующая глава обязана показывать, как эти два момента - становление и сохранение - редуцируются в человеке, языке, памяти, документе и машине.</w:t>
            </w:r>
          </w:p>
        </w:tc>
      </w:tr>
    </w:tbl>
    <w:p>
      <w:pPr>
        <w:widowControl/>
      </w:pPr>
      <w:r>
        <w:t>Стадия v0.7 возвращается к началу Тома IV и устанавливает его философско-аксиоматическую ось. Авторская формула «einen bleibenden Kern» используется здесь как название постоянного ядра проекта, а не как цитата из Гильберта. Исторические аксиомы I-II из «Оснований физики» Гильберта сохраняются как prior art: стационарность мировой функции и общая инвариантность. Новым проектным тезисом является их включение в более широкую пакетно-стратифицированную схему, где мировая функция сама получает генезис из Θ_K, g_K и A_K, а инвариантность действует в допустимой группоиде пакетных преобразований.</w:t>
      </w:r>
    </w:p>
    <w:p>
      <w:pPr/>
      <w:r>
        <w:rPr>
          <w:rFonts w:ascii="DejaVu Serif" w:hAnsi="DejaVu Serif" w:eastAsia="DejaVu Serif"/>
          <w:sz w:val="21"/>
        </w:rPr>
        <w:t>Стадия v0.8 доводит эту линию до философско-антропологического завершения. В начале Тома помещён новый пролог «Человек как место, где мир становится вопросом»; в главе 23 естествознание описано как типизированный цикл мир - наблюдатель - прибор - запись - модель - объяснение - проверка - действие; в главе 24 построен end-to-end антропологический оператор и publication gate. Новизна состоит не в переименовании классических философских тем, а в их соединении с C@C, Human_R, D/Dom, provenance, остатком редукции, status firewall и вычислимой семантикой ABSTAIN.</w:t>
      </w:r>
    </w:p>
    <w:p>
      <w:pPr>
        <w:pStyle w:val="Heading1"/>
      </w:pPr>
      <w:r>
        <w:t>ФИЛОСОФСКИЙ ПРОЛОГ. ЧЕЛОВЕК КАК МЕСТО, ГДЕ МИР СТАНОВИТСЯ ВОПРОСОМ</w:t>
      </w:r>
    </w:p>
    <w:tbl>
      <w:tblPr>
        <w:tblStyle w:val="TableGrid"/>
        <w:tblW w:type="auto" w:w="0"/>
        <w:jc w:val="center"/>
        <w:tblLayout w:type="fixed"/>
        <w:tblLook w:firstColumn="1" w:firstRow="1" w:lastColumn="0" w:lastRow="0" w:noHBand="0" w:noVBand="1" w:val="04A0"/>
      </w:tblPr>
      <w:tblGrid>
        <w:gridCol w:w="9865"/>
      </w:tblGrid>
      <w:tr>
        <w:tc>
          <w:tcPr>
            <w:tcW w:type="dxa" w:w="9720"/>
            <w:shd w:fill="FFF8E8"/>
            <w:tcMar>
              <w:top w:w="90" w:type="dxa"/>
              <w:start w:w="100" w:type="dxa"/>
              <w:bottom w:w="90" w:type="dxa"/>
              <w:end w:w="100" w:type="dxa"/>
            </w:tcMar>
            <w:vAlign w:val="center"/>
          </w:tcPr>
          <w:p>
            <w:r>
              <w:rPr>
                <w:rFonts w:ascii="DejaVu Serif" w:hAnsi="DejaVu Serif" w:eastAsia="DejaVu Serif"/>
                <w:b/>
                <w:color w:val="1F416A"/>
                <w:sz w:val="20"/>
              </w:rPr>
              <w:t>СТАТУС ПРОЛОГА.</w:t>
            </w:r>
            <w:r>
              <w:rPr>
                <w:rFonts w:ascii="DejaVu Serif" w:hAnsi="DejaVu Serif" w:eastAsia="DejaVu Serif"/>
                <w:sz w:val="20"/>
              </w:rPr>
              <w:t xml:space="preserve"> Это авторский философско-антропологический синтез Курпишева Ивана Борисовича. Он задаёт смысловой горизонт математических конструкций Тома IV, но не подменяет психологическое исследование, историческую реконструкцию, богословское утверждение или физический эксперимент.</w:t>
            </w:r>
          </w:p>
        </w:tc>
      </w:tr>
    </w:tbl>
    <w:p>
      <w:pPr>
        <w:pStyle w:val="Heading2"/>
      </w:pPr>
      <w:r>
        <w:t>ФП.1. Мир до объекта</w:t>
      </w:r>
    </w:p>
    <w:p>
      <w:r>
        <w:rPr>
          <w:rFonts w:ascii="DejaVu Serif" w:hAnsi="DejaVu Serif" w:eastAsia="DejaVu Serif"/>
          <w:sz w:val="21"/>
        </w:rPr>
        <w:t>Естествознание обычно начинает с объекта, который уже выделен, назван и помещён в координатную систему. Антропология познания должна сделать шаг раньше: спросить, при каких условиях вообще появляется различие между «миром», «объектом», «наблюдением» и «утверждением об объекте». В KLT-RBD исходной единицей остаётся C@C — событие@состояние. Но для человека событие никогда не дано вне тела, времени, языка, памяти, пределов и достаточного основания. Мир не производится человеческим сознанием из ничего; одновременно он не входит в знание без среза, различения и записи.</w:t>
      </w:r>
    </w:p>
    <w:tbl>
      <w:tblPr>
        <w:tblStyle w:val="TableGrid"/>
        <w:tblW w:type="auto" w:w="0"/>
        <w:jc w:val="center"/>
        <w:tblLayout w:type="fixed"/>
        <w:tblLook w:firstColumn="1" w:firstRow="1" w:lastColumn="0" w:lastRow="0" w:noHBand="0" w:noVBand="1" w:val="04A0"/>
      </w:tblPr>
      <w:tblGrid>
        <w:gridCol w:w="4932"/>
        <w:gridCol w:w="4932"/>
      </w:tblGrid>
      <w:t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World_h = (C@C_world, Body_h, Horizon_h, Language_h, Memory_h; D_h, L_h, σ_h)</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T4-F201</w:t>
              <w:br/>
              <w:t>ARCH/HERM</w:t>
            </w:r>
          </w:p>
        </w:tc>
      </w:tr>
    </w:tbl>
    <w:p>
      <w:r>
        <w:rPr>
          <w:rFonts w:ascii="DejaVu Serif" w:hAnsi="DejaVu Serif" w:eastAsia="DejaVu Serif"/>
          <w:sz w:val="21"/>
        </w:rPr>
        <w:t>Эта запись не определяет мир как человеческую конструкцию. Она определяет мир-для-исследования: тот слой реальности, который вступил в отношение с конкретным наблюдателем и получил доказательный адрес. Тем самым преодолеваются две крайности. Наивный реализм забывает условия явления объекта; радикальный конструктивизм забывает сопротивление мира. KLT-позиция удерживает оба полюса: событие не зависит от произвола наблюдателя, но знание о событии зависит от способа его встречи, различения и обоснования.</w:t>
      </w:r>
    </w:p>
    <w:p>
      <w:pPr>
        <w:pStyle w:val="Heading2"/>
      </w:pPr>
      <w:r>
        <w:t>ФП.2. Человек как Складка мира</w:t>
      </w:r>
    </w:p>
    <w:p>
      <w:r>
        <w:rPr>
          <w:rFonts w:ascii="DejaVu Serif" w:hAnsi="DejaVu Serif" w:eastAsia="DejaVu Serif"/>
          <w:sz w:val="21"/>
        </w:rPr>
        <w:t>Человек не вводится как геометрический центр ФОС и не объявляется мерой всего существующего. Он понимается как локальная Складка: место, где мировое событие становится ощущением, вопросом, именем, действием, воспоминанием и ответственностью. Такая Складка не замыкает мир в сознании; она открывает возможность обратного хода — от восприятия к действию, от действия к изменению мира, от изменения к памяти и новому основанию.</w:t>
      </w:r>
    </w:p>
    <w:tbl>
      <w:tblPr>
        <w:tblStyle w:val="TableGrid"/>
        <w:tblW w:type="auto" w:w="0"/>
        <w:jc w:val="center"/>
        <w:tblLayout w:type="fixed"/>
        <w:tblLook w:firstColumn="1" w:firstRow="1" w:lastColumn="0" w:lastRow="0" w:noHBand="0" w:noVBand="1" w:val="04A0"/>
      </w:tblPr>
      <w:tblGrid>
        <w:gridCol w:w="4932"/>
        <w:gridCol w:w="4932"/>
      </w:tblGrid>
      <w:t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Fold_h : C@C_world × Horizon_h ⇀ C@C_human</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T4-F202</w:t>
              <w:br/>
              <w:t>MODEL/HERM</w:t>
            </w:r>
          </w:p>
        </w:tc>
      </w:tr>
    </w:tbl>
    <w:p>
      <w:r>
        <w:rPr>
          <w:rFonts w:ascii="DejaVu Serif" w:hAnsi="DejaVu Serif" w:eastAsia="DejaVu Serif"/>
          <w:sz w:val="21"/>
        </w:rPr>
        <w:t>Частичность оператора существенна. Не всякое мировое событие доступно наблюдателю; не всякое переживание получает язык; не всякая запись сохраняет переживание; не всякое воспоминание имеет достаточное основание. Поэтому антропология KLT начинается не с обещания полного знания, а с карты доступности и недоступности.</w:t>
      </w:r>
    </w:p>
    <w:p>
      <w:pPr>
        <w:pStyle w:val="Heading2"/>
      </w:pPr>
      <w:r>
        <w:t>ФП.3. Семь антропологических констант</w:t>
      </w:r>
    </w:p>
    <w:tbl>
      <w:tblPr>
        <w:tblStyle w:val="TableGrid"/>
        <w:tblW w:type="auto" w:w="0"/>
        <w:jc w:val="center"/>
        <w:tblLayout w:type="fixed"/>
        <w:tblLook w:firstColumn="1" w:firstRow="1" w:lastColumn="0" w:lastRow="0" w:noHBand="0" w:noVBand="1" w:val="04A0"/>
      </w:tblPr>
      <w:tblGrid>
        <w:gridCol w:w="3288"/>
        <w:gridCol w:w="3288"/>
        <w:gridCol w:w="3288"/>
      </w:tblGrid>
      <w:tr>
        <w:trPr>
          <w:tblHeader w:val="true"/>
        </w:trPr>
        <w:tc>
          <w:tcPr>
            <w:tcW w:type="dxa" w:w="1655"/>
            <w:tcMar>
              <w:top w:w="90" w:type="dxa"/>
              <w:start w:w="100" w:type="dxa"/>
              <w:bottom w:w="90" w:type="dxa"/>
              <w:end w:w="100" w:type="dxa"/>
            </w:tcMar>
            <w:vAlign w:val="center"/>
            <w:shd w:fill="1F416A"/>
          </w:tcPr>
          <w:p>
            <w:pPr>
              <w:jc w:val="center"/>
            </w:pPr>
            <w:r>
              <w:rPr>
                <w:rFonts w:ascii="DejaVu Serif" w:hAnsi="DejaVu Serif" w:eastAsia="DejaVu Serif"/>
                <w:b/>
                <w:color w:val="FFFFFF"/>
                <w:sz w:val="16"/>
              </w:rPr>
              <w:t>Константа</w:t>
            </w:r>
          </w:p>
        </w:tc>
        <w:tc>
          <w:tcPr>
            <w:tcW w:type="dxa" w:w="4680"/>
            <w:tcMar>
              <w:top w:w="90" w:type="dxa"/>
              <w:start w:w="100" w:type="dxa"/>
              <w:bottom w:w="90" w:type="dxa"/>
              <w:end w:w="100" w:type="dxa"/>
            </w:tcMar>
            <w:vAlign w:val="center"/>
            <w:shd w:fill="1F416A"/>
          </w:tcPr>
          <w:p>
            <w:pPr>
              <w:jc w:val="left"/>
            </w:pPr>
            <w:r>
              <w:rPr>
                <w:rFonts w:ascii="DejaVu Serif" w:hAnsi="DejaVu Serif" w:eastAsia="DejaVu Serif"/>
                <w:b/>
                <w:color w:val="FFFFFF"/>
                <w:sz w:val="16"/>
              </w:rPr>
              <w:t>Философский смысл</w:t>
            </w:r>
          </w:p>
        </w:tc>
        <w:tc>
          <w:tcPr>
            <w:tcW w:type="dxa" w:w="3528"/>
            <w:tcMar>
              <w:top w:w="90" w:type="dxa"/>
              <w:start w:w="100" w:type="dxa"/>
              <w:bottom w:w="90" w:type="dxa"/>
              <w:end w:w="100" w:type="dxa"/>
            </w:tcMar>
            <w:vAlign w:val="center"/>
            <w:shd w:fill="1F416A"/>
          </w:tcPr>
          <w:p>
            <w:pPr>
              <w:jc w:val="left"/>
            </w:pPr>
            <w:r>
              <w:rPr>
                <w:rFonts w:ascii="DejaVu Serif" w:hAnsi="DejaVu Serif" w:eastAsia="DejaVu Serif"/>
                <w:b/>
                <w:color w:val="FFFFFF"/>
                <w:sz w:val="16"/>
              </w:rPr>
              <w:t>Формальная роль</w:t>
            </w:r>
          </w:p>
        </w:tc>
      </w:tr>
      <w:tr>
        <w:tc>
          <w:tcPr>
            <w:tcW w:type="dxa" w:w="1655"/>
            <w:tcMar>
              <w:top w:w="90" w:type="dxa"/>
              <w:start w:w="100" w:type="dxa"/>
              <w:bottom w:w="90" w:type="dxa"/>
              <w:end w:w="100" w:type="dxa"/>
            </w:tcMar>
            <w:vAlign w:val="center"/>
            <w:shd w:fill="F4F6F9"/>
          </w:tcPr>
          <w:p>
            <w:pPr>
              <w:jc w:val="center"/>
            </w:pPr>
            <w:r>
              <w:rPr>
                <w:rFonts w:ascii="DejaVu Serif" w:hAnsi="DejaVu Serif" w:eastAsia="DejaVu Serif"/>
                <w:b w:val="0"/>
                <w:sz w:val="16"/>
              </w:rPr>
              <w:t>Телесность</w:t>
            </w:r>
          </w:p>
        </w:tc>
        <w:tc>
          <w:tcPr>
            <w:tcW w:type="dxa" w:w="4680"/>
            <w:tcMar>
              <w:top w:w="90" w:type="dxa"/>
              <w:start w:w="100" w:type="dxa"/>
              <w:bottom w:w="90" w:type="dxa"/>
              <w:end w:w="100" w:type="dxa"/>
            </w:tcMar>
            <w:vAlign w:val="center"/>
            <w:shd w:fill="F4F6F9"/>
          </w:tcPr>
          <w:p>
            <w:pPr>
              <w:jc w:val="left"/>
            </w:pPr>
            <w:r>
              <w:rPr>
                <w:rFonts w:ascii="DejaVu Serif" w:hAnsi="DejaVu Serif" w:eastAsia="DejaVu Serif"/>
                <w:b w:val="0"/>
                <w:sz w:val="16"/>
              </w:rPr>
              <w:t>Человек всегда уже ориентирован и ограничен положением, органами чувств и возможностью действия.</w:t>
            </w:r>
          </w:p>
        </w:tc>
        <w:tc>
          <w:tcPr>
            <w:tcW w:type="dxa" w:w="3528"/>
            <w:tcMar>
              <w:top w:w="90" w:type="dxa"/>
              <w:start w:w="100" w:type="dxa"/>
              <w:bottom w:w="90" w:type="dxa"/>
              <w:end w:w="100" w:type="dxa"/>
            </w:tcMar>
            <w:vAlign w:val="center"/>
            <w:shd w:fill="F4F6F9"/>
          </w:tcPr>
          <w:p>
            <w:pPr>
              <w:jc w:val="left"/>
            </w:pPr>
            <w:r>
              <w:rPr>
                <w:rFonts w:ascii="DejaVu Serif" w:hAnsi="DejaVu Serif" w:eastAsia="DejaVu Serif"/>
                <w:b w:val="0"/>
                <w:sz w:val="16"/>
              </w:rPr>
              <w:t>Body_h и instrument/body gate</w:t>
            </w:r>
          </w:p>
        </w:tc>
      </w:tr>
      <w:tr>
        <w:tc>
          <w:tcPr>
            <w:tcW w:type="dxa" w:w="1655"/>
            <w:tcMar>
              <w:top w:w="90" w:type="dxa"/>
              <w:start w:w="100" w:type="dxa"/>
              <w:bottom w:w="90" w:type="dxa"/>
              <w:end w:w="100" w:type="dxa"/>
            </w:tcMar>
            <w:vAlign w:val="center"/>
          </w:tcPr>
          <w:p>
            <w:pPr>
              <w:jc w:val="center"/>
            </w:pPr>
            <w:r>
              <w:rPr>
                <w:rFonts w:ascii="DejaVu Serif" w:hAnsi="DejaVu Serif" w:eastAsia="DejaVu Serif"/>
                <w:b w:val="0"/>
                <w:sz w:val="16"/>
              </w:rPr>
              <w:t>Свобода</w:t>
            </w:r>
          </w:p>
        </w:tc>
        <w:tc>
          <w:tcPr>
            <w:tcW w:type="dxa" w:w="4680"/>
            <w:tcMar>
              <w:top w:w="90" w:type="dxa"/>
              <w:start w:w="100" w:type="dxa"/>
              <w:bottom w:w="90" w:type="dxa"/>
              <w:end w:w="100" w:type="dxa"/>
            </w:tcMar>
            <w:vAlign w:val="center"/>
          </w:tcPr>
          <w:p>
            <w:pPr>
              <w:jc w:val="left"/>
            </w:pPr>
            <w:r>
              <w:rPr>
                <w:rFonts w:ascii="DejaVu Serif" w:hAnsi="DejaVu Serif" w:eastAsia="DejaVu Serif"/>
                <w:b w:val="0"/>
                <w:sz w:val="16"/>
              </w:rPr>
              <w:t>Свобода есть способность начинать допустимую причинную ветвь, а не отсутствие всяких пределов.</w:t>
            </w:r>
          </w:p>
        </w:tc>
        <w:tc>
          <w:tcPr>
            <w:tcW w:type="dxa" w:w="3528"/>
            <w:tcMar>
              <w:top w:w="90" w:type="dxa"/>
              <w:start w:w="100" w:type="dxa"/>
              <w:bottom w:w="90" w:type="dxa"/>
              <w:end w:w="100" w:type="dxa"/>
            </w:tcMar>
            <w:vAlign w:val="center"/>
          </w:tcPr>
          <w:p>
            <w:pPr>
              <w:jc w:val="left"/>
            </w:pPr>
            <w:r>
              <w:rPr>
                <w:rFonts w:ascii="DejaVu Serif" w:hAnsi="DejaVu Serif" w:eastAsia="DejaVu Serif"/>
                <w:b w:val="0"/>
                <w:sz w:val="16"/>
              </w:rPr>
              <w:t>Δ_h и projective aperture</w:t>
            </w:r>
          </w:p>
        </w:tc>
      </w:tr>
      <w:tr>
        <w:tc>
          <w:tcPr>
            <w:tcW w:type="dxa" w:w="1655"/>
            <w:tcMar>
              <w:top w:w="90" w:type="dxa"/>
              <w:start w:w="100" w:type="dxa"/>
              <w:bottom w:w="90" w:type="dxa"/>
              <w:end w:w="100" w:type="dxa"/>
            </w:tcMar>
            <w:vAlign w:val="center"/>
            <w:shd w:fill="F4F6F9"/>
          </w:tcPr>
          <w:p>
            <w:pPr>
              <w:jc w:val="center"/>
            </w:pPr>
            <w:r>
              <w:rPr>
                <w:rFonts w:ascii="DejaVu Serif" w:hAnsi="DejaVu Serif" w:eastAsia="DejaVu Serif"/>
                <w:b w:val="0"/>
                <w:sz w:val="16"/>
              </w:rPr>
              <w:t>Язык</w:t>
            </w:r>
          </w:p>
        </w:tc>
        <w:tc>
          <w:tcPr>
            <w:tcW w:type="dxa" w:w="4680"/>
            <w:tcMar>
              <w:top w:w="90" w:type="dxa"/>
              <w:start w:w="100" w:type="dxa"/>
              <w:bottom w:w="90" w:type="dxa"/>
              <w:end w:w="100" w:type="dxa"/>
            </w:tcMar>
            <w:vAlign w:val="center"/>
            <w:shd w:fill="F4F6F9"/>
          </w:tcPr>
          <w:p>
            <w:pPr>
              <w:jc w:val="left"/>
            </w:pPr>
            <w:r>
              <w:rPr>
                <w:rFonts w:ascii="DejaVu Serif" w:hAnsi="DejaVu Serif" w:eastAsia="DejaVu Serif"/>
                <w:b w:val="0"/>
                <w:sz w:val="16"/>
              </w:rPr>
              <w:t>Язык не только сообщает готовую мысль, но расчленяет поле возможного и переносит основание.</w:t>
            </w:r>
          </w:p>
        </w:tc>
        <w:tc>
          <w:tcPr>
            <w:tcW w:type="dxa" w:w="3528"/>
            <w:tcMar>
              <w:top w:w="90" w:type="dxa"/>
              <w:start w:w="100" w:type="dxa"/>
              <w:bottom w:w="90" w:type="dxa"/>
              <w:end w:w="100" w:type="dxa"/>
            </w:tcMar>
            <w:vAlign w:val="center"/>
            <w:shd w:fill="F4F6F9"/>
          </w:tcPr>
          <w:p>
            <w:pPr>
              <w:jc w:val="left"/>
            </w:pPr>
            <w:r>
              <w:rPr>
                <w:rFonts w:ascii="DejaVu Serif" w:hAnsi="DejaVu Serif" w:eastAsia="DejaVu Serif"/>
                <w:b w:val="0"/>
                <w:sz w:val="16"/>
              </w:rPr>
              <w:t>Language_h, τ_C, τ_D</w:t>
            </w:r>
          </w:p>
        </w:tc>
      </w:tr>
      <w:tr>
        <w:tc>
          <w:tcPr>
            <w:tcW w:type="dxa" w:w="1655"/>
            <w:tcMar>
              <w:top w:w="90" w:type="dxa"/>
              <w:start w:w="100" w:type="dxa"/>
              <w:bottom w:w="90" w:type="dxa"/>
              <w:end w:w="100" w:type="dxa"/>
            </w:tcMar>
            <w:vAlign w:val="center"/>
          </w:tcPr>
          <w:p>
            <w:pPr>
              <w:jc w:val="center"/>
            </w:pPr>
            <w:r>
              <w:rPr>
                <w:rFonts w:ascii="DejaVu Serif" w:hAnsi="DejaVu Serif" w:eastAsia="DejaVu Serif"/>
                <w:b w:val="0"/>
                <w:sz w:val="16"/>
              </w:rPr>
              <w:t>Память</w:t>
            </w:r>
          </w:p>
        </w:tc>
        <w:tc>
          <w:tcPr>
            <w:tcW w:type="dxa" w:w="4680"/>
            <w:tcMar>
              <w:top w:w="90" w:type="dxa"/>
              <w:start w:w="100" w:type="dxa"/>
              <w:bottom w:w="90" w:type="dxa"/>
              <w:end w:w="100" w:type="dxa"/>
            </w:tcMar>
            <w:vAlign w:val="center"/>
          </w:tcPr>
          <w:p>
            <w:pPr>
              <w:jc w:val="left"/>
            </w:pPr>
            <w:r>
              <w:rPr>
                <w:rFonts w:ascii="DejaVu Serif" w:hAnsi="DejaVu Serif" w:eastAsia="DejaVu Serif"/>
                <w:b w:val="0"/>
                <w:sz w:val="16"/>
              </w:rPr>
              <w:t>Прошлое не возвращается тождественно; оно реконструируется по версиям и свидетельствам.</w:t>
            </w:r>
          </w:p>
        </w:tc>
        <w:tc>
          <w:tcPr>
            <w:tcW w:type="dxa" w:w="3528"/>
            <w:tcMar>
              <w:top w:w="90" w:type="dxa"/>
              <w:start w:w="100" w:type="dxa"/>
              <w:bottom w:w="90" w:type="dxa"/>
              <w:end w:w="100" w:type="dxa"/>
            </w:tcMar>
            <w:vAlign w:val="center"/>
          </w:tcPr>
          <w:p>
            <w:pPr>
              <w:jc w:val="left"/>
            </w:pPr>
            <w:r>
              <w:rPr>
                <w:rFonts w:ascii="DejaVu Serif" w:hAnsi="DejaVu Serif" w:eastAsia="DejaVu Serif"/>
                <w:b w:val="0"/>
                <w:sz w:val="16"/>
              </w:rPr>
              <w:t>RetroReper и provenance</w:t>
            </w:r>
          </w:p>
        </w:tc>
      </w:tr>
      <w:tr>
        <w:tc>
          <w:tcPr>
            <w:tcW w:type="dxa" w:w="1655"/>
            <w:tcMar>
              <w:top w:w="90" w:type="dxa"/>
              <w:start w:w="100" w:type="dxa"/>
              <w:bottom w:w="90" w:type="dxa"/>
              <w:end w:w="100" w:type="dxa"/>
            </w:tcMar>
            <w:vAlign w:val="center"/>
            <w:shd w:fill="F4F6F9"/>
          </w:tcPr>
          <w:p>
            <w:pPr>
              <w:jc w:val="center"/>
            </w:pPr>
            <w:r>
              <w:rPr>
                <w:rFonts w:ascii="DejaVu Serif" w:hAnsi="DejaVu Serif" w:eastAsia="DejaVu Serif"/>
                <w:b w:val="0"/>
                <w:sz w:val="16"/>
              </w:rPr>
              <w:t>Другой</w:t>
            </w:r>
          </w:p>
        </w:tc>
        <w:tc>
          <w:tcPr>
            <w:tcW w:type="dxa" w:w="4680"/>
            <w:tcMar>
              <w:top w:w="90" w:type="dxa"/>
              <w:start w:w="100" w:type="dxa"/>
              <w:bottom w:w="90" w:type="dxa"/>
              <w:end w:w="100" w:type="dxa"/>
            </w:tcMar>
            <w:vAlign w:val="center"/>
            <w:shd w:fill="F4F6F9"/>
          </w:tcPr>
          <w:p>
            <w:pPr>
              <w:jc w:val="left"/>
            </w:pPr>
            <w:r>
              <w:rPr>
                <w:rFonts w:ascii="DejaVu Serif" w:hAnsi="DejaVu Serif" w:eastAsia="DejaVu Serif"/>
                <w:b w:val="0"/>
                <w:sz w:val="16"/>
              </w:rPr>
              <w:t>Интерсубъективность ограничивает частное видение и открывает проверку, диалог и возражение.</w:t>
            </w:r>
          </w:p>
        </w:tc>
        <w:tc>
          <w:tcPr>
            <w:tcW w:type="dxa" w:w="3528"/>
            <w:tcMar>
              <w:top w:w="90" w:type="dxa"/>
              <w:start w:w="100" w:type="dxa"/>
              <w:bottom w:w="90" w:type="dxa"/>
              <w:end w:w="100" w:type="dxa"/>
            </w:tcMar>
            <w:vAlign w:val="center"/>
            <w:shd w:fill="F4F6F9"/>
          </w:tcPr>
          <w:p>
            <w:pPr>
              <w:jc w:val="left"/>
            </w:pPr>
            <w:r>
              <w:rPr>
                <w:rFonts w:ascii="DejaVu Serif" w:hAnsi="DejaVu Serif" w:eastAsia="DejaVu Serif"/>
                <w:b w:val="0"/>
                <w:sz w:val="16"/>
              </w:rPr>
              <w:t>Other_h и contestability</w:t>
            </w:r>
          </w:p>
        </w:tc>
      </w:tr>
      <w:tr>
        <w:tc>
          <w:tcPr>
            <w:tcW w:type="dxa" w:w="1655"/>
            <w:tcMar>
              <w:top w:w="90" w:type="dxa"/>
              <w:start w:w="100" w:type="dxa"/>
              <w:bottom w:w="90" w:type="dxa"/>
              <w:end w:w="100" w:type="dxa"/>
            </w:tcMar>
            <w:vAlign w:val="center"/>
          </w:tcPr>
          <w:p>
            <w:pPr>
              <w:jc w:val="center"/>
            </w:pPr>
            <w:r>
              <w:rPr>
                <w:rFonts w:ascii="DejaVu Serif" w:hAnsi="DejaVu Serif" w:eastAsia="DejaVu Serif"/>
                <w:b w:val="0"/>
                <w:sz w:val="16"/>
              </w:rPr>
              <w:t>Ответственность</w:t>
            </w:r>
          </w:p>
        </w:tc>
        <w:tc>
          <w:tcPr>
            <w:tcW w:type="dxa" w:w="4680"/>
            <w:tcMar>
              <w:top w:w="90" w:type="dxa"/>
              <w:start w:w="100" w:type="dxa"/>
              <w:bottom w:w="90" w:type="dxa"/>
              <w:end w:w="100" w:type="dxa"/>
            </w:tcMar>
            <w:vAlign w:val="center"/>
          </w:tcPr>
          <w:p>
            <w:pPr>
              <w:jc w:val="left"/>
            </w:pPr>
            <w:r>
              <w:rPr>
                <w:rFonts w:ascii="DejaVu Serif" w:hAnsi="DejaVu Serif" w:eastAsia="DejaVu Serif"/>
                <w:b w:val="0"/>
                <w:sz w:val="16"/>
              </w:rPr>
              <w:t>Поступок удерживается за пределами мгновения через авторство, предвидимость и последствия.</w:t>
            </w:r>
          </w:p>
        </w:tc>
        <w:tc>
          <w:tcPr>
            <w:tcW w:type="dxa" w:w="3528"/>
            <w:tcMar>
              <w:top w:w="90" w:type="dxa"/>
              <w:start w:w="100" w:type="dxa"/>
              <w:bottom w:w="90" w:type="dxa"/>
              <w:end w:w="100" w:type="dxa"/>
            </w:tcMar>
            <w:vAlign w:val="center"/>
          </w:tcPr>
          <w:p>
            <w:pPr>
              <w:jc w:val="left"/>
            </w:pPr>
            <w:r>
              <w:rPr>
                <w:rFonts w:ascii="DejaVu Serif" w:hAnsi="DejaVu Serif" w:eastAsia="DejaVu Serif"/>
                <w:b w:val="0"/>
                <w:sz w:val="16"/>
              </w:rPr>
              <w:t>RespGate_h</w:t>
            </w:r>
          </w:p>
        </w:tc>
      </w:tr>
      <w:tr>
        <w:tc>
          <w:tcPr>
            <w:tcW w:type="dxa" w:w="1655"/>
            <w:tcMar>
              <w:top w:w="90" w:type="dxa"/>
              <w:start w:w="100" w:type="dxa"/>
              <w:bottom w:w="90" w:type="dxa"/>
              <w:end w:w="100" w:type="dxa"/>
            </w:tcMar>
            <w:vAlign w:val="center"/>
            <w:shd w:fill="F4F6F9"/>
          </w:tcPr>
          <w:p>
            <w:pPr>
              <w:jc w:val="center"/>
            </w:pPr>
            <w:r>
              <w:rPr>
                <w:rFonts w:ascii="DejaVu Serif" w:hAnsi="DejaVu Serif" w:eastAsia="DejaVu Serif"/>
                <w:b w:val="0"/>
                <w:sz w:val="16"/>
              </w:rPr>
              <w:t>Конечность</w:t>
            </w:r>
          </w:p>
        </w:tc>
        <w:tc>
          <w:tcPr>
            <w:tcW w:type="dxa" w:w="4680"/>
            <w:tcMar>
              <w:top w:w="90" w:type="dxa"/>
              <w:start w:w="100" w:type="dxa"/>
              <w:bottom w:w="90" w:type="dxa"/>
              <w:end w:w="100" w:type="dxa"/>
            </w:tcMar>
            <w:vAlign w:val="center"/>
            <w:shd w:fill="F4F6F9"/>
          </w:tcPr>
          <w:p>
            <w:pPr>
              <w:jc w:val="left"/>
            </w:pPr>
            <w:r>
              <w:rPr>
                <w:rFonts w:ascii="DejaVu Serif" w:hAnsi="DejaVu Serif" w:eastAsia="DejaVu Serif"/>
                <w:b w:val="0"/>
                <w:sz w:val="16"/>
              </w:rPr>
              <w:t>Время, тело, знание и действие имеют Пределы; именно они делают выбор и смысл определёнными.</w:t>
            </w:r>
          </w:p>
        </w:tc>
        <w:tc>
          <w:tcPr>
            <w:tcW w:type="dxa" w:w="3528"/>
            <w:tcMar>
              <w:top w:w="90" w:type="dxa"/>
              <w:start w:w="100" w:type="dxa"/>
              <w:bottom w:w="90" w:type="dxa"/>
              <w:end w:w="100" w:type="dxa"/>
            </w:tcMar>
            <w:vAlign w:val="center"/>
            <w:shd w:fill="F4F6F9"/>
          </w:tcPr>
          <w:p>
            <w:pPr>
              <w:jc w:val="left"/>
            </w:pPr>
            <w:r>
              <w:rPr>
                <w:rFonts w:ascii="DejaVu Serif" w:hAnsi="DejaVu Serif" w:eastAsia="DejaVu Serif"/>
                <w:b w:val="0"/>
                <w:sz w:val="16"/>
              </w:rPr>
              <w:t>L_h и ABSTAIN</w:t>
            </w:r>
          </w:p>
        </w:tc>
      </w:tr>
    </w:tbl>
    <w:tbl>
      <w:tblPr>
        <w:tblStyle w:val="TableGrid"/>
        <w:tblW w:type="auto" w:w="0"/>
        <w:jc w:val="center"/>
        <w:tblLayout w:type="fixed"/>
        <w:tblLook w:firstColumn="1" w:firstRow="1" w:lastColumn="0" w:lastRow="0" w:noHBand="0" w:noVBand="1" w:val="04A0"/>
      </w:tblPr>
      <w:tblGrid>
        <w:gridCol w:w="4932"/>
        <w:gridCol w:w="4932"/>
      </w:tblGrid>
      <w:t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Human_R^φ = (C@C_h, Body_h, Freedom_h, Language_h, Memory_h, Other_h, Responsibility_h, L_h; Reper_h, D_h, Dom_h, σ_h)</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T4-F203</w:t>
              <w:br/>
              <w:t>ARCH</w:t>
            </w:r>
          </w:p>
        </w:tc>
      </w:tr>
    </w:tbl>
    <w:p>
      <w:pPr>
        <w:jc w:val="center"/>
      </w:pPr>
      <w:r>
        <w:drawing>
          <wp:inline xmlns:a="http://schemas.openxmlformats.org/drawingml/2006/main" xmlns:pic="http://schemas.openxmlformats.org/drawingml/2006/picture">
            <wp:extent cx="5852160" cy="3747944"/>
            <wp:docPr id="26" name="Picture 26" descr="Human_R в центре; вокруг расположены телесность, свобода, язык, память, Другой, ответственность, техника и конечность." title="Рисунок ФП.1. Философско-антропологическая констелляция Human_R."/>
            <wp:cNvGraphicFramePr>
              <a:graphicFrameLocks noChangeAspect="1"/>
            </wp:cNvGraphicFramePr>
            <a:graphic>
              <a:graphicData uri="http://schemas.openxmlformats.org/drawingml/2006/picture">
                <pic:pic>
                  <pic:nvPicPr>
                    <pic:cNvPr id="0" name="fig_0_1_anthropological_constellation.png"/>
                    <pic:cNvPicPr/>
                  </pic:nvPicPr>
                  <pic:blipFill>
                    <a:blip r:embed="rId40"/>
                    <a:stretch>
                      <a:fillRect/>
                    </a:stretch>
                  </pic:blipFill>
                  <pic:spPr>
                    <a:xfrm>
                      <a:off x="0" y="0"/>
                      <a:ext cx="5852160" cy="3747944"/>
                    </a:xfrm>
                    <a:prstGeom prst="rect"/>
                  </pic:spPr>
                </pic:pic>
              </a:graphicData>
            </a:graphic>
          </wp:inline>
        </w:drawing>
      </w:r>
    </w:p>
    <w:p>
      <w:pPr>
        <w:pStyle w:val="Caption"/>
        <w:jc w:val="center"/>
      </w:pPr>
      <w:r>
        <w:rPr>
          <w:rFonts w:ascii="DejaVu Serif" w:hAnsi="DejaVu Serif" w:eastAsia="DejaVu Serif"/>
          <w:b/>
          <w:sz w:val="18"/>
        </w:rPr>
        <w:t>Рисунок ФП.1. Философско-антропологическая констелляция Human_R.</w:t>
      </w:r>
    </w:p>
    <w:p>
      <w:pPr>
        <w:pStyle w:val="Heading2"/>
      </w:pPr>
      <w:r>
        <w:t>ФП.4. Свобода и конечность</w:t>
      </w:r>
    </w:p>
    <w:p>
      <w:r>
        <w:rPr>
          <w:rFonts w:ascii="DejaVu Serif" w:hAnsi="DejaVu Serif" w:eastAsia="DejaVu Serif"/>
          <w:sz w:val="21"/>
        </w:rPr>
        <w:t>Свобода воли получает содержательность только на фоне конечности. Без сопротивления мира, необратимости времени и ограниченности ресурсов «выбор» не различал бы возможное и невозможное. Поэтому свобода KLT не равна бесконечной мощности. Она есть способность открыть начало внутри области допустимого, принять риск Разворота и поддерживать возникшую причинную цепь последующими действиями.</w:t>
      </w:r>
    </w:p>
    <w:tbl>
      <w:tblPr>
        <w:tblStyle w:val="TableGrid"/>
        <w:tblW w:type="auto" w:w="0"/>
        <w:jc w:val="center"/>
        <w:tblLayout w:type="fixed"/>
        <w:tblLook w:firstColumn="1" w:firstRow="1" w:lastColumn="0" w:lastRow="0" w:noHBand="0" w:noVBand="1" w:val="04A0"/>
      </w:tblPr>
      <w:tblGrid>
        <w:gridCol w:w="4932"/>
        <w:gridCol w:w="4932"/>
      </w:tblGrid>
      <w:t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Freedom_h(s) = Init_h(s) ∩ Adm_L(s),     Freedom_h ≠ unbounded power</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T4-F204</w:t>
              <w:br/>
              <w:t>DEF/HERM</w:t>
            </w:r>
          </w:p>
        </w:tc>
      </w:tr>
    </w:tbl>
    <w:p>
      <w:pPr>
        <w:pStyle w:val="Heading2"/>
      </w:pPr>
      <w:r>
        <w:t>ФП.5. Другой, ответственность и предел самоавторизации</w:t>
      </w:r>
    </w:p>
    <w:p>
      <w:r>
        <w:rPr>
          <w:rFonts w:ascii="DejaVu Serif" w:hAnsi="DejaVu Serif" w:eastAsia="DejaVu Serif"/>
          <w:sz w:val="21"/>
        </w:rPr>
        <w:t>Reper человека не может быть полностью авторизован самим человеком. Компонент D включает свидетельство, документ, возражение и присутствие Другого. Это не отменяет автономии, но запрещает превращать внутреннюю убеждённость в достаточное основание для всех. В антропологическом смысле Другой является не внешним шумом, а носителем проверки, непредвиденного последствия и требования ответа.</w:t>
      </w:r>
    </w:p>
    <w:tbl>
      <w:tblPr>
        <w:tblStyle w:val="TableGrid"/>
        <w:tblW w:type="auto" w:w="0"/>
        <w:jc w:val="center"/>
        <w:tblLayout w:type="fixed"/>
        <w:tblLook w:firstColumn="1" w:firstRow="1" w:lastColumn="0" w:lastRow="0" w:noHBand="0" w:noVBand="1" w:val="04A0"/>
      </w:tblPr>
      <w:tblGrid>
        <w:gridCol w:w="4932"/>
        <w:gridCol w:w="4932"/>
      </w:tblGrid>
      <w:t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Resp_h(a) = { y | a ↝ y ∧ attributable(a,y) ∧ foreseeable_D(a,y) }</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T4-F205</w:t>
              <w:br/>
              <w:t>MODEL/ETHICS</w:t>
            </w:r>
          </w:p>
        </w:tc>
      </w:tr>
    </w:tbl>
    <w:p>
      <w:pPr>
        <w:pStyle w:val="Heading2"/>
      </w:pPr>
      <w:r>
        <w:t>ФП.6. Память и техника</w:t>
      </w:r>
    </w:p>
    <w:p>
      <w:r>
        <w:rPr>
          <w:rFonts w:ascii="DejaVu Serif" w:hAnsi="DejaVu Serif" w:eastAsia="DejaVu Serif"/>
          <w:sz w:val="21"/>
        </w:rPr>
        <w:t>Память делает действие биографией, но она не хранит прошлое как неизменяемый файл. Техническая запись, напротив, способна сохранять байты, однако не переживает их. Человек и машина образуют асимметричный пакет: человек приносит смысл, цель, ответственность и способность пересобрать основание; машина приносит устойчивость адресов, повторяемость операций и внешнюю память. Ошибка начинается там, где эти способности объявляются взаимозаменяемыми.</w:t>
      </w:r>
    </w:p>
    <w:tbl>
      <w:tblPr>
        <w:tblStyle w:val="TableGrid"/>
        <w:tblW w:type="auto" w:w="0"/>
        <w:jc w:val="center"/>
        <w:tblLayout w:type="fixed"/>
        <w:tblLook w:firstColumn="1" w:firstRow="1" w:lastColumn="0" w:lastRow="0" w:noHBand="0" w:noVBand="1" w:val="04A0"/>
      </w:tblPr>
      <w:tblGrid>
        <w:gridCol w:w="4932"/>
        <w:gridCol w:w="4932"/>
      </w:tblGrid>
      <w:t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Memory_h ≠ Archive_h,     Archive_h ≠ LivedEvent_h,     Hash(d) ≠ Meaning(d)</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T4-F206</w:t>
              <w:br/>
              <w:t>TYPE FIREWALL</w:t>
            </w:r>
          </w:p>
        </w:tc>
      </w:tr>
    </w:tbl>
    <w:p>
      <w:pPr>
        <w:pStyle w:val="Heading2"/>
      </w:pPr>
      <w:r>
        <w:t>ФП.7. Принцип антропологического остатка</w:t>
      </w:r>
    </w:p>
    <w:p>
      <w:r>
        <w:rPr>
          <w:rFonts w:ascii="DejaVu Serif" w:hAnsi="DejaVu Serif" w:eastAsia="DejaVu Serif"/>
          <w:sz w:val="21"/>
        </w:rPr>
        <w:t>Всякая формализация выбирает признаки и тем самым оставляет остаток. Этот остаток не является мистическим «невыразимым вообще». Он представляет конкретный реестр отношений, которые данная операция не сохранила: телесный контекст, тон речи, историю доверия, возможность прощения, неявное знание, риск для другого человека. Формализация честна не тогда, когда обещает отсутствие потерь, а когда умеет перечислить их.</w:t>
      </w:r>
    </w:p>
    <w:tbl>
      <w:tblPr>
        <w:tblStyle w:val="TableGrid"/>
        <w:tblW w:type="auto" w:w="0"/>
        <w:jc w:val="center"/>
        <w:tblLayout w:type="fixed"/>
        <w:tblLook w:firstColumn="1" w:firstRow="1" w:lastColumn="0" w:lastRow="0" w:noHBand="0" w:noVBand="1" w:val="04A0"/>
      </w:tblPr>
      <w:tblGrid>
        <w:gridCol w:w="4932"/>
        <w:gridCol w:w="4932"/>
      </w:tblGrid>
      <w:t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Res_h(F,x) = { r ∈ Rel(x) | ¬Preserved_F(r) }</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T4-F207</w:t>
              <w:br/>
              <w:t>DEF</w:t>
            </w:r>
          </w:p>
        </w:tc>
      </w:tr>
    </w:tbl>
    <w:tbl>
      <w:tblPr>
        <w:tblStyle w:val="TableGrid"/>
        <w:tblW w:type="auto" w:w="0"/>
        <w:jc w:val="center"/>
        <w:tblLayout w:type="fixed"/>
        <w:tblLook w:firstColumn="1" w:firstRow="1" w:lastColumn="0" w:lastRow="0" w:noHBand="0" w:noVBand="1" w:val="04A0"/>
      </w:tblPr>
      <w:tblGrid>
        <w:gridCol w:w="9865"/>
      </w:tblGrid>
      <w:tr>
        <w:tc>
          <w:tcPr>
            <w:tcW w:type="dxa" w:w="9720"/>
            <w:shd w:fill="FFF1EF"/>
            <w:tcMar>
              <w:top w:w="90" w:type="dxa"/>
              <w:start w:w="100" w:type="dxa"/>
              <w:bottom w:w="90" w:type="dxa"/>
              <w:end w:w="100" w:type="dxa"/>
            </w:tcMar>
            <w:vAlign w:val="center"/>
          </w:tcPr>
          <w:p>
            <w:r>
              <w:rPr>
                <w:rFonts w:ascii="DejaVu Serif" w:hAnsi="DejaVu Serif" w:eastAsia="DejaVu Serif"/>
                <w:b/>
                <w:color w:val="1F416A"/>
                <w:sz w:val="20"/>
              </w:rPr>
              <w:t>ПРИНЦИП АНТРОПОЛОГИЧЕСКОГО ОСТАТКА.</w:t>
            </w:r>
            <w:r>
              <w:rPr>
                <w:rFonts w:ascii="DejaVu Serif" w:hAnsi="DejaVu Serif" w:eastAsia="DejaVu Serif"/>
                <w:sz w:val="20"/>
              </w:rPr>
              <w:t xml:space="preserve"> Ни одна редукция человека к записи, модели или рейтингу не считается полной, пока не предъявлен перечень отношений, потерянных при редукции, и не указано, кто несёт ответственность за использование редуцированного образа.</w:t>
            </w:r>
          </w:p>
        </w:tc>
      </w:tr>
    </w:tbl>
    <w:p>
      <w:pPr>
        <w:pStyle w:val="Heading2"/>
      </w:pPr>
      <w:r>
        <w:t>ФП.8. Естествознание как дисциплина самоограничения</w:t>
      </w:r>
    </w:p>
    <w:p>
      <w:r>
        <w:rPr>
          <w:rFonts w:ascii="DejaVu Serif" w:hAnsi="DejaVu Serif" w:eastAsia="DejaVu Serif"/>
          <w:sz w:val="21"/>
        </w:rPr>
        <w:t>Философия естествознания Тома IV не направлена против науки. Напротив, она рассматривает науку как наиболее развитую историческую форму организованного самоограничения разума. Измерение указывает единицы и погрешность; доказательство перечисляет гипотезы; эксперимент допускает повторение; теория признаёт область применимости; публикация открывает возражение. KLT-RBD продолжает эту дисциплину, превращая основания, домены, версии, блокеры и статусы в явные объекты базы.</w:t>
      </w:r>
    </w:p>
    <w:tbl>
      <w:tblPr>
        <w:tblStyle w:val="TableGrid"/>
        <w:tblW w:type="auto" w:w="0"/>
        <w:jc w:val="center"/>
        <w:tblLayout w:type="fixed"/>
        <w:tblLook w:firstColumn="1" w:firstRow="1" w:lastColumn="0" w:lastRow="0" w:noHBand="0" w:noVBand="1" w:val="04A0"/>
      </w:tblPr>
      <w:tblGrid>
        <w:gridCol w:w="4932"/>
        <w:gridCol w:w="4932"/>
      </w:tblGrid>
      <w:t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Science_h = WorldResistance ⊗ Method ⊗ PublicCritique ⊗ Responsibility</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T4-F208</w:t>
              <w:br/>
              <w:t>PHILOSOPHICAL SYNTHESIS</w:t>
            </w:r>
          </w:p>
        </w:tc>
      </w:tr>
    </w:tbl>
    <w:p>
      <w:pPr>
        <w:pStyle w:val="Heading2"/>
      </w:pPr>
      <w:r>
        <w:t>ФП.9. Три запрета философской антропологии KLT</w:t>
      </w:r>
    </w:p>
    <w:p>
      <w:pPr>
        <w:pStyle w:val="ListBullet"/>
      </w:pPr>
      <w:r>
        <w:rPr>
          <w:rFonts w:ascii="DejaVu Serif" w:hAnsi="DejaVu Serif" w:eastAsia="DejaVu Serif"/>
          <w:sz w:val="21"/>
        </w:rPr>
        <w:t>Запрет редукционизма: структурный граф не является исчерпывающим эквивалентом человека.</w:t>
      </w:r>
    </w:p>
    <w:p>
      <w:pPr>
        <w:pStyle w:val="ListBullet"/>
      </w:pPr>
      <w:r>
        <w:rPr>
          <w:rFonts w:ascii="DejaVu Serif" w:hAnsi="DejaVu Serif" w:eastAsia="DejaVu Serif"/>
          <w:sz w:val="21"/>
        </w:rPr>
        <w:t>Запрет инфляции: философская продуктивность образа не повышает его математический, физический или исторический статус.</w:t>
      </w:r>
    </w:p>
    <w:p>
      <w:pPr>
        <w:pStyle w:val="ListBullet"/>
      </w:pPr>
      <w:r>
        <w:rPr>
          <w:rFonts w:ascii="DejaVu Serif" w:hAnsi="DejaVu Serif" w:eastAsia="DejaVu Serif"/>
          <w:sz w:val="21"/>
        </w:rPr>
        <w:t>Запрет безответственной автоматизации: наличие вычислимого ответа не создаёт права применить его к человеку без цели, согласия, возможности возражения и ответственного субъекта.</w:t>
      </w:r>
    </w:p>
    <w:tbl>
      <w:tblPr>
        <w:tblStyle w:val="TableGrid"/>
        <w:tblW w:type="auto" w:w="0"/>
        <w:jc w:val="center"/>
        <w:tblLayout w:type="fixed"/>
        <w:tblLook w:firstColumn="1" w:firstRow="1" w:lastColumn="0" w:lastRow="0" w:noHBand="0" w:noVBand="1" w:val="04A0"/>
      </w:tblPr>
      <w:tblGrid>
        <w:gridCol w:w="4932"/>
        <w:gridCol w:w="4932"/>
      </w:tblGrid>
      <w:t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PhilosophyGate_h = NonReduction ∧ NoStatusInflation ∧ ResponsibleUse</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T4-F209</w:t>
              <w:br/>
              <w:t>NORMATIVE GATE</w:t>
            </w:r>
          </w:p>
        </w:tc>
      </w:tr>
    </w:tbl>
    <w:p>
      <w:bookmarkStart w:id="102" w:name="priority"/>
      <w:pPr>
        <w:pStyle w:val="Heading1"/>
        <w:keepNext/>
        <w:pageBreakBefore w:val="0"/>
        <w:widowControl/>
        <w:spacing w:before="200" w:after="100"/>
      </w:pPr>
      <w:r>
        <w:rPr>
          <w:rFonts w:ascii="DejaVu Sans" w:hAnsi="DejaVu Sans" w:eastAsia="DejaVu Sans"/>
          <w:b/>
          <w:color w:val="173A61"/>
          <w:sz w:val="35"/>
        </w:rPr>
        <w:t>Карта авторского вклада и prior art</w:t>
      </w:r>
      <w:bookmarkEnd w:id="102"/>
    </w:p>
    <w:tbl>
      <w:tblPr>
        <w:tblStyle w:val="TableGrid"/>
        <w:tblW w:type="auto" w:w="0"/>
        <w:jc w:val="center"/>
        <w:tblLayout w:type="fixed"/>
        <w:tblLook w:firstColumn="1" w:firstRow="1" w:lastColumn="0" w:lastRow="0" w:noHBand="0" w:noVBand="1" w:val="04A0"/>
      </w:tblPr>
      <w:tblGrid>
        <w:gridCol w:w="1814"/>
        <w:gridCol w:w="3912"/>
        <w:gridCol w:w="3912"/>
      </w:tblGrid>
      <w:tr>
        <w:trPr>
          <w:trHeight w:hRule="atLeast"/>
          <w:tblHeader w:val="true"/>
          <w:cantSplit/>
        </w:trPr>
        <w:tc>
          <w:tcPr>
            <w:tcW w:type="dxa" w:w="2088"/>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6"/>
              </w:rPr>
              <w:t>Авторский узел</w:t>
            </w:r>
          </w:p>
        </w:tc>
        <w:tc>
          <w:tcPr>
            <w:tcW w:type="dxa" w:w="3960"/>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6"/>
              </w:rPr>
              <w:t>Функция в Томе IV</w:t>
            </w:r>
          </w:p>
        </w:tc>
        <w:tc>
          <w:tcPr>
            <w:tcW w:type="dxa" w:w="3528"/>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6"/>
              </w:rPr>
              <w:t>Граница prior art</w:t>
            </w:r>
          </w:p>
        </w:tc>
      </w:tr>
      <w:tr>
        <w:trPr>
          <w:cantSplit/>
          <w:trHeight w:hRule="atLeast"/>
        </w:trPr>
        <w:tc>
          <w:tcPr>
            <w:tcW w:type="dxa" w:w="208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Human_R</w:t>
            </w:r>
          </w:p>
        </w:tc>
        <w:tc>
          <w:tcPr>
            <w:tcW w:type="dxa" w:w="3960"/>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Типизированная архитектура события@состояния, Reper, операторов, пределов, λ и статуса.</w:t>
            </w:r>
          </w:p>
        </w:tc>
        <w:tc>
          <w:tcPr>
            <w:tcW w:type="dxa" w:w="352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Кросс-соотношение и проектная геометрия классические; авторской является Human_R-композиция.</w:t>
            </w:r>
          </w:p>
        </w:tc>
      </w:tr>
      <w:tr>
        <w:trPr>
          <w:cantSplit/>
          <w:trHeight w:hRule="atLeast"/>
        </w:trPr>
        <w:tc>
          <w:tcPr>
            <w:tcW w:type="dxa" w:w="2088"/>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C@C_human</w:t>
            </w:r>
          </w:p>
        </w:tc>
        <w:tc>
          <w:tcPr>
            <w:tcW w:type="dxa" w:w="3960"/>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Минимальная антропологическая единица с раздельным ядром и декорированием witness/horizon.</w:t>
            </w:r>
          </w:p>
        </w:tc>
        <w:tc>
          <w:tcPr>
            <w:tcW w:type="dxa" w:w="3528"/>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Событийные и state-based модели известны; авторской является включённость в KLT-Reper цепь.</w:t>
            </w:r>
          </w:p>
        </w:tc>
      </w:tr>
      <w:tr>
        <w:trPr>
          <w:cantSplit/>
          <w:trHeight w:hRule="atLeast"/>
        </w:trPr>
        <w:tc>
          <w:tcPr>
            <w:tcW w:type="dxa" w:w="208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Reper разворота</w:t>
            </w:r>
          </w:p>
        </w:tc>
        <w:tc>
          <w:tcPr>
            <w:tcW w:type="dxa" w:w="3960"/>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Различение действия, длительности и перехода в новое состояние.</w:t>
            </w:r>
          </w:p>
        </w:tc>
        <w:tc>
          <w:tcPr>
            <w:tcW w:type="dxa" w:w="352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Частичные функции и динамические системы относятся к prior art; авторским является операторный контракт Δ_h/Ξ_h/Υ_h.</w:t>
            </w:r>
          </w:p>
        </w:tc>
      </w:tr>
      <w:tr>
        <w:trPr>
          <w:cantSplit/>
          <w:trHeight w:hRule="atLeast"/>
        </w:trPr>
        <w:tc>
          <w:tcPr>
            <w:tcW w:type="dxa" w:w="2088"/>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D/foreign-D</w:t>
            </w:r>
          </w:p>
        </w:tc>
        <w:tc>
          <w:tcPr>
            <w:tcW w:type="dxa" w:w="3960"/>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Достаточное основание и диагностируемая ошибка переноса основания между доменами.</w:t>
            </w:r>
          </w:p>
        </w:tc>
        <w:tc>
          <w:tcPr>
            <w:tcW w:type="dxa" w:w="3528"/>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Provenance и контекстные модели классические; авторской является роль D в Human_R.</w:t>
            </w:r>
          </w:p>
        </w:tc>
      </w:tr>
      <w:tr>
        <w:trPr>
          <w:cantSplit/>
          <w:trHeight w:hRule="atLeast"/>
        </w:trPr>
        <w:tc>
          <w:tcPr>
            <w:tcW w:type="dxa" w:w="208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ABSTAIN антропологии</w:t>
            </w:r>
          </w:p>
        </w:tc>
        <w:tc>
          <w:tcPr>
            <w:tcW w:type="dxa" w:w="3960"/>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Запрет вывода при незакрытом домене, конфликте свидетелей или отсутствующем λ-кодировании.</w:t>
            </w:r>
          </w:p>
        </w:tc>
        <w:tc>
          <w:tcPr>
            <w:tcW w:type="dxa" w:w="352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Трёхзначные/частичные вычисления известны; авторской является status-preserving интеграция в KLT-RBD.</w:t>
            </w:r>
          </w:p>
        </w:tc>
      </w:tr>
      <w:tr>
        <w:trPr>
          <w:cantSplit/>
          <w:trHeight w:hRule="atLeast"/>
        </w:trPr>
        <w:tc>
          <w:tcPr>
            <w:tcW w:type="dxa" w:w="208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6"/>
              </w:rPr>
              <w:t>Свобода начинания Δ_h</w:t>
            </w:r>
          </w:p>
        </w:tc>
        <w:tc>
          <w:tcPr>
            <w:tcW w:type="dxa" w:w="396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6"/>
              </w:rPr>
              <w:t>Разделение оценки, выбора и фактического начала Движа; генерация корневого узла антропогенной причинной цепи.</w:t>
            </w:r>
          </w:p>
        </w:tc>
        <w:tc>
          <w:tcPr>
            <w:tcW w:type="dxa" w:w="352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6"/>
              </w:rPr>
              <w:t>Философские теории свободы и causal intervention — prior art; авторской является projective-hole/Reper композиция.</w:t>
            </w:r>
          </w:p>
        </w:tc>
      </w:tr>
      <w:tr>
        <w:trPr>
          <w:cantSplit/>
          <w:trHeight w:hRule="atLeast"/>
        </w:trPr>
        <w:tc>
          <w:tcPr>
            <w:tcW w:type="dxa" w:w="208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Проективная апертура p∞_Δ</w:t>
            </w:r>
          </w:p>
        </w:tc>
        <w:tc>
          <w:tcPr>
            <w:tcW w:type="dxa" w:w="396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Новое направление действия в проектном завершении Мира Изменений и мера отклонения от эндогенного конуса.</w:t>
            </w:r>
          </w:p>
        </w:tc>
        <w:tc>
          <w:tcPr>
            <w:tcW w:type="dxa" w:w="352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Точки на бесконечности классические; авторской является их роль в антропологическом Δ-контракте.</w:t>
            </w:r>
          </w:p>
        </w:tc>
      </w:tr>
      <w:tr>
        <w:trPr>
          <w:cantSplit/>
          <w:trHeight w:hRule="atLeast"/>
        </w:trPr>
        <w:tc>
          <w:tcPr>
            <w:tcW w:type="dxa" w:w="208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6"/>
              </w:rPr>
              <w:t>AK-6 профиль Разворота</w:t>
            </w:r>
          </w:p>
        </w:tc>
        <w:tc>
          <w:tcPr>
            <w:tcW w:type="dxa" w:w="396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6"/>
              </w:rPr>
              <w:t>Шестипунктный условный профиль сопротивления, ухудшения, перелома и управляемого обхода.</w:t>
            </w:r>
          </w:p>
        </w:tc>
        <w:tc>
          <w:tcPr>
            <w:tcW w:type="dxa" w:w="352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6"/>
              </w:rPr>
              <w:t>Шесть качественных выводов локализованы по ссылке: В. И. Арнольд, «Теория катастроф», Наука, 1990, с. 98-102. Первичный скан страниц ещё требует сверки; равенство амплитуд и лавирование являются усилениями KLT.</w:t>
            </w:r>
          </w:p>
        </w:tc>
      </w:tr>
      <w:tr>
        <w:trPr>
          <w:cantSplit/>
          <w:trHeight w:hRule="atLeast"/>
        </w:trPr>
        <w:tc>
          <w:tcPr>
            <w:tcW w:type="dxa" w:w="181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7"/>
              </w:rPr>
              <w:t>Mittag–Leffler / Cousin I</w:t>
            </w:r>
          </w:p>
        </w:tc>
        <w:tc>
          <w:tcPr>
            <w:tcW w:type="dxa" w:w="3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Локальные главные части, глобальная мероморфная секция, регулярная неоднозначность и H¹-препятствие.</w:t>
            </w:r>
          </w:p>
        </w:tc>
        <w:tc>
          <w:tcPr>
            <w:tcW w:type="dxa" w:w="3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Классический комплексный анализ и пучки; авторской является KLT-Reper/D/Dom/provenance интеграция.</w:t>
            </w:r>
          </w:p>
        </w:tc>
      </w:tr>
      <w:tr>
        <w:trPr>
          <w:cantSplit/>
          <w:trHeight w:hRule="atLeast"/>
        </w:trPr>
        <w:tc>
          <w:tcPr>
            <w:tcW w:type="dxa" w:w="181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7"/>
              </w:rPr>
              <w:t>PIT-регуляризация</w:t>
            </w:r>
          </w:p>
        </w:tc>
        <w:tc>
          <w:tcPr>
            <w:tcW w:type="dxa" w:w="3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Обрезание и перенос удалённого слоя в несобственный boundary-register с сохранением local signature.</w:t>
            </w:r>
          </w:p>
        </w:tc>
        <w:tc>
          <w:tcPr>
            <w:tcW w:type="dxa" w:w="3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Усечения, Taylor counterterms и exhaustions — prior art; авторским является пакетный контракт PIT и связь с KLT-RBD.</w:t>
            </w:r>
          </w:p>
        </w:tc>
      </w:tr>
      <w:tr>
        <w:trPr>
          <w:cantSplit/>
          <w:trHeight w:hRule="atLeast"/>
        </w:trPr>
        <w:tc>
          <w:tcPr>
            <w:tcW w:type="dxa" w:w="181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7"/>
              </w:rPr>
              <w:t>Стратифицированная Reper-проективная система</w:t>
            </w:r>
          </w:p>
        </w:tc>
        <w:tc>
          <w:tcPr>
            <w:tcW w:type="dxa" w:w="3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Локальные projective charts, логистический граф, задержки, клапаны, мосты и пучки данных.</w:t>
            </w:r>
          </w:p>
        </w:tc>
        <w:tc>
          <w:tcPr>
            <w:tcW w:type="dxa" w:w="3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Проективные/стратифицированные пространства классические; термин «многообразие» разрешён только после atlas-gate.</w:t>
            </w:r>
          </w:p>
        </w:tc>
      </w:tr>
      <w:tr>
        <w:trPr>
          <w:trHeight w:hRule="atLeast"/>
        </w:trPr>
        <w:tc>
          <w:tcPr>
            <w:tcW w:type="dxa" w:w="181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R-атлас исторических режимов</w:t>
            </w:r>
          </w:p>
        </w:tc>
        <w:tc>
          <w:tcPr>
            <w:tcW w:type="dxa" w:w="3912"/>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Типизированная система чистых форм R−0k и практических реализаций R−k без линейной шкалы ценности.</w:t>
            </w:r>
          </w:p>
        </w:tc>
        <w:tc>
          <w:tcPr>
            <w:tcW w:type="dxa" w:w="3912"/>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Культурно-историческая психология и антропология — prior art; авторской является KLT-связь с геометрией, D/Dom и причинными операторами.</w:t>
            </w:r>
          </w:p>
        </w:tc>
      </w:tr>
      <w:tr>
        <w:trPr>
          <w:trHeight w:hRule="atLeast"/>
        </w:trPr>
        <w:tc>
          <w:tcPr>
            <w:tcW w:type="dxa" w:w="181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Матрица «Перьев» K(A)</w:t>
            </w:r>
          </w:p>
        </w:tc>
        <w:tc>
          <w:tcPr>
            <w:tcW w:type="dxa" w:w="391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Кососимметричный блоковый оператор, связывающий области ±П и ±Д; чётный ранг, парный спектр и gap-nullspace.</w:t>
            </w:r>
          </w:p>
        </w:tc>
        <w:tc>
          <w:tcPr>
            <w:tcW w:type="dxa" w:w="391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Свойства кососимметричных матриц классические; авторскими являются название «Перья» и антропологическая интерпретация.</w:t>
            </w:r>
          </w:p>
        </w:tc>
      </w:tr>
      <w:tr>
        <w:trPr>
          <w:trHeight w:hRule="atLeast"/>
        </w:trPr>
        <w:tc>
          <w:tcPr>
            <w:tcW w:type="dxa" w:w="181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Daemon-gap и опорная факторизация</w:t>
            </w:r>
          </w:p>
        </w:tc>
        <w:tc>
          <w:tcPr>
            <w:tcW w:type="dxa" w:w="3912"/>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Замена мифологического/идеализирующего посредника явной цепью основания либо ABSTAIN.</w:t>
            </w:r>
          </w:p>
        </w:tc>
        <w:tc>
          <w:tcPr>
            <w:tcW w:type="dxa" w:w="3912"/>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Демоны Лапласа и Максвелла — исторический prior art; KLT-gap semantics и proof-carrying factorization — авторская композиция.</w:t>
            </w:r>
          </w:p>
        </w:tc>
      </w:tr>
      <w:tr>
        <w:trPr>
          <w:trHeight w:hRule="atLeast"/>
        </w:trPr>
        <w:tc>
          <w:tcPr>
            <w:tcW w:type="dxa" w:w="181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Enoch Fold</w:t>
            </w:r>
          </w:p>
        </w:tc>
        <w:tc>
          <w:tcPr>
            <w:tcW w:type="dxa" w:w="391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Герменевтический переход PreFold→RPLD и несобственная точка на границе FOS.</w:t>
            </w:r>
          </w:p>
        </w:tc>
        <w:tc>
          <w:tcPr>
            <w:tcW w:type="dxa" w:w="391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Библейские и енохические тексты — prior art; проектная символизация — авторская гипотеза, не историческая теорема.</w:t>
            </w:r>
          </w:p>
        </w:tc>
      </w:tr>
      <w:tr>
        <w:trPr>
          <w:trHeight w:hRule="atLeast"/>
        </w:trPr>
        <w:tc>
          <w:tcPr>
            <w:tcW w:type="dxa" w:w="1814"/>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Disc/Inv/Vis</w:t>
            </w:r>
          </w:p>
        </w:tc>
        <w:tc>
          <w:tcPr>
            <w:tcW w:type="dxa" w:w="391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Операционное различение открытия в фиксированной среде, изобретения как перестройки среды и математического видения как proposal-оператора.</w:t>
            </w:r>
          </w:p>
        </w:tc>
        <w:tc>
          <w:tcPr>
            <w:tcW w:type="dxa" w:w="391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Философия математики и психология открытия относятся к prior art; авторским является status-preserving Reper-контракт.</w:t>
            </w:r>
          </w:p>
        </w:tc>
      </w:tr>
      <w:tr>
        <w:trPr>
          <w:trHeight w:hRule="atLeast"/>
        </w:trPr>
        <w:tc>
          <w:tcPr>
            <w:tcW w:type="dxa" w:w="1814"/>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foreign-D transport theorem</w:t>
            </w:r>
          </w:p>
        </w:tc>
        <w:tc>
          <w:tcPr>
            <w:tcW w:type="dxa" w:w="391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Проверка переноса достаточного основания через переводящий мост и коммутирующую диаграмму понимания.</w:t>
            </w:r>
          </w:p>
        </w:tc>
        <w:tc>
          <w:tcPr>
            <w:tcW w:type="dxa" w:w="391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Герменевтика и контекстные модели классические; авторскими являются D/Dom-gate и ABSTAIN-HERM.</w:t>
            </w:r>
          </w:p>
        </w:tc>
      </w:tr>
      <w:tr>
        <w:trPr>
          <w:trHeight w:hRule="atLeast"/>
        </w:trPr>
        <w:tc>
          <w:tcPr>
            <w:tcW w:type="dxa" w:w="1814"/>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AnthroCGI vector</w:t>
            </w:r>
          </w:p>
        </w:tc>
        <w:tc>
          <w:tcPr>
            <w:tcW w:type="dxa" w:w="391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Нескалярный профиль разрывов действия, памяти, языка, свидетельства, ответственности, документа и телесно-временной ориентации.</w:t>
            </w:r>
          </w:p>
        </w:tc>
        <w:tc>
          <w:tcPr>
            <w:tcW w:type="dxa" w:w="391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Многокритериальные модели известны; авторским является запрет канонической скаляризации человека.</w:t>
            </w:r>
          </w:p>
        </w:tc>
      </w:tr>
      <w:tr>
        <w:trPr>
          <w:trHeight w:hRule="atLeast"/>
        </w:trPr>
        <w:tc>
          <w:tcPr>
            <w:tcW w:type="dxa" w:w="1814"/>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Document/Archive Reper</w:t>
            </w:r>
          </w:p>
        </w:tc>
        <w:tc>
          <w:tcPr>
            <w:tcW w:type="dxa" w:w="391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Документ и архив как внешняя память с provenance, версиями, D/Dom, status и реконструкционным gate.</w:t>
            </w:r>
          </w:p>
        </w:tc>
        <w:tc>
          <w:tcPr>
            <w:tcW w:type="dxa" w:w="391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Архивоведение и философия письма — prior art; авторской является интеграция в KLT-RBD и weakest-link контракт.</w:t>
            </w:r>
          </w:p>
        </w:tc>
      </w:tr>
      <w:tr>
        <w:trPr>
          <w:trHeight w:hRule="atLeast"/>
        </w:trPr>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Два постоянных ядра KLT-RBD</w:t>
            </w:r>
          </w:p>
        </w:tc>
        <w:tc>
          <w:tcPr>
            <w:tcW w:type="dxa" w:w="396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Генезис C@C посредством вариации Θ_K, g_K, A_K; сохранение события посредством пакетной ковариантности, amplitude gate и финальной жёсткости.</w:t>
            </w:r>
          </w:p>
        </w:tc>
        <w:tc>
          <w:tcPr>
            <w:tcW w:type="dxa" w:w="352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Вариационные принципы и общая инвариантность классические; авторской является пакетно-стратифицированная композиция PIX@PEAKS и её место в KLT-RBD.</w:t>
            </w:r>
          </w:p>
        </w:tc>
      </w:tr>
      <w:tr>
        <w:trPr>
          <w:trHeight w:hRule="atLeast"/>
        </w:trPr>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Hilbert reduction R_H</w:t>
            </w:r>
          </w:p>
        </w:tc>
        <w:tc>
          <w:tcPr>
            <w:tcW w:type="dxa" w:w="396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Контролируемое замораживание иерархии до одной 4D-гладкой модели, при котором KLT-A1/A2 дают Hilbert I/II.</w:t>
            </w:r>
          </w:p>
        </w:tc>
        <w:tc>
          <w:tcPr>
            <w:tcW w:type="dxa" w:w="352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Аксиомы Гильберта принадлежат prior art; авторский вклад - односторонняя reduction theorem и перечень потерянных KLT-слоёв.</w:t>
            </w:r>
          </w:p>
        </w:tc>
      </w:tr>
      <w:tr>
        <w:trPr>
          <w:trHeight w:hRule="atLeast"/>
        </w:trPr>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Machine-memory firewall</w:t>
            </w:r>
          </w:p>
        </w:tc>
        <w:tc>
          <w:tcPr>
            <w:tcW w:type="dxa" w:w="396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Различение C@C_world, C@C_human и C@C_database; proof-carrying record, privacy gate и ABSTAIN.</w:t>
            </w:r>
          </w:p>
        </w:tc>
        <w:tc>
          <w:tcPr>
            <w:tcW w:type="dxa" w:w="352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Архивы и knowledge graphs классические; авторской является связь с Reper, D/Dom, status monotonicity и двумя ядрами.</w:t>
            </w:r>
          </w:p>
        </w:tc>
      </w:tr>
      <w:tr>
        <w:trPr>
          <w:trHeight w:hRule="atLeast"/>
        </w:trPr>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Domain adapters</w:t>
            </w:r>
          </w:p>
        </w:tc>
        <w:tc>
          <w:tcPr>
            <w:tcW w:type="dxa" w:w="396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Пять source-bound адаптеров с теоремой неповышения статуса.</w:t>
            </w:r>
          </w:p>
        </w:tc>
        <w:tc>
          <w:tcPr>
            <w:tcW w:type="dxa" w:w="352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Предметные методы классические; авторским является единый blocker-safe интерфейс без скрытого сведения дисциплин к одной физической модели.</w:t>
            </w:r>
          </w:p>
        </w:tc>
      </w:tr>
      <w:tr>
        <w:tc>
          <w:tcPr>
            <w:tcW w:type="dxa" w:w="2160"/>
            <w:tcMar>
              <w:top w:w="90" w:type="dxa"/>
              <w:start w:w="100" w:type="dxa"/>
              <w:bottom w:w="90" w:type="dxa"/>
              <w:end w:w="100" w:type="dxa"/>
            </w:tcMar>
            <w:vAlign w:val="center"/>
          </w:tcPr>
          <w:p>
            <w:pPr>
              <w:jc w:val="center"/>
            </w:pPr>
            <w:r>
              <w:rPr>
                <w:rFonts w:ascii="DejaVu Serif" w:hAnsi="DejaVu Serif" w:eastAsia="DejaVu Serif"/>
                <w:b w:val="0"/>
                <w:sz w:val="15"/>
              </w:rPr>
              <w:t>Антропологический остаток Res_h</w:t>
            </w:r>
          </w:p>
        </w:tc>
        <w:tc>
          <w:tcPr>
            <w:tcW w:type="dxa" w:w="3671"/>
            <w:tcMar>
              <w:top w:w="90" w:type="dxa"/>
              <w:start w:w="100" w:type="dxa"/>
              <w:bottom w:w="90" w:type="dxa"/>
              <w:end w:w="100" w:type="dxa"/>
            </w:tcMar>
            <w:vAlign w:val="center"/>
          </w:tcPr>
          <w:p>
            <w:pPr>
              <w:jc w:val="left"/>
            </w:pPr>
            <w:r>
              <w:rPr>
                <w:rFonts w:ascii="DejaVu Serif" w:hAnsi="DejaVu Serif" w:eastAsia="DejaVu Serif"/>
                <w:b w:val="0"/>
                <w:sz w:val="15"/>
              </w:rPr>
              <w:t>Реестр отношений живого опыта, не сохранённых кодированием, редукцией или машинной записью.</w:t>
            </w:r>
          </w:p>
        </w:tc>
        <w:tc>
          <w:tcPr>
            <w:tcW w:type="dxa" w:w="4031"/>
            <w:tcMar>
              <w:top w:w="90" w:type="dxa"/>
              <w:start w:w="100" w:type="dxa"/>
              <w:bottom w:w="90" w:type="dxa"/>
              <w:end w:w="100" w:type="dxa"/>
            </w:tcMar>
            <w:vAlign w:val="center"/>
          </w:tcPr>
          <w:p>
            <w:pPr>
              <w:jc w:val="left"/>
            </w:pPr>
            <w:r>
              <w:rPr>
                <w:rFonts w:ascii="DejaVu Serif" w:hAnsi="DejaVu Serif" w:eastAsia="DejaVu Serif"/>
                <w:b w:val="0"/>
                <w:sz w:val="15"/>
              </w:rPr>
              <w:t>Неинъективность и теория информации классические; авторской является обязательная связка residual ledger с Human_R и publication gate.</w:t>
            </w:r>
          </w:p>
        </w:tc>
      </w:tr>
      <w:tr>
        <w:tc>
          <w:tcPr>
            <w:tcW w:type="dxa" w:w="2160"/>
            <w:tcMar>
              <w:top w:w="90" w:type="dxa"/>
              <w:start w:w="100" w:type="dxa"/>
              <w:bottom w:w="90" w:type="dxa"/>
              <w:end w:w="100" w:type="dxa"/>
            </w:tcMar>
            <w:vAlign w:val="center"/>
            <w:shd w:fill="F4F6F9"/>
          </w:tcPr>
          <w:p>
            <w:pPr>
              <w:jc w:val="center"/>
            </w:pPr>
            <w:r>
              <w:rPr>
                <w:rFonts w:ascii="DejaVu Serif" w:hAnsi="DejaVu Serif" w:eastAsia="DejaVu Serif"/>
                <w:b w:val="0"/>
                <w:sz w:val="15"/>
              </w:rPr>
              <w:t>Научный объект KLT</w:t>
            </w:r>
          </w:p>
        </w:tc>
        <w:tc>
          <w:tcPr>
            <w:tcW w:type="dxa" w:w="3671"/>
            <w:tcMar>
              <w:top w:w="90" w:type="dxa"/>
              <w:start w:w="100" w:type="dxa"/>
              <w:bottom w:w="90" w:type="dxa"/>
              <w:end w:w="100" w:type="dxa"/>
            </w:tcMar>
            <w:vAlign w:val="center"/>
            <w:shd w:fill="F4F6F9"/>
          </w:tcPr>
          <w:p>
            <w:pPr>
              <w:jc w:val="left"/>
            </w:pPr>
            <w:r>
              <w:rPr>
                <w:rFonts w:ascii="DejaVu Serif" w:hAnsi="DejaVu Serif" w:eastAsia="DejaVu Serif"/>
                <w:b w:val="0"/>
                <w:sz w:val="15"/>
              </w:rPr>
              <w:t>Разделение мира, явления, записи, модели и публикуемого тезиса.</w:t>
            </w:r>
          </w:p>
        </w:tc>
        <w:tc>
          <w:tcPr>
            <w:tcW w:type="dxa" w:w="4031"/>
            <w:tcMar>
              <w:top w:w="90" w:type="dxa"/>
              <w:start w:w="100" w:type="dxa"/>
              <w:bottom w:w="90" w:type="dxa"/>
              <w:end w:w="100" w:type="dxa"/>
            </w:tcMar>
            <w:vAlign w:val="center"/>
            <w:shd w:fill="F4F6F9"/>
          </w:tcPr>
          <w:p>
            <w:pPr>
              <w:jc w:val="left"/>
            </w:pPr>
            <w:r>
              <w:rPr>
                <w:rFonts w:ascii="DejaVu Serif" w:hAnsi="DejaVu Serif" w:eastAsia="DejaVu Serif"/>
                <w:b w:val="0"/>
                <w:sz w:val="15"/>
              </w:rPr>
              <w:t>Философия науки классическая; авторским является типизированный C@C/Reper-контракт и status firewall.</w:t>
            </w:r>
          </w:p>
        </w:tc>
      </w:tr>
      <w:tr>
        <w:tc>
          <w:tcPr>
            <w:tcW w:type="dxa" w:w="2160"/>
            <w:tcMar>
              <w:top w:w="90" w:type="dxa"/>
              <w:start w:w="100" w:type="dxa"/>
              <w:bottom w:w="90" w:type="dxa"/>
              <w:end w:w="100" w:type="dxa"/>
            </w:tcMar>
            <w:vAlign w:val="center"/>
          </w:tcPr>
          <w:p>
            <w:pPr>
              <w:jc w:val="center"/>
            </w:pPr>
            <w:r>
              <w:rPr>
                <w:rFonts w:ascii="DejaVu Serif" w:hAnsi="DejaVu Serif" w:eastAsia="DejaVu Serif"/>
                <w:b w:val="0"/>
                <w:sz w:val="15"/>
              </w:rPr>
              <w:t>End-to-end антропологический оператор</w:t>
            </w:r>
          </w:p>
        </w:tc>
        <w:tc>
          <w:tcPr>
            <w:tcW w:type="dxa" w:w="3671"/>
            <w:tcMar>
              <w:top w:w="90" w:type="dxa"/>
              <w:start w:w="100" w:type="dxa"/>
              <w:bottom w:w="90" w:type="dxa"/>
              <w:end w:w="100" w:type="dxa"/>
            </w:tcMar>
            <w:vAlign w:val="center"/>
          </w:tcPr>
          <w:p>
            <w:pPr>
              <w:jc w:val="left"/>
            </w:pPr>
            <w:r>
              <w:rPr>
                <w:rFonts w:ascii="DejaVu Serif" w:hAnsi="DejaVu Serif" w:eastAsia="DejaVu Serif"/>
                <w:b w:val="0"/>
                <w:sz w:val="15"/>
              </w:rPr>
              <w:t>Частичная композиция от события и горизонта к множеству кандидатов с сертификатом или ABSTAIN.</w:t>
            </w:r>
          </w:p>
        </w:tc>
        <w:tc>
          <w:tcPr>
            <w:tcW w:type="dxa" w:w="4031"/>
            <w:tcMar>
              <w:top w:w="90" w:type="dxa"/>
              <w:start w:w="100" w:type="dxa"/>
              <w:bottom w:w="90" w:type="dxa"/>
              <w:end w:w="100" w:type="dxa"/>
            </w:tcMar>
            <w:vAlign w:val="center"/>
          </w:tcPr>
          <w:p>
            <w:pPr>
              <w:jc w:val="left"/>
            </w:pPr>
            <w:r>
              <w:rPr>
                <w:rFonts w:ascii="DejaVu Serif" w:hAnsi="DejaVu Serif" w:eastAsia="DejaVu Serif"/>
                <w:b w:val="0"/>
                <w:sz w:val="15"/>
              </w:rPr>
              <w:t>Pipeline-архитектуры известны; авторским является включение телесности, языка, памяти, согласия и ответственности.</w:t>
            </w:r>
          </w:p>
        </w:tc>
      </w:tr>
      <w:tr>
        <w:tc>
          <w:tcPr>
            <w:tcW w:type="dxa" w:w="2160"/>
            <w:tcMar>
              <w:top w:w="90" w:type="dxa"/>
              <w:start w:w="100" w:type="dxa"/>
              <w:bottom w:w="90" w:type="dxa"/>
              <w:end w:w="100" w:type="dxa"/>
            </w:tcMar>
            <w:vAlign w:val="center"/>
            <w:shd w:fill="F4F6F9"/>
          </w:tcPr>
          <w:p>
            <w:pPr>
              <w:jc w:val="center"/>
            </w:pPr>
            <w:r>
              <w:rPr>
                <w:rFonts w:ascii="DejaVu Serif" w:hAnsi="DejaVu Serif" w:eastAsia="DejaVu Serif"/>
                <w:b w:val="0"/>
                <w:sz w:val="15"/>
              </w:rPr>
              <w:t>Publication gate</w:t>
            </w:r>
          </w:p>
        </w:tc>
        <w:tc>
          <w:tcPr>
            <w:tcW w:type="dxa" w:w="3671"/>
            <w:tcMar>
              <w:top w:w="90" w:type="dxa"/>
              <w:start w:w="100" w:type="dxa"/>
              <w:bottom w:w="90" w:type="dxa"/>
              <w:end w:w="100" w:type="dxa"/>
            </w:tcMar>
            <w:vAlign w:val="center"/>
            <w:shd w:fill="F4F6F9"/>
          </w:tcPr>
          <w:p>
            <w:pPr>
              <w:jc w:val="left"/>
            </w:pPr>
            <w:r>
              <w:rPr>
                <w:rFonts w:ascii="DejaVu Serif" w:hAnsi="DejaVu Serif" w:eastAsia="DejaVu Serif"/>
                <w:b w:val="0"/>
                <w:sz w:val="15"/>
              </w:rPr>
              <w:t>Запрет повышать статус заголовка, аннотации и вывода выше доказательного паспорта.</w:t>
            </w:r>
          </w:p>
        </w:tc>
        <w:tc>
          <w:tcPr>
            <w:tcW w:type="dxa" w:w="4031"/>
            <w:tcMar>
              <w:top w:w="90" w:type="dxa"/>
              <w:start w:w="100" w:type="dxa"/>
              <w:bottom w:w="90" w:type="dxa"/>
              <w:end w:w="100" w:type="dxa"/>
            </w:tcMar>
            <w:vAlign w:val="center"/>
            <w:shd w:fill="F4F6F9"/>
          </w:tcPr>
          <w:p>
            <w:pPr>
              <w:jc w:val="left"/>
            </w:pPr>
            <w:r>
              <w:rPr>
                <w:rFonts w:ascii="DejaVu Serif" w:hAnsi="DejaVu Serif" w:eastAsia="DejaVu Serif"/>
                <w:b w:val="0"/>
                <w:sz w:val="15"/>
              </w:rPr>
              <w:t>Редакционные и воспроизводимые стандарты prior art; авторской является интеграция с D/Dom, Reper и weakest-link.</w:t>
            </w:r>
          </w:p>
        </w:tc>
      </w:tr>
      <w:tr>
        <w:tc>
          <w:tcPr>
            <w:tcW w:type="dxa" w:w="2160"/>
            <w:tcMar>
              <w:top w:w="90" w:type="dxa"/>
              <w:start w:w="100" w:type="dxa"/>
              <w:bottom w:w="90" w:type="dxa"/>
              <w:end w:w="100" w:type="dxa"/>
            </w:tcMar>
            <w:vAlign w:val="center"/>
          </w:tcPr>
          <w:p>
            <w:pPr>
              <w:jc w:val="center"/>
            </w:pPr>
            <w:r>
              <w:rPr>
                <w:rFonts w:ascii="DejaVu Serif" w:hAnsi="DejaVu Serif" w:eastAsia="DejaVu Serif"/>
                <w:b w:val="0"/>
                <w:sz w:val="15"/>
              </w:rPr>
              <w:t>Принцип антропологической полноты</w:t>
            </w:r>
          </w:p>
        </w:tc>
        <w:tc>
          <w:tcPr>
            <w:tcW w:type="dxa" w:w="3671"/>
            <w:tcMar>
              <w:top w:w="90" w:type="dxa"/>
              <w:start w:w="100" w:type="dxa"/>
              <w:bottom w:w="90" w:type="dxa"/>
              <w:end w:w="100" w:type="dxa"/>
            </w:tcMar>
            <w:vAlign w:val="center"/>
          </w:tcPr>
          <w:p>
            <w:pPr>
              <w:jc w:val="left"/>
            </w:pPr>
            <w:r>
              <w:rPr>
                <w:rFonts w:ascii="DejaVu Serif" w:hAnsi="DejaVu Serif" w:eastAsia="DejaVu Serif"/>
                <w:b w:val="0"/>
                <w:sz w:val="15"/>
              </w:rPr>
              <w:t>Формальная корректность дополняется картой последствий, возможностью оспаривания и ответственным субъектом.</w:t>
            </w:r>
          </w:p>
        </w:tc>
        <w:tc>
          <w:tcPr>
            <w:tcW w:type="dxa" w:w="4031"/>
            <w:tcMar>
              <w:top w:w="90" w:type="dxa"/>
              <w:start w:w="100" w:type="dxa"/>
              <w:bottom w:w="90" w:type="dxa"/>
              <w:end w:w="100" w:type="dxa"/>
            </w:tcMar>
            <w:vAlign w:val="center"/>
          </w:tcPr>
          <w:p>
            <w:pPr>
              <w:jc w:val="left"/>
            </w:pPr>
            <w:r>
              <w:rPr>
                <w:rFonts w:ascii="DejaVu Serif" w:hAnsi="DejaVu Serif" w:eastAsia="DejaVu Serif"/>
                <w:b w:val="0"/>
                <w:sz w:val="15"/>
              </w:rPr>
              <w:t>Этика технологий prior art; авторской является его роль как обязательного KLT-gate.</w:t>
            </w:r>
          </w:p>
        </w:tc>
      </w:tr>
    </w:tbl>
    <w:p>
      <w:pPr>
        <w:widowControl/>
        <w:spacing w:after="20"/>
      </w:pPr>
    </w:p>
    <w:p>
      <w:pPr>
        <w:pStyle w:val="Heading1"/>
        <w:keepNext/>
        <w:pageBreakBefore w:val="0"/>
        <w:widowControl/>
        <w:spacing w:before="200" w:after="100"/>
      </w:pPr>
      <w:r>
        <w:t>Реестр изменений накопительной сборки T4-CORE-v0.2 → T4-KERN-RBD-v0.7</w:t>
      </w:r>
    </w:p>
    <w:tbl>
      <w:tblPr>
        <w:tblStyle w:val="TableGrid"/>
        <w:tblW w:type="auto" w:w="0"/>
        <w:jc w:val="center"/>
        <w:tblLayout w:type="fixed"/>
        <w:tblLook w:firstColumn="1" w:firstRow="1" w:lastColumn="0" w:lastRow="0" w:noHBand="0" w:noVBand="1" w:val="04A0"/>
      </w:tblPr>
      <w:tblGrid>
        <w:gridCol w:w="1361"/>
        <w:gridCol w:w="6690"/>
        <w:gridCol w:w="1587"/>
      </w:tblGrid>
      <w:tr>
        <w:trPr>
          <w:trHeight w:hRule="atLeast"/>
          <w:tblHeader w:val="true"/>
          <w:cantSplit/>
        </w:trPr>
        <w:tc>
          <w:tcPr>
            <w:tcW w:type="dxa" w:w="1512"/>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6"/>
              </w:rPr>
              <w:t>ID</w:t>
            </w:r>
          </w:p>
        </w:tc>
        <w:tc>
          <w:tcPr>
            <w:tcW w:type="dxa" w:w="6480"/>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6"/>
              </w:rPr>
              <w:t>Изменение</w:t>
            </w:r>
          </w:p>
        </w:tc>
        <w:tc>
          <w:tcPr>
            <w:tcW w:type="dxa" w:w="1584"/>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6"/>
              </w:rPr>
              <w:t>Статус</w:t>
            </w:r>
          </w:p>
        </w:tc>
      </w:tr>
      <w:tr>
        <w:trPr>
          <w:cantSplit/>
          <w:trHeight w:hRule="atLeast"/>
        </w:trPr>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6"/>
              </w:rPr>
              <w:t>T4-CS-001</w:t>
            </w:r>
          </w:p>
        </w:tc>
        <w:tc>
          <w:tcPr>
            <w:tcW w:type="dxa" w:w="6480"/>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Уточнена нумерация: главы 1-4 приведены в соответствие с утверждённым master-skeleton.</w:t>
            </w:r>
          </w:p>
        </w:tc>
        <w:tc>
          <w:tcPr>
            <w:tcW w:type="dxa" w:w="158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DONE</w:t>
            </w:r>
          </w:p>
        </w:tc>
      </w:tr>
      <w:tr>
        <w:trPr>
          <w:cantSplit/>
          <w:trHeight w:hRule="atLeast"/>
        </w:trPr>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6"/>
              </w:rPr>
              <w:t>T4-CS-002</w:t>
            </w:r>
          </w:p>
        </w:tc>
        <w:tc>
          <w:tcPr>
            <w:tcW w:type="dxa" w:w="6480"/>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Введена доменная сигнатура Ω_h и полный реестр базовых типов.</w:t>
            </w:r>
          </w:p>
        </w:tc>
        <w:tc>
          <w:tcPr>
            <w:tcW w:type="dxa" w:w="1584"/>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DEF</w:t>
            </w:r>
          </w:p>
        </w:tc>
      </w:tr>
      <w:tr>
        <w:trPr>
          <w:cantSplit/>
          <w:trHeight w:hRule="atLeast"/>
        </w:trPr>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6"/>
              </w:rPr>
              <w:t>T4-CS-003</w:t>
            </w:r>
          </w:p>
        </w:tc>
        <w:tc>
          <w:tcPr>
            <w:tcW w:type="dxa" w:w="6480"/>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Различены C@C_h^0=(e,s) и декорированный объект с witness/horizon.</w:t>
            </w:r>
          </w:p>
        </w:tc>
        <w:tc>
          <w:tcPr>
            <w:tcW w:type="dxa" w:w="158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DEF</w:t>
            </w:r>
          </w:p>
        </w:tc>
      </w:tr>
      <w:tr>
        <w:trPr>
          <w:cantSplit/>
          <w:trHeight w:hRule="atLeast"/>
        </w:trPr>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6"/>
              </w:rPr>
              <w:t>T4-CS-004</w:t>
            </w:r>
          </w:p>
        </w:tc>
        <w:tc>
          <w:tcPr>
            <w:tcW w:type="dxa" w:w="6480"/>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Определена категория AnthPar_Ω частичных антропологических переходов.</w:t>
            </w:r>
          </w:p>
        </w:tc>
        <w:tc>
          <w:tcPr>
            <w:tcW w:type="dxa" w:w="1584"/>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THM-FORMAL</w:t>
            </w:r>
          </w:p>
        </w:tc>
      </w:tr>
      <w:tr>
        <w:trPr>
          <w:cantSplit/>
          <w:trHeight w:hRule="atLeast"/>
        </w:trPr>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6"/>
              </w:rPr>
              <w:t>T4-CS-005</w:t>
            </w:r>
          </w:p>
        </w:tc>
        <w:tc>
          <w:tcPr>
            <w:tcW w:type="dxa" w:w="6480"/>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Формула Human_R переписана как зависимая запись и архитектурная конкатенация ⊞_arch.</w:t>
            </w:r>
          </w:p>
        </w:tc>
        <w:tc>
          <w:tcPr>
            <w:tcW w:type="dxa" w:w="158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DEF</w:t>
            </w:r>
          </w:p>
        </w:tc>
      </w:tr>
      <w:tr>
        <w:trPr>
          <w:cantSplit/>
          <w:trHeight w:hRule="atLeast"/>
        </w:trPr>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6"/>
              </w:rPr>
              <w:t>T4-CS-006</w:t>
            </w:r>
          </w:p>
        </w:tc>
        <w:tc>
          <w:tcPr>
            <w:tcW w:type="dxa" w:w="6480"/>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Задан λ-gate с явным проектным кодированием ι_Ω и ABSTAIN-LAMBDA.</w:t>
            </w:r>
          </w:p>
        </w:tc>
        <w:tc>
          <w:tcPr>
            <w:tcW w:type="dxa" w:w="1584"/>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DEF/COND</w:t>
            </w:r>
          </w:p>
        </w:tc>
      </w:tr>
      <w:tr>
        <w:trPr>
          <w:cantSplit/>
          <w:trHeight w:hRule="atLeast"/>
        </w:trPr>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6"/>
              </w:rPr>
              <w:t>T4-CS-007</w:t>
            </w:r>
          </w:p>
        </w:tc>
        <w:tc>
          <w:tcPr>
            <w:tcW w:type="dxa" w:w="6480"/>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Зафиксированы Dom/Cod операторов Δ_h, Ξ_h, Υ_h.</w:t>
            </w:r>
          </w:p>
        </w:tc>
        <w:tc>
          <w:tcPr>
            <w:tcW w:type="dxa" w:w="158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DEF</w:t>
            </w:r>
          </w:p>
        </w:tc>
      </w:tr>
      <w:tr>
        <w:trPr>
          <w:cantSplit/>
          <w:trHeight w:hRule="atLeast"/>
        </w:trPr>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6"/>
              </w:rPr>
              <w:t>T4-CS-008</w:t>
            </w:r>
          </w:p>
        </w:tc>
        <w:tc>
          <w:tcPr>
            <w:tcW w:type="dxa" w:w="6480"/>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Доказана формальная теорема композиции и неповышения статуса.</w:t>
            </w:r>
          </w:p>
        </w:tc>
        <w:tc>
          <w:tcPr>
            <w:tcW w:type="dxa" w:w="1584"/>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THM-FORMAL</w:t>
            </w:r>
          </w:p>
        </w:tc>
      </w:tr>
      <w:tr>
        <w:trPr>
          <w:cantSplit/>
          <w:trHeight w:hRule="atLeast"/>
        </w:trPr>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6"/>
              </w:rPr>
              <w:t>T4-CS-009</w:t>
            </w:r>
          </w:p>
        </w:tc>
        <w:tc>
          <w:tcPr>
            <w:tcW w:type="dxa" w:w="6480"/>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Построен реестр CM-001-CM-007 строгих контрмоделей.</w:t>
            </w:r>
          </w:p>
        </w:tc>
        <w:tc>
          <w:tcPr>
            <w:tcW w:type="dxa" w:w="158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COUNTERMODEL</w:t>
            </w:r>
          </w:p>
        </w:tc>
      </w:tr>
      <w:tr>
        <w:trPr>
          <w:cantSplit/>
          <w:trHeight w:hRule="atLeast"/>
        </w:trPr>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6"/>
              </w:rPr>
              <w:t>T4-CS-010</w:t>
            </w:r>
          </w:p>
        </w:tc>
        <w:tc>
          <w:tcPr>
            <w:tcW w:type="dxa" w:w="6480"/>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T4-PO-004-007 закрыты на формальном уровне; границы закрытия записаны отдельно.</w:t>
            </w:r>
          </w:p>
        </w:tc>
        <w:tc>
          <w:tcPr>
            <w:tcW w:type="dxa" w:w="1584"/>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AUDIT</w:t>
            </w:r>
          </w:p>
        </w:tc>
      </w:tr>
      <w:tr>
        <w:trPr>
          <w:cantSplit/>
          <w:trHeight w:hRule="atLeast"/>
        </w:trPr>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6"/>
              </w:rPr>
              <w:t>T4-CS-011</w:t>
            </w:r>
          </w:p>
        </w:tc>
        <w:tc>
          <w:tcPr>
            <w:tcW w:type="dxa" w:w="6480"/>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Введены ABSTAIN-TYPE/DOMAIN/D/WITNESS/CONFLICT/LAMBDA/STATUS.</w:t>
            </w:r>
          </w:p>
        </w:tc>
        <w:tc>
          <w:tcPr>
            <w:tcW w:type="dxa" w:w="158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DEF</w:t>
            </w:r>
          </w:p>
        </w:tc>
      </w:tr>
      <w:tr>
        <w:trPr>
          <w:cantSplit/>
          <w:trHeight w:hRule="atLeast"/>
        </w:trPr>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6"/>
              </w:rPr>
              <w:t>T4-CS-012</w:t>
            </w:r>
          </w:p>
        </w:tc>
        <w:tc>
          <w:tcPr>
            <w:tcW w:type="dxa" w:w="6480"/>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Сформирована точка отката T4-RA2 и маршрут к T4-ACTION-v0.3.</w:t>
            </w:r>
          </w:p>
        </w:tc>
        <w:tc>
          <w:tcPr>
            <w:tcW w:type="dxa" w:w="1584"/>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ROLLBACK</w:t>
            </w:r>
          </w:p>
        </w:tc>
      </w:tr>
      <w:tr>
        <w:trPr>
          <w:cantSplit/>
          <w:trHeight w:hRule="atLeast"/>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6"/>
              </w:rPr>
              <w:t>T4-CS-013</w:t>
            </w:r>
          </w:p>
        </w:tc>
        <w:tc>
          <w:tcPr>
            <w:tcW w:type="dxa" w:w="648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Приняты и версионированы авторские заметки о свободе воли, РПЛД, причинных дырках и Развороте.</w:t>
            </w:r>
          </w:p>
        </w:tc>
        <w:tc>
          <w:tcPr>
            <w:tcW w:type="dxa" w:w="15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SOURCE/EDITORIAL</w:t>
            </w:r>
          </w:p>
        </w:tc>
      </w:tr>
      <w:tr>
        <w:trPr>
          <w:cantSplit/>
          <w:trHeight w:hRule="atLeast"/>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6"/>
              </w:rPr>
              <w:t>T4-CS-014</w:t>
            </w:r>
          </w:p>
        </w:tc>
        <w:tc>
          <w:tcPr>
            <w:tcW w:type="dxa" w:w="648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6"/>
              </w:rPr>
              <w:t>Различены Eval_h, Sel_h и Δ_h; свобода оценки не отождествляется со свободой начинания.</w:t>
            </w:r>
          </w:p>
        </w:tc>
        <w:tc>
          <w:tcPr>
            <w:tcW w:type="dxa" w:w="15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6"/>
              </w:rPr>
              <w:t>DEF</w:t>
            </w:r>
          </w:p>
        </w:tc>
      </w:tr>
      <w:tr>
        <w:trPr>
          <w:cantSplit/>
          <w:trHeight w:hRule="atLeast"/>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6"/>
              </w:rPr>
              <w:t>T4-CS-015</w:t>
            </w:r>
          </w:p>
        </w:tc>
        <w:tc>
          <w:tcPr>
            <w:tcW w:type="dxa" w:w="648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Введена телесная рамка B_h(s), конус C_body(s) и техническое расширение Dom(Δ_h).</w:t>
            </w:r>
          </w:p>
        </w:tc>
        <w:tc>
          <w:tcPr>
            <w:tcW w:type="dxa" w:w="15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DEF/PROP</w:t>
            </w:r>
          </w:p>
        </w:tc>
      </w:tr>
      <w:tr>
        <w:trPr>
          <w:cantSplit/>
          <w:trHeight w:hRule="atLeast"/>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6"/>
              </w:rPr>
              <w:t>T4-CS-016</w:t>
            </w:r>
          </w:p>
        </w:tc>
        <w:tc>
          <w:tcPr>
            <w:tcW w:type="dxa" w:w="648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6"/>
              </w:rPr>
              <w:t>Построена строгая проектная модель: s₀, направление v_Δ, точка p∞_Δ и линия ℓ_Δ.</w:t>
            </w:r>
          </w:p>
        </w:tc>
        <w:tc>
          <w:tcPr>
            <w:tcW w:type="dxa" w:w="15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6"/>
              </w:rPr>
              <w:t>DEF</w:t>
            </w:r>
          </w:p>
        </w:tc>
      </w:tr>
      <w:tr>
        <w:trPr>
          <w:cantSplit/>
          <w:trHeight w:hRule="atLeast"/>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6"/>
              </w:rPr>
              <w:t>T4-CS-017</w:t>
            </w:r>
          </w:p>
        </w:tc>
        <w:tc>
          <w:tcPr>
            <w:tcW w:type="dxa" w:w="648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«Дырка» формализована как положительное отклонение направления от эндогенного конуса Мира Изменений.</w:t>
            </w:r>
          </w:p>
        </w:tc>
        <w:tc>
          <w:tcPr>
            <w:tcW w:type="dxa" w:w="15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MODEL DEF</w:t>
            </w:r>
          </w:p>
        </w:tc>
      </w:tr>
      <w:tr>
        <w:trPr>
          <w:cantSplit/>
          <w:trHeight w:hRule="atLeast"/>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6"/>
              </w:rPr>
              <w:t>T4-CS-018</w:t>
            </w:r>
          </w:p>
        </w:tc>
        <w:tc>
          <w:tcPr>
            <w:tcW w:type="dxa" w:w="648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6"/>
              </w:rPr>
              <w:t>Доказана формальная совместимость корневого action-node с ациклической причинной цепью.</w:t>
            </w:r>
          </w:p>
        </w:tc>
        <w:tc>
          <w:tcPr>
            <w:tcW w:type="dxa" w:w="15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6"/>
              </w:rPr>
              <w:t>THM-FORMAL</w:t>
            </w:r>
          </w:p>
        </w:tc>
      </w:tr>
      <w:tr>
        <w:trPr>
          <w:cantSplit/>
          <w:trHeight w:hRule="atLeast"/>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6"/>
              </w:rPr>
              <w:t>T4-CS-019</w:t>
            </w:r>
          </w:p>
        </w:tc>
        <w:tc>
          <w:tcPr>
            <w:tcW w:type="dxa" w:w="648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Построена условная теорема затухания следа действия при γ&gt;0 и отсутствии поддержки.</w:t>
            </w:r>
          </w:p>
        </w:tc>
        <w:tc>
          <w:tcPr>
            <w:tcW w:type="dxa" w:w="15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THM-COND</w:t>
            </w:r>
          </w:p>
        </w:tc>
      </w:tr>
      <w:tr>
        <w:trPr>
          <w:cantSplit/>
          <w:trHeight w:hRule="atLeast"/>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6"/>
              </w:rPr>
              <w:t>T4-CS-020</w:t>
            </w:r>
          </w:p>
        </w:tc>
        <w:tc>
          <w:tcPr>
            <w:tcW w:type="dxa" w:w="648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6"/>
              </w:rPr>
              <w:t>Определены поддерживаемая причинная цепь, weakest-edge viability и логистический разрыв.</w:t>
            </w:r>
          </w:p>
        </w:tc>
        <w:tc>
          <w:tcPr>
            <w:tcW w:type="dxa" w:w="15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6"/>
              </w:rPr>
              <w:t>DEF/PROP</w:t>
            </w:r>
          </w:p>
        </w:tc>
      </w:tr>
      <w:tr>
        <w:trPr>
          <w:cantSplit/>
          <w:trHeight w:hRule="atLeast"/>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6"/>
              </w:rPr>
              <w:t>T4-CS-021</w:t>
            </w:r>
          </w:p>
        </w:tc>
        <w:tc>
          <w:tcPr>
            <w:tcW w:type="dxa" w:w="648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Формализовано «оседлание Разворота» через управляемый дрейф и bracket/tacking prior art.</w:t>
            </w:r>
          </w:p>
        </w:tc>
        <w:tc>
          <w:tcPr>
            <w:tcW w:type="dxa" w:w="15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MODEL/PRIOR-ART</w:t>
            </w:r>
          </w:p>
        </w:tc>
      </w:tr>
      <w:tr>
        <w:trPr>
          <w:cantSplit/>
          <w:trHeight w:hRule="atLeast"/>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6"/>
              </w:rPr>
              <w:t>T4-CS-022</w:t>
            </w:r>
          </w:p>
        </w:tc>
        <w:tc>
          <w:tcPr>
            <w:tcW w:type="dxa" w:w="648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6"/>
              </w:rPr>
              <w:t>Шесть выводов Арнольда отделены от KLT-усилений: строгого равенства амплитуд и управляемого лавирования.</w:t>
            </w:r>
          </w:p>
        </w:tc>
        <w:tc>
          <w:tcPr>
            <w:tcW w:type="dxa" w:w="15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6"/>
              </w:rPr>
              <w:t>SOURCE/MODEL</w:t>
            </w:r>
          </w:p>
        </w:tc>
      </w:tr>
      <w:tr>
        <w:trPr>
          <w:cantSplit/>
          <w:trHeight w:hRule="atLeast"/>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6"/>
              </w:rPr>
              <w:t>T4-CS-023</w:t>
            </w:r>
          </w:p>
        </w:tc>
        <w:tc>
          <w:tcPr>
            <w:tcW w:type="dxa" w:w="648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Развиты ретро-Reperная память, инварианты исходного события и D_resp-gate ответственности.</w:t>
            </w:r>
          </w:p>
        </w:tc>
        <w:tc>
          <w:tcPr>
            <w:tcW w:type="dxa" w:w="15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DEF/PROP</w:t>
            </w:r>
          </w:p>
        </w:tc>
      </w:tr>
      <w:tr>
        <w:trPr>
          <w:cantSplit/>
          <w:trHeight w:hRule="atLeast"/>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6"/>
              </w:rPr>
              <w:t>T4-CS-024</w:t>
            </w:r>
          </w:p>
        </w:tc>
        <w:tc>
          <w:tcPr>
            <w:tcW w:type="dxa" w:w="648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6"/>
              </w:rPr>
              <w:t>Локализован библиографический указатель: Арнольд В. И. «Теория катастроф», Наука, 1990, с. 98-102; остаётся сверка первичного скана.</w:t>
            </w:r>
          </w:p>
        </w:tc>
        <w:tc>
          <w:tcPr>
            <w:tcW w:type="dxa" w:w="15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6"/>
              </w:rPr>
              <w:t>PARTIAL SOURCE CLOSE</w:t>
            </w:r>
          </w:p>
        </w:tc>
      </w:tr>
      <w:tr>
        <w:trPr>
          <w:cantSplit/>
          <w:trHeight w:hRule="atLeast"/>
        </w:trPr>
        <w:tc>
          <w:tcPr>
            <w:tcW w:type="dxa" w:w="1361"/>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7"/>
              </w:rPr>
              <w:t>T4-CS-025</w:t>
            </w:r>
          </w:p>
        </w:tc>
        <w:tc>
          <w:tcPr>
            <w:tcW w:type="dxa" w:w="669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Принят источник «заметка1.docx»; статья Миттаг–Леффлера отделена от авторского продолжения Курпишева.</w:t>
            </w:r>
          </w:p>
        </w:tc>
        <w:tc>
          <w:tcPr>
            <w:tcW w:type="dxa" w:w="1587"/>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SOURCE/AUDIT</w:t>
            </w:r>
          </w:p>
        </w:tc>
      </w:tr>
      <w:tr>
        <w:trPr>
          <w:cantSplit/>
          <w:trHeight w:hRule="atLeast"/>
        </w:trPr>
        <w:tc>
          <w:tcPr>
            <w:tcW w:type="dxa" w:w="1361"/>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7"/>
              </w:rPr>
              <w:t>T4-CS-026</w:t>
            </w:r>
          </w:p>
        </w:tc>
        <w:tc>
          <w:tcPr>
            <w:tcW w:type="dxa" w:w="669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Зарегистрированы три библиотечные иллюстрации и подготовлены три аналитические перерисовки без переноса непроверенных формулировок.</w:t>
            </w:r>
          </w:p>
        </w:tc>
        <w:tc>
          <w:tcPr>
            <w:tcW w:type="dxa" w:w="1587"/>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FIG/SOURCE</w:t>
            </w:r>
          </w:p>
        </w:tc>
      </w:tr>
      <w:tr>
        <w:trPr>
          <w:cantSplit/>
          <w:trHeight w:hRule="atLeast"/>
        </w:trPr>
        <w:tc>
          <w:tcPr>
            <w:tcW w:type="dxa" w:w="1361"/>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7"/>
              </w:rPr>
              <w:t>T4-CS-027</w:t>
            </w:r>
          </w:p>
        </w:tc>
        <w:tc>
          <w:tcPr>
            <w:tcW w:type="dxa" w:w="669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Дана точная формулировка теоремы Миттаг–Леффлера и регулярной неоднозначности.</w:t>
            </w:r>
          </w:p>
        </w:tc>
        <w:tc>
          <w:tcPr>
            <w:tcW w:type="dxa" w:w="1587"/>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CLASSICAL THM</w:t>
            </w:r>
          </w:p>
        </w:tc>
      </w:tr>
      <w:tr>
        <w:trPr>
          <w:cantSplit/>
          <w:trHeight w:hRule="atLeast"/>
        </w:trPr>
        <w:tc>
          <w:tcPr>
            <w:tcW w:type="dxa" w:w="1361"/>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7"/>
              </w:rPr>
              <w:t>T4-CS-028</w:t>
            </w:r>
          </w:p>
        </w:tc>
        <w:tc>
          <w:tcPr>
            <w:tcW w:type="dxa" w:w="669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Исправлены специальные формулы: residue(tan)=-1; уточнены multipole/spin и область действия теоремы.</w:t>
            </w:r>
          </w:p>
        </w:tc>
        <w:tc>
          <w:tcPr>
            <w:tcW w:type="dxa" w:w="1587"/>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MATH AUDIT</w:t>
            </w:r>
          </w:p>
        </w:tc>
      </w:tr>
      <w:tr>
        <w:trPr>
          <w:cantSplit/>
          <w:trHeight w:hRule="atLeast"/>
        </w:trPr>
        <w:tc>
          <w:tcPr>
            <w:tcW w:type="dxa" w:w="1361"/>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7"/>
              </w:rPr>
              <w:t>T4-CS-029</w:t>
            </w:r>
          </w:p>
        </w:tc>
        <w:tc>
          <w:tcPr>
            <w:tcW w:type="dxa" w:w="669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Построен sheaf obstruction Ob_ML=δ(p) и KLT blocker-safe local-to-global theorem.</w:t>
            </w:r>
          </w:p>
        </w:tc>
        <w:tc>
          <w:tcPr>
            <w:tcW w:type="dxa" w:w="1587"/>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THM-FORMAL</w:t>
            </w:r>
          </w:p>
        </w:tc>
      </w:tr>
      <w:tr>
        <w:trPr>
          <w:cantSplit/>
          <w:trHeight w:hRule="atLeast"/>
        </w:trPr>
        <w:tc>
          <w:tcPr>
            <w:tcW w:type="dxa" w:w="1361"/>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7"/>
              </w:rPr>
              <w:t>T4-CS-030</w:t>
            </w:r>
          </w:p>
        </w:tc>
        <w:tc>
          <w:tcPr>
            <w:tcW w:type="dxa" w:w="669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Введены counterterm/exhaustion regularization и normal-convergence gate.</w:t>
            </w:r>
          </w:p>
        </w:tc>
        <w:tc>
          <w:tcPr>
            <w:tcW w:type="dxa" w:w="1587"/>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DEF/THM</w:t>
            </w:r>
          </w:p>
        </w:tc>
      </w:tr>
      <w:tr>
        <w:trPr>
          <w:cantSplit/>
          <w:trHeight w:hRule="atLeast"/>
        </w:trPr>
        <w:tc>
          <w:tcPr>
            <w:tcW w:type="dxa" w:w="1361"/>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7"/>
              </w:rPr>
              <w:t>T4-CS-031</w:t>
            </w:r>
          </w:p>
        </w:tc>
        <w:tc>
          <w:tcPr>
            <w:tcW w:type="dxa" w:w="669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Формализованы PIT, Kurpishev stratified projective Reper system и atlas/manifold gate.</w:t>
            </w:r>
          </w:p>
        </w:tc>
        <w:tc>
          <w:tcPr>
            <w:tcW w:type="dxa" w:w="1587"/>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AUTHORIAL DEF</w:t>
            </w:r>
          </w:p>
        </w:tc>
      </w:tr>
      <w:tr>
        <w:trPr>
          <w:cantSplit/>
          <w:trHeight w:hRule="atLeast"/>
        </w:trPr>
        <w:tc>
          <w:tcPr>
            <w:tcW w:type="dxa" w:w="1361"/>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7"/>
              </w:rPr>
              <w:t>T4-CS-032</w:t>
            </w:r>
          </w:p>
        </w:tc>
        <w:tc>
          <w:tcPr>
            <w:tcW w:type="dxa" w:w="669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Формализованы RPLD1/RPLD2/RPLD как типизированные слои восприятия, памяти и складки без онтологического повышения.</w:t>
            </w:r>
          </w:p>
        </w:tc>
        <w:tc>
          <w:tcPr>
            <w:tcW w:type="dxa" w:w="1587"/>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MODEL</w:t>
            </w:r>
          </w:p>
        </w:tc>
      </w:tr>
      <w:tr>
        <w:trPr>
          <w:cantSplit/>
          <w:trHeight w:hRule="atLeast"/>
        </w:trPr>
        <w:tc>
          <w:tcPr>
            <w:tcW w:type="dxa" w:w="1361"/>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7"/>
              </w:rPr>
              <w:t>T4-CS-033</w:t>
            </w:r>
          </w:p>
        </w:tc>
        <w:tc>
          <w:tcPr>
            <w:tcW w:type="dxa" w:w="669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Доказана intersubjective equivalence modulo regular section и введена нескалярная дистанция расхождения.</w:t>
            </w:r>
          </w:p>
        </w:tc>
        <w:tc>
          <w:tcPr>
            <w:tcW w:type="dxa" w:w="1587"/>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THM-FORMAL</w:t>
            </w:r>
          </w:p>
        </w:tc>
      </w:tr>
      <w:tr>
        <w:trPr>
          <w:cantSplit/>
          <w:trHeight w:hRule="atLeast"/>
        </w:trPr>
        <w:tc>
          <w:tcPr>
            <w:tcW w:type="dxa" w:w="1361"/>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7"/>
              </w:rPr>
              <w:t>T4-CS-034</w:t>
            </w:r>
          </w:p>
        </w:tc>
        <w:tc>
          <w:tcPr>
            <w:tcW w:type="dxa" w:w="669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Исторические формы восприятия представлены как изменение cover/gauge с сохраняемым obstruction class.</w:t>
            </w:r>
          </w:p>
        </w:tc>
        <w:tc>
          <w:tcPr>
            <w:tcW w:type="dxa" w:w="1587"/>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CLASSICAL/COND</w:t>
            </w:r>
          </w:p>
        </w:tc>
      </w:tr>
      <w:tr>
        <w:trPr>
          <w:cantSplit/>
          <w:trHeight w:hRule="atLeast"/>
        </w:trPr>
        <w:tc>
          <w:tcPr>
            <w:tcW w:type="dxa" w:w="1361"/>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7"/>
              </w:rPr>
              <w:t>T4-CS-035</w:t>
            </w:r>
          </w:p>
        </w:tc>
        <w:tc>
          <w:tcPr>
            <w:tcW w:type="dxa" w:w="669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Создана точка отката T4-RA4 и матрица экспорта во все ветви проекта.</w:t>
            </w:r>
          </w:p>
        </w:tc>
        <w:tc>
          <w:tcPr>
            <w:tcW w:type="dxa" w:w="1587"/>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7"/>
              </w:rPr>
              <w:t>ROLLBACK/PLAN</w:t>
            </w:r>
          </w:p>
        </w:tc>
      </w:tr>
      <w:tr>
        <w:trPr>
          <w:trHeight w:hRule="atLeast"/>
        </w:trPr>
        <w:tc>
          <w:tcPr>
            <w:tcW w:type="dxa" w:w="136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T4-CS-036</w:t>
            </w:r>
          </w:p>
        </w:tc>
        <w:tc>
          <w:tcPr>
            <w:tcW w:type="dxa" w:w="6690"/>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Принята заметка T4-SRC-016; синхронизирована с legacy «записки.docx» и anthro_lines_en_v6_0.</w:t>
            </w:r>
          </w:p>
        </w:tc>
        <w:tc>
          <w:tcPr>
            <w:tcW w:type="dxa" w:w="158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SOURCE AUDIT</w:t>
            </w:r>
          </w:p>
        </w:tc>
      </w:tr>
      <w:tr>
        <w:trPr>
          <w:trHeight w:hRule="atLeast"/>
        </w:trPr>
        <w:tc>
          <w:tcPr>
            <w:tcW w:type="dxa" w:w="136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T4-CS-037</w:t>
            </w:r>
          </w:p>
        </w:tc>
        <w:tc>
          <w:tcPr>
            <w:tcW w:type="dxa" w:w="6690"/>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R−01/R−1/.../R−4 определены как сосуществующие режимы атласа, а не линейная шкала человеческой ценности.</w:t>
            </w:r>
          </w:p>
        </w:tc>
        <w:tc>
          <w:tcPr>
            <w:tcW w:type="dxa" w:w="158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DEF/ETHICAL GATE</w:t>
            </w:r>
          </w:p>
        </w:tc>
      </w:tr>
      <w:tr>
        <w:trPr>
          <w:trHeight w:hRule="atLeast"/>
        </w:trPr>
        <w:tc>
          <w:tcPr>
            <w:tcW w:type="dxa" w:w="136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T4-CS-038</w:t>
            </w:r>
          </w:p>
        </w:tc>
        <w:tc>
          <w:tcPr>
            <w:tcW w:type="dxa" w:w="6690"/>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Введена матрица «Перьев» K(A); доказаны кососимметричность, чётность ранга, kernel и парный спектр.</w:t>
            </w:r>
          </w:p>
        </w:tc>
        <w:tc>
          <w:tcPr>
            <w:tcW w:type="dxa" w:w="158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THM-FORMAL</w:t>
            </w:r>
          </w:p>
        </w:tc>
      </w:tr>
      <w:tr>
        <w:trPr>
          <w:trHeight w:hRule="atLeast"/>
        </w:trPr>
        <w:tc>
          <w:tcPr>
            <w:tcW w:type="dxa" w:w="136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T4-CS-039</w:t>
            </w:r>
          </w:p>
        </w:tc>
        <w:tc>
          <w:tcPr>
            <w:tcW w:type="dxa" w:w="6690"/>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Построена минимальная опорная факторизация A=UV через пространство размерности rank(A).</w:t>
            </w:r>
          </w:p>
        </w:tc>
        <w:tc>
          <w:tcPr>
            <w:tcW w:type="dxa" w:w="158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CLASSICAL THM/KLT INTERPRETATION</w:t>
            </w:r>
          </w:p>
        </w:tc>
      </w:tr>
      <w:tr>
        <w:trPr>
          <w:trHeight w:hRule="atLeast"/>
        </w:trPr>
        <w:tc>
          <w:tcPr>
            <w:tcW w:type="dxa" w:w="136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T4-CS-040</w:t>
            </w:r>
          </w:p>
        </w:tc>
        <w:tc>
          <w:tcPr>
            <w:tcW w:type="dxa" w:w="6690"/>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Различены action, trace, consequence и support; доказана неидентифицируемость причины при неинъективном следовом операторе.</w:t>
            </w:r>
          </w:p>
        </w:tc>
        <w:tc>
          <w:tcPr>
            <w:tcW w:type="dxa" w:w="158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THM-FORMAL</w:t>
            </w:r>
          </w:p>
        </w:tc>
      </w:tr>
      <w:tr>
        <w:trPr>
          <w:trHeight w:hRule="atLeast"/>
        </w:trPr>
        <w:tc>
          <w:tcPr>
            <w:tcW w:type="dxa" w:w="136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T4-CS-041</w:t>
            </w:r>
          </w:p>
        </w:tc>
        <w:tc>
          <w:tcPr>
            <w:tcW w:type="dxa" w:w="6690"/>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Daemon определён как gap-node, а не сущность; «демон Галилея» помечен как авторский, неканонический термин.</w:t>
            </w:r>
          </w:p>
        </w:tc>
        <w:tc>
          <w:tcPr>
            <w:tcW w:type="dxa" w:w="158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DEF/SOURCE BOUNDARY</w:t>
            </w:r>
          </w:p>
        </w:tc>
      </w:tr>
      <w:tr>
        <w:trPr>
          <w:trHeight w:hRule="atLeast"/>
        </w:trPr>
        <w:tc>
          <w:tcPr>
            <w:tcW w:type="dxa" w:w="136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T4-CS-042</w:t>
            </w:r>
          </w:p>
        </w:tc>
        <w:tc>
          <w:tcPr>
            <w:tcW w:type="dxa" w:w="6690"/>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Критически уточнён Леви-Брюль с учётом поздних Carnets и современной дискуссии participation/causality.</w:t>
            </w:r>
          </w:p>
        </w:tc>
        <w:tc>
          <w:tcPr>
            <w:tcW w:type="dxa" w:w="158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PRIOR-ART AUDIT</w:t>
            </w:r>
          </w:p>
        </w:tc>
      </w:tr>
      <w:tr>
        <w:trPr>
          <w:trHeight w:hRule="atLeast"/>
        </w:trPr>
        <w:tc>
          <w:tcPr>
            <w:tcW w:type="dxa" w:w="136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T4-CS-043</w:t>
            </w:r>
          </w:p>
        </w:tc>
        <w:tc>
          <w:tcPr>
            <w:tcW w:type="dxa" w:w="6690"/>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«Загадка Еноха» формализована как HERM-MODEL с текстологическими и теологическими firewall.</w:t>
            </w:r>
          </w:p>
        </w:tc>
        <w:tc>
          <w:tcPr>
            <w:tcW w:type="dxa" w:w="158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HERM-MODEL</w:t>
            </w:r>
          </w:p>
        </w:tc>
      </w:tr>
      <w:tr>
        <w:trPr>
          <w:trHeight w:hRule="atLeast"/>
        </w:trPr>
        <w:tc>
          <w:tcPr>
            <w:tcW w:type="dxa" w:w="136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T4-CS-044</w:t>
            </w:r>
          </w:p>
        </w:tc>
        <w:tc>
          <w:tcPr>
            <w:tcW w:type="dxa" w:w="6690"/>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Создана точка отката T4-RA5 и блокеры Melichron/Confucian/Enoch-history/Satan-covenant.</w:t>
            </w:r>
          </w:p>
        </w:tc>
        <w:tc>
          <w:tcPr>
            <w:tcW w:type="dxa" w:w="158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ROLLBACK/BLOCKERS</w:t>
            </w:r>
          </w:p>
        </w:tc>
      </w:tr>
      <w:tr>
        <w:trPr>
          <w:trHeight w:hRule="atLeast"/>
        </w:trPr>
        <w:tc>
          <w:tcPr>
            <w:tcW w:type="dxa" w:w="136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T4-CS-045</w:t>
            </w:r>
          </w:p>
        </w:tc>
        <w:tc>
          <w:tcPr>
            <w:tcW w:type="dxa" w:w="669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Философская пятислойная рамка закреплена как редакционная норма всех последующих глав Тома IV.</w:t>
            </w:r>
          </w:p>
        </w:tc>
        <w:tc>
          <w:tcPr>
            <w:tcW w:type="dxa" w:w="158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EDITORIAL DEF</w:t>
            </w:r>
          </w:p>
        </w:tc>
      </w:tr>
      <w:tr>
        <w:trPr>
          <w:trHeight w:hRule="atLeast"/>
        </w:trPr>
        <w:tc>
          <w:tcPr>
            <w:tcW w:type="dxa" w:w="136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T4-CS-046</w:t>
            </w:r>
          </w:p>
        </w:tc>
        <w:tc>
          <w:tcPr>
            <w:tcW w:type="dxa" w:w="669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В фиксированной формальной среде различены открытие Disc_E, изобретение Inv и математическое видение Vis.</w:t>
            </w:r>
          </w:p>
        </w:tc>
        <w:tc>
          <w:tcPr>
            <w:tcW w:type="dxa" w:w="158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DEF/THM-FORMAL</w:t>
            </w:r>
          </w:p>
        </w:tc>
      </w:tr>
      <w:tr>
        <w:trPr>
          <w:trHeight w:hRule="atLeast"/>
        </w:trPr>
        <w:tc>
          <w:tcPr>
            <w:tcW w:type="dxa" w:w="136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T4-CS-047</w:t>
            </w:r>
          </w:p>
        </w:tc>
        <w:tc>
          <w:tcPr>
            <w:tcW w:type="dxa" w:w="669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Доказано, что математическое видение не авторизует truth-status без независимого proof gate.</w:t>
            </w:r>
          </w:p>
        </w:tc>
        <w:tc>
          <w:tcPr>
            <w:tcW w:type="dxa" w:w="158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STATUS THM</w:t>
            </w:r>
          </w:p>
        </w:tc>
      </w:tr>
      <w:tr>
        <w:trPr>
          <w:trHeight w:hRule="atLeast"/>
        </w:trPr>
        <w:tc>
          <w:tcPr>
            <w:tcW w:type="dxa" w:w="136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T4-CS-048</w:t>
            </w:r>
          </w:p>
        </w:tc>
        <w:tc>
          <w:tcPr>
            <w:tcW w:type="dxa" w:w="669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Введён вектор новизны объекта, правила, представления, доказательства и применения.</w:t>
            </w:r>
          </w:p>
        </w:tc>
        <w:tc>
          <w:tcPr>
            <w:tcW w:type="dxa" w:w="158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AUTHORIAL DEF</w:t>
            </w:r>
          </w:p>
        </w:tc>
      </w:tr>
      <w:tr>
        <w:trPr>
          <w:trHeight w:hRule="atLeast"/>
        </w:trPr>
        <w:tc>
          <w:tcPr>
            <w:tcW w:type="dxa" w:w="136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T4-CS-049</w:t>
            </w:r>
          </w:p>
        </w:tc>
        <w:tc>
          <w:tcPr>
            <w:tcW w:type="dxa" w:w="669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Построена теорема корректного переноса D через переводящий мост и коммутирующую диаграмму.</w:t>
            </w:r>
          </w:p>
        </w:tc>
        <w:tc>
          <w:tcPr>
            <w:tcW w:type="dxa" w:w="158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THM-FORMAL</w:t>
            </w:r>
          </w:p>
        </w:tc>
      </w:tr>
      <w:tr>
        <w:trPr>
          <w:trHeight w:hRule="atLeast"/>
        </w:trPr>
        <w:tc>
          <w:tcPr>
            <w:tcW w:type="dxa" w:w="136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T4-CS-050</w:t>
            </w:r>
          </w:p>
        </w:tc>
        <w:tc>
          <w:tcPr>
            <w:tcW w:type="dxa" w:w="669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foreign-D отделён от несогласия, переинтерпретации, ошибки перевода и подделки.</w:t>
            </w:r>
          </w:p>
        </w:tc>
        <w:tc>
          <w:tcPr>
            <w:tcW w:type="dxa" w:w="158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TYPE/ETHICAL GATE</w:t>
            </w:r>
          </w:p>
        </w:tc>
      </w:tr>
      <w:tr>
        <w:trPr>
          <w:trHeight w:hRule="atLeast"/>
        </w:trPr>
        <w:tc>
          <w:tcPr>
            <w:tcW w:type="dxa" w:w="136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T4-CS-051</w:t>
            </w:r>
          </w:p>
        </w:tc>
        <w:tc>
          <w:tcPr>
            <w:tcW w:type="dxa" w:w="669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AnthroCGI переопределён как типизированный нескалярный вектор разрывов.</w:t>
            </w:r>
          </w:p>
        </w:tc>
        <w:tc>
          <w:tcPr>
            <w:tcW w:type="dxa" w:w="158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DEF/NO-SCALARIZATION</w:t>
            </w:r>
          </w:p>
        </w:tc>
      </w:tr>
      <w:tr>
        <w:trPr>
          <w:trHeight w:hRule="atLeast"/>
        </w:trPr>
        <w:tc>
          <w:tcPr>
            <w:tcW w:type="dxa" w:w="136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T4-CS-052</w:t>
            </w:r>
          </w:p>
        </w:tc>
        <w:tc>
          <w:tcPr>
            <w:tcW w:type="dxa" w:w="669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Доказано отсутствие канонической скаляризации AnthroCGI без доменных весов и правила агрегации.</w:t>
            </w:r>
          </w:p>
        </w:tc>
        <w:tc>
          <w:tcPr>
            <w:tcW w:type="dxa" w:w="158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THM-FORMAL</w:t>
            </w:r>
          </w:p>
        </w:tc>
      </w:tr>
      <w:tr>
        <w:trPr>
          <w:trHeight w:hRule="atLeast"/>
        </w:trPr>
        <w:tc>
          <w:tcPr>
            <w:tcW w:type="dxa" w:w="136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T4-CS-053</w:t>
            </w:r>
          </w:p>
        </w:tc>
        <w:tc>
          <w:tcPr>
            <w:tcW w:type="dxa" w:w="669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Документ, архив и внешняя память получили типы, morphism/custody/provenance слой и реконструкционный gate.</w:t>
            </w:r>
          </w:p>
        </w:tc>
        <w:tc>
          <w:tcPr>
            <w:tcW w:type="dxa" w:w="158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DEF/PROP</w:t>
            </w:r>
          </w:p>
        </w:tc>
      </w:tr>
      <w:tr>
        <w:trPr>
          <w:trHeight w:hRule="atLeast"/>
        </w:trPr>
        <w:tc>
          <w:tcPr>
            <w:tcW w:type="dxa" w:w="136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T4-CS-054</w:t>
            </w:r>
          </w:p>
        </w:tc>
        <w:tc>
          <w:tcPr>
            <w:tcW w:type="dxa" w:w="669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Доказана неинъективность перехода от прожитого события к документу в общем случае.</w:t>
            </w:r>
          </w:p>
        </w:tc>
        <w:tc>
          <w:tcPr>
            <w:tcW w:type="dxa" w:w="158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THM-FORMAL</w:t>
            </w:r>
          </w:p>
        </w:tc>
      </w:tr>
      <w:tr>
        <w:trPr>
          <w:trHeight w:hRule="atLeast"/>
        </w:trPr>
        <w:tc>
          <w:tcPr>
            <w:tcW w:type="dxa" w:w="136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T4-CS-055</w:t>
            </w:r>
          </w:p>
        </w:tc>
        <w:tc>
          <w:tcPr>
            <w:tcW w:type="dxa" w:w="669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Различены подлинность, истинность, надёжность, релевантность и достаточность документа.</w:t>
            </w:r>
          </w:p>
        </w:tc>
        <w:tc>
          <w:tcPr>
            <w:tcW w:type="dxa" w:w="158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TYPE FIREWALL</w:t>
            </w:r>
          </w:p>
        </w:tc>
      </w:tr>
      <w:tr>
        <w:trPr>
          <w:trHeight w:hRule="atLeast"/>
        </w:trPr>
        <w:tc>
          <w:tcPr>
            <w:tcW w:type="dxa" w:w="136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T4-CS-056</w:t>
            </w:r>
          </w:p>
        </w:tc>
        <w:tc>
          <w:tcPr>
            <w:tcW w:type="dxa" w:w="669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Создана точка отката T4-RA6 и переход к T4-MACHINE-v0.7.</w:t>
            </w:r>
          </w:p>
        </w:tc>
        <w:tc>
          <w:tcPr>
            <w:tcW w:type="dxa" w:w="158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6"/>
              </w:rPr>
              <w:t>ROLLBACK/PLAN</w:t>
            </w:r>
          </w:p>
        </w:tc>
      </w:tr>
      <w:tr>
        <w:trPr>
          <w:trHeight w:hRule="atLeast"/>
        </w:trPr>
        <w:tc>
          <w:tcPr>
            <w:tcW w:type="dxa" w:w="151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T4-CS-061</w:t>
            </w:r>
          </w:p>
        </w:tc>
        <w:tc>
          <w:tcPr>
            <w:tcW w:type="dxa" w:w="648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Зафиксирован первичный authorial source T4-SRC-025: два постоянных ядра KLT-RBD.</w:t>
            </w:r>
          </w:p>
        </w:tc>
        <w:tc>
          <w:tcPr>
            <w:tcW w:type="dxa" w:w="158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AUTHORIAL SOURCE</w:t>
            </w:r>
          </w:p>
        </w:tc>
      </w:tr>
      <w:tr>
        <w:trPr>
          <w:trHeight w:hRule="atLeast"/>
        </w:trPr>
        <w:tc>
          <w:tcPr>
            <w:tcW w:type="dxa" w:w="151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T4-CS-062</w:t>
            </w:r>
          </w:p>
        </w:tc>
        <w:tc>
          <w:tcPr>
            <w:tcW w:type="dxa" w:w="648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Введены индекс Size@Dimension, поля Θ_K, g_K, A_K и пакет P@P=(PIX,PEAKS).</w:t>
            </w:r>
          </w:p>
        </w:tc>
        <w:tc>
          <w:tcPr>
            <w:tcW w:type="dxa" w:w="1584"/>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DEF</w:t>
            </w:r>
          </w:p>
        </w:tc>
      </w:tr>
      <w:tr>
        <w:trPr>
          <w:trHeight w:hRule="atLeast"/>
        </w:trPr>
        <w:tc>
          <w:tcPr>
            <w:tcW w:type="dxa" w:w="151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T4-CS-063</w:t>
            </w:r>
          </w:p>
        </w:tc>
        <w:tc>
          <w:tcPr>
            <w:tcW w:type="dxa" w:w="648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Сформулирована KLT-A1: вариационное порождение C@C.</w:t>
            </w:r>
          </w:p>
        </w:tc>
        <w:tc>
          <w:tcPr>
            <w:tcW w:type="dxa" w:w="158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AXIOM</w:t>
            </w:r>
          </w:p>
        </w:tc>
      </w:tr>
      <w:tr>
        <w:trPr>
          <w:trHeight w:hRule="atLeast"/>
        </w:trPr>
        <w:tc>
          <w:tcPr>
            <w:tcW w:type="dxa" w:w="151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T4-CS-064</w:t>
            </w:r>
          </w:p>
        </w:tc>
        <w:tc>
          <w:tcPr>
            <w:tcW w:type="dxa" w:w="648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Сформулирована KLT-A2: инвариантность в допустимой пакетной группоиде.</w:t>
            </w:r>
          </w:p>
        </w:tc>
        <w:tc>
          <w:tcPr>
            <w:tcW w:type="dxa" w:w="1584"/>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AXIOM</w:t>
            </w:r>
          </w:p>
        </w:tc>
      </w:tr>
      <w:tr>
        <w:trPr>
          <w:trHeight w:hRule="atLeast"/>
        </w:trPr>
        <w:tc>
          <w:tcPr>
            <w:tcW w:type="dxa" w:w="151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T4-CS-065</w:t>
            </w:r>
          </w:p>
        </w:tc>
        <w:tc>
          <w:tcPr>
            <w:tcW w:type="dxa" w:w="648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Добавлены amplitude relation, realization gate и quotient-rigidity.</w:t>
            </w:r>
          </w:p>
        </w:tc>
        <w:tc>
          <w:tcPr>
            <w:tcW w:type="dxa" w:w="158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DEF/COND</w:t>
            </w:r>
          </w:p>
        </w:tc>
      </w:tr>
      <w:tr>
        <w:trPr>
          <w:trHeight w:hRule="atLeast"/>
        </w:trPr>
        <w:tc>
          <w:tcPr>
            <w:tcW w:type="dxa" w:w="151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T4-CS-066</w:t>
            </w:r>
          </w:p>
        </w:tc>
        <w:tc>
          <w:tcPr>
            <w:tcW w:type="dxa" w:w="648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Построен reduction functor R_H и доказана формальная редукция к Hilbert I-II.</w:t>
            </w:r>
          </w:p>
        </w:tc>
        <w:tc>
          <w:tcPr>
            <w:tcW w:type="dxa" w:w="1584"/>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THM-FORMAL</w:t>
            </w:r>
          </w:p>
        </w:tc>
      </w:tr>
      <w:tr>
        <w:trPr>
          <w:trHeight w:hRule="atLeast"/>
        </w:trPr>
        <w:tc>
          <w:tcPr>
            <w:tcW w:type="dxa" w:w="151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T4-CS-067</w:t>
            </w:r>
          </w:p>
        </w:tc>
        <w:tc>
          <w:tcPr>
            <w:tcW w:type="dxa" w:w="648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Доказана необратимость Hilbert reduction.</w:t>
            </w:r>
          </w:p>
        </w:tc>
        <w:tc>
          <w:tcPr>
            <w:tcW w:type="dxa" w:w="158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THM/COUNTERMODEL</w:t>
            </w:r>
          </w:p>
        </w:tc>
      </w:tr>
      <w:tr>
        <w:trPr>
          <w:trHeight w:hRule="atLeast"/>
        </w:trPr>
        <w:tc>
          <w:tcPr>
            <w:tcW w:type="dxa" w:w="151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T4-CS-068</w:t>
            </w:r>
          </w:p>
        </w:tc>
        <w:tc>
          <w:tcPr>
            <w:tcW w:type="dxa" w:w="648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Локализован Noether bridge в гладком ассоциативном слое.</w:t>
            </w:r>
          </w:p>
        </w:tc>
        <w:tc>
          <w:tcPr>
            <w:tcW w:type="dxa" w:w="1584"/>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CLASSICAL BRIDGE</w:t>
            </w:r>
          </w:p>
        </w:tc>
      </w:tr>
      <w:tr>
        <w:trPr>
          <w:trHeight w:hRule="atLeast"/>
        </w:trPr>
        <w:tc>
          <w:tcPr>
            <w:tcW w:type="dxa" w:w="151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T4-CS-069</w:t>
            </w:r>
          </w:p>
        </w:tc>
        <w:tc>
          <w:tcPr>
            <w:tcW w:type="dxa" w:w="648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Философски усилены пролог и начала глав 1-4.</w:t>
            </w:r>
          </w:p>
        </w:tc>
        <w:tc>
          <w:tcPr>
            <w:tcW w:type="dxa" w:w="158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PHILOSOPHICAL REVISION</w:t>
            </w:r>
          </w:p>
        </w:tc>
      </w:tr>
      <w:tr>
        <w:trPr>
          <w:trHeight w:hRule="atLeast"/>
        </w:trPr>
        <w:tc>
          <w:tcPr>
            <w:tcW w:type="dxa" w:w="151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T4-CS-070</w:t>
            </w:r>
          </w:p>
        </w:tc>
        <w:tc>
          <w:tcPr>
            <w:tcW w:type="dxa" w:w="648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Развёрнута глава 21 о человеке и машинной памяти KLT-RBD.</w:t>
            </w:r>
          </w:p>
        </w:tc>
        <w:tc>
          <w:tcPr>
            <w:tcW w:type="dxa" w:w="1584"/>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DEF/ETHICS</w:t>
            </w:r>
          </w:p>
        </w:tc>
      </w:tr>
      <w:tr>
        <w:trPr>
          <w:trHeight w:hRule="atLeast"/>
        </w:trPr>
        <w:tc>
          <w:tcPr>
            <w:tcW w:type="dxa" w:w="151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T4-CS-071</w:t>
            </w:r>
          </w:p>
        </w:tc>
        <w:tc>
          <w:tcPr>
            <w:tcW w:type="dxa" w:w="648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Развёрнута глава 22 о пяти междисциплинарных адаптерах.</w:t>
            </w:r>
          </w:p>
        </w:tc>
        <w:tc>
          <w:tcPr>
            <w:tcW w:type="dxa" w:w="158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MODEL/THM-FORMAL</w:t>
            </w:r>
          </w:p>
        </w:tc>
      </w:tr>
      <w:tr>
        <w:trPr>
          <w:trHeight w:hRule="atLeast"/>
        </w:trPr>
        <w:tc>
          <w:tcPr>
            <w:tcW w:type="dxa" w:w="151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T4-CS-072</w:t>
            </w:r>
          </w:p>
        </w:tc>
        <w:tc>
          <w:tcPr>
            <w:tcW w:type="dxa" w:w="648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Создана точка отката T4-RA7 и новый status firewall.</w:t>
            </w:r>
          </w:p>
        </w:tc>
        <w:tc>
          <w:tcPr>
            <w:tcW w:type="dxa" w:w="1584"/>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ROLLBACK</w:t>
            </w:r>
          </w:p>
        </w:tc>
      </w:tr>
      <w:tr>
        <w:tc>
          <w:tcPr>
            <w:tcW w:type="dxa" w:w="1584"/>
            <w:tcMar>
              <w:top w:w="90" w:type="dxa"/>
              <w:start w:w="100" w:type="dxa"/>
              <w:bottom w:w="90" w:type="dxa"/>
              <w:end w:w="100" w:type="dxa"/>
            </w:tcMar>
            <w:vAlign w:val="center"/>
            <w:shd w:fill="F4F6F9"/>
          </w:tcPr>
          <w:p>
            <w:pPr>
              <w:jc w:val="center"/>
            </w:pPr>
            <w:r>
              <w:rPr>
                <w:rFonts w:ascii="DejaVu Serif" w:hAnsi="DejaVu Serif" w:eastAsia="DejaVu Serif"/>
                <w:b w:val="0"/>
                <w:sz w:val="15"/>
              </w:rPr>
              <w:t>T4-CS-073</w:t>
            </w:r>
          </w:p>
        </w:tc>
        <w:tc>
          <w:tcPr>
            <w:tcW w:type="dxa" w:w="6696"/>
            <w:tcMar>
              <w:top w:w="90" w:type="dxa"/>
              <w:start w:w="100" w:type="dxa"/>
              <w:bottom w:w="90" w:type="dxa"/>
              <w:end w:w="100" w:type="dxa"/>
            </w:tcMar>
            <w:vAlign w:val="center"/>
            <w:shd w:fill="F4F6F9"/>
          </w:tcPr>
          <w:p>
            <w:pPr>
              <w:jc w:val="left"/>
            </w:pPr>
            <w:r>
              <w:rPr>
                <w:rFonts w:ascii="DejaVu Serif" w:hAnsi="DejaVu Serif" w:eastAsia="DejaVu Serif"/>
                <w:b w:val="0"/>
                <w:sz w:val="15"/>
              </w:rPr>
              <w:t>Зафиксирована пользовательская директива T4-SRC-026 о максимальном усилении философии и антропологии Тома IV.</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5"/>
              </w:rPr>
              <w:t>AUTHORIAL SOURCE</w:t>
            </w:r>
          </w:p>
        </w:tc>
      </w:tr>
      <w:tr>
        <w:tc>
          <w:tcPr>
            <w:tcW w:type="dxa" w:w="1584"/>
            <w:tcMar>
              <w:top w:w="90" w:type="dxa"/>
              <w:start w:w="100" w:type="dxa"/>
              <w:bottom w:w="90" w:type="dxa"/>
              <w:end w:w="100" w:type="dxa"/>
            </w:tcMar>
            <w:vAlign w:val="center"/>
          </w:tcPr>
          <w:p>
            <w:pPr>
              <w:jc w:val="center"/>
            </w:pPr>
            <w:r>
              <w:rPr>
                <w:rFonts w:ascii="DejaVu Serif" w:hAnsi="DejaVu Serif" w:eastAsia="DejaVu Serif"/>
                <w:b w:val="0"/>
                <w:sz w:val="15"/>
              </w:rPr>
              <w:t>T4-CS-074</w:t>
            </w:r>
          </w:p>
        </w:tc>
        <w:tc>
          <w:tcPr>
            <w:tcW w:type="dxa" w:w="6696"/>
            <w:tcMar>
              <w:top w:w="90" w:type="dxa"/>
              <w:start w:w="100" w:type="dxa"/>
              <w:bottom w:w="90" w:type="dxa"/>
              <w:end w:w="100" w:type="dxa"/>
            </w:tcMar>
            <w:vAlign w:val="center"/>
          </w:tcPr>
          <w:p>
            <w:pPr>
              <w:jc w:val="left"/>
            </w:pPr>
            <w:r>
              <w:rPr>
                <w:rFonts w:ascii="DejaVu Serif" w:hAnsi="DejaVu Serif" w:eastAsia="DejaVu Serif"/>
                <w:b w:val="0"/>
                <w:sz w:val="15"/>
              </w:rPr>
              <w:t>Добавлен философский пролог «Человек как место, где мир становится вопросом».</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5"/>
              </w:rPr>
              <w:t>PHILOSOPHICAL REVISION</w:t>
            </w:r>
          </w:p>
        </w:tc>
      </w:tr>
      <w:tr>
        <w:tc>
          <w:tcPr>
            <w:tcW w:type="dxa" w:w="1584"/>
            <w:tcMar>
              <w:top w:w="90" w:type="dxa"/>
              <w:start w:w="100" w:type="dxa"/>
              <w:bottom w:w="90" w:type="dxa"/>
              <w:end w:w="100" w:type="dxa"/>
            </w:tcMar>
            <w:vAlign w:val="center"/>
            <w:shd w:fill="F4F6F9"/>
          </w:tcPr>
          <w:p>
            <w:pPr>
              <w:jc w:val="center"/>
            </w:pPr>
            <w:r>
              <w:rPr>
                <w:rFonts w:ascii="DejaVu Serif" w:hAnsi="DejaVu Serif" w:eastAsia="DejaVu Serif"/>
                <w:b w:val="0"/>
                <w:sz w:val="15"/>
              </w:rPr>
              <w:t>T4-CS-075</w:t>
            </w:r>
          </w:p>
        </w:tc>
        <w:tc>
          <w:tcPr>
            <w:tcW w:type="dxa" w:w="6696"/>
            <w:tcMar>
              <w:top w:w="90" w:type="dxa"/>
              <w:start w:w="100" w:type="dxa"/>
              <w:bottom w:w="90" w:type="dxa"/>
              <w:end w:w="100" w:type="dxa"/>
            </w:tcMar>
            <w:vAlign w:val="center"/>
            <w:shd w:fill="F4F6F9"/>
          </w:tcPr>
          <w:p>
            <w:pPr>
              <w:jc w:val="left"/>
            </w:pPr>
            <w:r>
              <w:rPr>
                <w:rFonts w:ascii="DejaVu Serif" w:hAnsi="DejaVu Serif" w:eastAsia="DejaVu Serif"/>
                <w:b w:val="0"/>
                <w:sz w:val="15"/>
              </w:rPr>
              <w:t>Введены семь антропологических констант Human_R: телесность, свобода, язык, память, Другой, ответственность, конечность.</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5"/>
              </w:rPr>
              <w:t>DEF/HERM</w:t>
            </w:r>
          </w:p>
        </w:tc>
      </w:tr>
      <w:tr>
        <w:tc>
          <w:tcPr>
            <w:tcW w:type="dxa" w:w="1584"/>
            <w:tcMar>
              <w:top w:w="90" w:type="dxa"/>
              <w:start w:w="100" w:type="dxa"/>
              <w:bottom w:w="90" w:type="dxa"/>
              <w:end w:w="100" w:type="dxa"/>
            </w:tcMar>
            <w:vAlign w:val="center"/>
          </w:tcPr>
          <w:p>
            <w:pPr>
              <w:jc w:val="center"/>
            </w:pPr>
            <w:r>
              <w:rPr>
                <w:rFonts w:ascii="DejaVu Serif" w:hAnsi="DejaVu Serif" w:eastAsia="DejaVu Serif"/>
                <w:b w:val="0"/>
                <w:sz w:val="15"/>
              </w:rPr>
              <w:t>T4-CS-076</w:t>
            </w:r>
          </w:p>
        </w:tc>
        <w:tc>
          <w:tcPr>
            <w:tcW w:type="dxa" w:w="6696"/>
            <w:tcMar>
              <w:top w:w="90" w:type="dxa"/>
              <w:start w:w="100" w:type="dxa"/>
              <w:bottom w:w="90" w:type="dxa"/>
              <w:end w:w="100" w:type="dxa"/>
            </w:tcMar>
            <w:vAlign w:val="center"/>
          </w:tcPr>
          <w:p>
            <w:pPr>
              <w:jc w:val="left"/>
            </w:pPr>
            <w:r>
              <w:rPr>
                <w:rFonts w:ascii="DejaVu Serif" w:hAnsi="DejaVu Serif" w:eastAsia="DejaVu Serif"/>
                <w:b w:val="0"/>
                <w:sz w:val="15"/>
              </w:rPr>
              <w:t>Определён принцип антропологического остатка при редукции и кодировании.</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5"/>
              </w:rPr>
              <w:t>DEF/THM-FORMAL</w:t>
            </w:r>
          </w:p>
        </w:tc>
      </w:tr>
      <w:tr>
        <w:tc>
          <w:tcPr>
            <w:tcW w:type="dxa" w:w="1584"/>
            <w:tcMar>
              <w:top w:w="90" w:type="dxa"/>
              <w:start w:w="100" w:type="dxa"/>
              <w:bottom w:w="90" w:type="dxa"/>
              <w:end w:w="100" w:type="dxa"/>
            </w:tcMar>
            <w:vAlign w:val="center"/>
            <w:shd w:fill="F4F6F9"/>
          </w:tcPr>
          <w:p>
            <w:pPr>
              <w:jc w:val="center"/>
            </w:pPr>
            <w:r>
              <w:rPr>
                <w:rFonts w:ascii="DejaVu Serif" w:hAnsi="DejaVu Serif" w:eastAsia="DejaVu Serif"/>
                <w:b w:val="0"/>
                <w:sz w:val="15"/>
              </w:rPr>
              <w:t>T4-CS-077</w:t>
            </w:r>
          </w:p>
        </w:tc>
        <w:tc>
          <w:tcPr>
            <w:tcW w:type="dxa" w:w="6696"/>
            <w:tcMar>
              <w:top w:w="90" w:type="dxa"/>
              <w:start w:w="100" w:type="dxa"/>
              <w:bottom w:w="90" w:type="dxa"/>
              <w:end w:w="100" w:type="dxa"/>
            </w:tcMar>
            <w:vAlign w:val="center"/>
            <w:shd w:fill="F4F6F9"/>
          </w:tcPr>
          <w:p>
            <w:pPr>
              <w:jc w:val="left"/>
            </w:pPr>
            <w:r>
              <w:rPr>
                <w:rFonts w:ascii="DejaVu Serif" w:hAnsi="DejaVu Serif" w:eastAsia="DejaVu Serif"/>
                <w:b w:val="0"/>
                <w:sz w:val="15"/>
              </w:rPr>
              <w:t>Завершена глава 23 о философии естествознания KLT.</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5"/>
              </w:rPr>
              <w:t>PHILOSOPHY OF SCIENCE</w:t>
            </w:r>
          </w:p>
        </w:tc>
      </w:tr>
      <w:tr>
        <w:tc>
          <w:tcPr>
            <w:tcW w:type="dxa" w:w="1584"/>
            <w:tcMar>
              <w:top w:w="90" w:type="dxa"/>
              <w:start w:w="100" w:type="dxa"/>
              <w:bottom w:w="90" w:type="dxa"/>
              <w:end w:w="100" w:type="dxa"/>
            </w:tcMar>
            <w:vAlign w:val="center"/>
          </w:tcPr>
          <w:p>
            <w:pPr>
              <w:jc w:val="center"/>
            </w:pPr>
            <w:r>
              <w:rPr>
                <w:rFonts w:ascii="DejaVu Serif" w:hAnsi="DejaVu Serif" w:eastAsia="DejaVu Serif"/>
                <w:b w:val="0"/>
                <w:sz w:val="15"/>
              </w:rPr>
              <w:t>T4-CS-078</w:t>
            </w:r>
          </w:p>
        </w:tc>
        <w:tc>
          <w:tcPr>
            <w:tcW w:type="dxa" w:w="6696"/>
            <w:tcMar>
              <w:top w:w="90" w:type="dxa"/>
              <w:start w:w="100" w:type="dxa"/>
              <w:bottom w:w="90" w:type="dxa"/>
              <w:end w:w="100" w:type="dxa"/>
            </w:tcMar>
            <w:vAlign w:val="center"/>
          </w:tcPr>
          <w:p>
            <w:pPr>
              <w:jc w:val="left"/>
            </w:pPr>
            <w:r>
              <w:rPr>
                <w:rFonts w:ascii="DejaVu Serif" w:hAnsi="DejaVu Serif" w:eastAsia="DejaVu Serif"/>
                <w:b w:val="0"/>
                <w:sz w:val="15"/>
              </w:rPr>
              <w:t>Различены мир, явление, запись, модель и публикуемый тезис.</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5"/>
              </w:rPr>
              <w:t>TYPE FIREWALL</w:t>
            </w:r>
          </w:p>
        </w:tc>
      </w:tr>
      <w:tr>
        <w:tc>
          <w:tcPr>
            <w:tcW w:type="dxa" w:w="1584"/>
            <w:tcMar>
              <w:top w:w="90" w:type="dxa"/>
              <w:start w:w="100" w:type="dxa"/>
              <w:bottom w:w="90" w:type="dxa"/>
              <w:end w:w="100" w:type="dxa"/>
            </w:tcMar>
            <w:vAlign w:val="center"/>
            <w:shd w:fill="F4F6F9"/>
          </w:tcPr>
          <w:p>
            <w:pPr>
              <w:jc w:val="center"/>
            </w:pPr>
            <w:r>
              <w:rPr>
                <w:rFonts w:ascii="DejaVu Serif" w:hAnsi="DejaVu Serif" w:eastAsia="DejaVu Serif"/>
                <w:b w:val="0"/>
                <w:sz w:val="15"/>
              </w:rPr>
              <w:t>T4-CS-079</w:t>
            </w:r>
          </w:p>
        </w:tc>
        <w:tc>
          <w:tcPr>
            <w:tcW w:type="dxa" w:w="6696"/>
            <w:tcMar>
              <w:top w:w="90" w:type="dxa"/>
              <w:start w:w="100" w:type="dxa"/>
              <w:bottom w:w="90" w:type="dxa"/>
              <w:end w:w="100" w:type="dxa"/>
            </w:tcMar>
            <w:vAlign w:val="center"/>
            <w:shd w:fill="F4F6F9"/>
          </w:tcPr>
          <w:p>
            <w:pPr>
              <w:jc w:val="left"/>
            </w:pPr>
            <w:r>
              <w:rPr>
                <w:rFonts w:ascii="DejaVu Serif" w:hAnsi="DejaVu Serif" w:eastAsia="DejaVu Serif"/>
                <w:b w:val="0"/>
                <w:sz w:val="15"/>
              </w:rPr>
              <w:t>Определены scientific fact passport и нескалярный explanation vector.</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5"/>
              </w:rPr>
              <w:t>DEF</w:t>
            </w:r>
          </w:p>
        </w:tc>
      </w:tr>
      <w:tr>
        <w:tc>
          <w:tcPr>
            <w:tcW w:type="dxa" w:w="1584"/>
            <w:tcMar>
              <w:top w:w="90" w:type="dxa"/>
              <w:start w:w="100" w:type="dxa"/>
              <w:bottom w:w="90" w:type="dxa"/>
              <w:end w:w="100" w:type="dxa"/>
            </w:tcMar>
            <w:vAlign w:val="center"/>
          </w:tcPr>
          <w:p>
            <w:pPr>
              <w:jc w:val="center"/>
            </w:pPr>
            <w:r>
              <w:rPr>
                <w:rFonts w:ascii="DejaVu Serif" w:hAnsi="DejaVu Serif" w:eastAsia="DejaVu Serif"/>
                <w:b w:val="0"/>
                <w:sz w:val="15"/>
              </w:rPr>
              <w:t>T4-CS-080</w:t>
            </w:r>
          </w:p>
        </w:tc>
        <w:tc>
          <w:tcPr>
            <w:tcW w:type="dxa" w:w="6696"/>
            <w:tcMar>
              <w:top w:w="90" w:type="dxa"/>
              <w:start w:w="100" w:type="dxa"/>
              <w:bottom w:w="90" w:type="dxa"/>
              <w:end w:w="100" w:type="dxa"/>
            </w:tcMar>
            <w:vAlign w:val="center"/>
          </w:tcPr>
          <w:p>
            <w:pPr>
              <w:jc w:val="left"/>
            </w:pPr>
            <w:r>
              <w:rPr>
                <w:rFonts w:ascii="DejaVu Serif" w:hAnsi="DejaVu Serif" w:eastAsia="DejaVu Serif"/>
                <w:b w:val="0"/>
                <w:sz w:val="15"/>
              </w:rPr>
              <w:t>Введён reduction residual ledger и условный критерий emergence.</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5"/>
              </w:rPr>
              <w:t>DEF/COND</w:t>
            </w:r>
          </w:p>
        </w:tc>
      </w:tr>
      <w:tr>
        <w:tc>
          <w:tcPr>
            <w:tcW w:type="dxa" w:w="1584"/>
            <w:tcMar>
              <w:top w:w="90" w:type="dxa"/>
              <w:start w:w="100" w:type="dxa"/>
              <w:bottom w:w="90" w:type="dxa"/>
              <w:end w:w="100" w:type="dxa"/>
            </w:tcMar>
            <w:vAlign w:val="center"/>
            <w:shd w:fill="F4F6F9"/>
          </w:tcPr>
          <w:p>
            <w:pPr>
              <w:jc w:val="center"/>
            </w:pPr>
            <w:r>
              <w:rPr>
                <w:rFonts w:ascii="DejaVu Serif" w:hAnsi="DejaVu Serif" w:eastAsia="DejaVu Serif"/>
                <w:b w:val="0"/>
                <w:sz w:val="15"/>
              </w:rPr>
              <w:t>T4-CS-081</w:t>
            </w:r>
          </w:p>
        </w:tc>
        <w:tc>
          <w:tcPr>
            <w:tcW w:type="dxa" w:w="6696"/>
            <w:tcMar>
              <w:top w:w="90" w:type="dxa"/>
              <w:start w:w="100" w:type="dxa"/>
              <w:bottom w:w="90" w:type="dxa"/>
              <w:end w:w="100" w:type="dxa"/>
            </w:tcMar>
            <w:vAlign w:val="center"/>
            <w:shd w:fill="F4F6F9"/>
          </w:tcPr>
          <w:p>
            <w:pPr>
              <w:jc w:val="left"/>
            </w:pPr>
            <w:r>
              <w:rPr>
                <w:rFonts w:ascii="DejaVu Serif" w:hAnsi="DejaVu Serif" w:eastAsia="DejaVu Serif"/>
                <w:b w:val="0"/>
                <w:sz w:val="15"/>
              </w:rPr>
              <w:t>Завершена глава 24 об end-to-end антропологическом операторе.</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5"/>
              </w:rPr>
              <w:t>DEF/THM-FORMAL</w:t>
            </w:r>
          </w:p>
        </w:tc>
      </w:tr>
      <w:tr>
        <w:tc>
          <w:tcPr>
            <w:tcW w:type="dxa" w:w="1584"/>
            <w:tcMar>
              <w:top w:w="90" w:type="dxa"/>
              <w:start w:w="100" w:type="dxa"/>
              <w:bottom w:w="90" w:type="dxa"/>
              <w:end w:w="100" w:type="dxa"/>
            </w:tcMar>
            <w:vAlign w:val="center"/>
          </w:tcPr>
          <w:p>
            <w:pPr>
              <w:jc w:val="center"/>
            </w:pPr>
            <w:r>
              <w:rPr>
                <w:rFonts w:ascii="DejaVu Serif" w:hAnsi="DejaVu Serif" w:eastAsia="DejaVu Serif"/>
                <w:b w:val="0"/>
                <w:sz w:val="15"/>
              </w:rPr>
              <w:t>T4-CS-082</w:t>
            </w:r>
          </w:p>
        </w:tc>
        <w:tc>
          <w:tcPr>
            <w:tcW w:type="dxa" w:w="6696"/>
            <w:tcMar>
              <w:top w:w="90" w:type="dxa"/>
              <w:start w:w="100" w:type="dxa"/>
              <w:bottom w:w="90" w:type="dxa"/>
              <w:end w:w="100" w:type="dxa"/>
            </w:tcMar>
            <w:vAlign w:val="center"/>
          </w:tcPr>
          <w:p>
            <w:pPr>
              <w:jc w:val="left"/>
            </w:pPr>
            <w:r>
              <w:rPr>
                <w:rFonts w:ascii="DejaVu Serif" w:hAnsi="DejaVu Serif" w:eastAsia="DejaVu Serif"/>
                <w:b w:val="0"/>
                <w:sz w:val="15"/>
              </w:rPr>
              <w:t>Доказано правило слабейшего звена для status-preserving композиции.</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5"/>
              </w:rPr>
              <w:t>THM-FORMAL</w:t>
            </w:r>
          </w:p>
        </w:tc>
      </w:tr>
      <w:tr>
        <w:tc>
          <w:tcPr>
            <w:tcW w:type="dxa" w:w="1584"/>
            <w:tcMar>
              <w:top w:w="90" w:type="dxa"/>
              <w:start w:w="100" w:type="dxa"/>
              <w:bottom w:w="90" w:type="dxa"/>
              <w:end w:w="100" w:type="dxa"/>
            </w:tcMar>
            <w:vAlign w:val="center"/>
            <w:shd w:fill="F4F6F9"/>
          </w:tcPr>
          <w:p>
            <w:pPr>
              <w:jc w:val="center"/>
            </w:pPr>
            <w:r>
              <w:rPr>
                <w:rFonts w:ascii="DejaVu Serif" w:hAnsi="DejaVu Serif" w:eastAsia="DejaVu Serif"/>
                <w:b w:val="0"/>
                <w:sz w:val="15"/>
              </w:rPr>
              <w:t>T4-CS-083</w:t>
            </w:r>
          </w:p>
        </w:tc>
        <w:tc>
          <w:tcPr>
            <w:tcW w:type="dxa" w:w="6696"/>
            <w:tcMar>
              <w:top w:w="90" w:type="dxa"/>
              <w:start w:w="100" w:type="dxa"/>
              <w:bottom w:w="90" w:type="dxa"/>
              <w:end w:w="100" w:type="dxa"/>
            </w:tcMar>
            <w:vAlign w:val="center"/>
            <w:shd w:fill="F4F6F9"/>
          </w:tcPr>
          <w:p>
            <w:pPr>
              <w:jc w:val="left"/>
            </w:pPr>
            <w:r>
              <w:rPr>
                <w:rFonts w:ascii="DejaVu Serif" w:hAnsi="DejaVu Serif" w:eastAsia="DejaVu Serif"/>
                <w:b w:val="0"/>
                <w:sz w:val="15"/>
              </w:rPr>
              <w:t>Введён non-delegable human residual и нормативный responsibility gate.</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5"/>
              </w:rPr>
              <w:t>HERM/ETHICS</w:t>
            </w:r>
          </w:p>
        </w:tc>
      </w:tr>
      <w:tr>
        <w:tc>
          <w:tcPr>
            <w:tcW w:type="dxa" w:w="1584"/>
            <w:tcMar>
              <w:top w:w="90" w:type="dxa"/>
              <w:start w:w="100" w:type="dxa"/>
              <w:bottom w:w="90" w:type="dxa"/>
              <w:end w:w="100" w:type="dxa"/>
            </w:tcMar>
            <w:vAlign w:val="center"/>
          </w:tcPr>
          <w:p>
            <w:pPr>
              <w:jc w:val="center"/>
            </w:pPr>
            <w:r>
              <w:rPr>
                <w:rFonts w:ascii="DejaVu Serif" w:hAnsi="DejaVu Serif" w:eastAsia="DejaVu Serif"/>
                <w:b w:val="0"/>
                <w:sz w:val="15"/>
              </w:rPr>
              <w:t>T4-CS-084</w:t>
            </w:r>
          </w:p>
        </w:tc>
        <w:tc>
          <w:tcPr>
            <w:tcW w:type="dxa" w:w="6696"/>
            <w:tcMar>
              <w:top w:w="90" w:type="dxa"/>
              <w:start w:w="100" w:type="dxa"/>
              <w:bottom w:w="90" w:type="dxa"/>
              <w:end w:w="100" w:type="dxa"/>
            </w:tcMar>
            <w:vAlign w:val="center"/>
          </w:tcPr>
          <w:p>
            <w:pPr>
              <w:jc w:val="left"/>
            </w:pPr>
            <w:r>
              <w:rPr>
                <w:rFonts w:ascii="DejaVu Serif" w:hAnsi="DejaVu Serif" w:eastAsia="DejaVu Serif"/>
                <w:b w:val="0"/>
                <w:sz w:val="15"/>
              </w:rPr>
              <w:t>Построен publication gate TYPE-DOM-D-PROOF-PROV-REPRO-ETHICS-STATUS.</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5"/>
              </w:rPr>
              <w:t>DEF</w:t>
            </w:r>
          </w:p>
        </w:tc>
      </w:tr>
      <w:tr>
        <w:tc>
          <w:tcPr>
            <w:tcW w:type="dxa" w:w="1584"/>
            <w:tcMar>
              <w:top w:w="90" w:type="dxa"/>
              <w:start w:w="100" w:type="dxa"/>
              <w:bottom w:w="90" w:type="dxa"/>
              <w:end w:w="100" w:type="dxa"/>
            </w:tcMar>
            <w:vAlign w:val="center"/>
            <w:shd w:fill="F4F6F9"/>
          </w:tcPr>
          <w:p>
            <w:pPr>
              <w:jc w:val="center"/>
            </w:pPr>
            <w:r>
              <w:rPr>
                <w:rFonts w:ascii="DejaVu Serif" w:hAnsi="DejaVu Serif" w:eastAsia="DejaVu Serif"/>
                <w:b w:val="0"/>
                <w:sz w:val="15"/>
              </w:rPr>
              <w:t>T4-CS-085</w:t>
            </w:r>
          </w:p>
        </w:tc>
        <w:tc>
          <w:tcPr>
            <w:tcW w:type="dxa" w:w="6696"/>
            <w:tcMar>
              <w:top w:w="90" w:type="dxa"/>
              <w:start w:w="100" w:type="dxa"/>
              <w:bottom w:w="90" w:type="dxa"/>
              <w:end w:w="100" w:type="dxa"/>
            </w:tcMar>
            <w:vAlign w:val="center"/>
            <w:shd w:fill="F4F6F9"/>
          </w:tcPr>
          <w:p>
            <w:pPr>
              <w:jc w:val="left"/>
            </w:pPr>
            <w:r>
              <w:rPr>
                <w:rFonts w:ascii="DejaVu Serif" w:hAnsi="DejaVu Serif" w:eastAsia="DejaVu Serif"/>
                <w:b w:val="0"/>
                <w:sz w:val="15"/>
              </w:rPr>
              <w:t>Сформирована матрица фальсифицируемости и 24 философских тезиса Тома IV.</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5"/>
              </w:rPr>
              <w:t>AUDIT/HERM</w:t>
            </w:r>
          </w:p>
        </w:tc>
      </w:tr>
      <w:tr>
        <w:tc>
          <w:tcPr>
            <w:tcW w:type="dxa" w:w="1584"/>
            <w:tcMar>
              <w:top w:w="90" w:type="dxa"/>
              <w:start w:w="100" w:type="dxa"/>
              <w:bottom w:w="90" w:type="dxa"/>
              <w:end w:w="100" w:type="dxa"/>
            </w:tcMar>
            <w:vAlign w:val="center"/>
          </w:tcPr>
          <w:p>
            <w:pPr>
              <w:jc w:val="center"/>
            </w:pPr>
            <w:r>
              <w:rPr>
                <w:rFonts w:ascii="DejaVu Serif" w:hAnsi="DejaVu Serif" w:eastAsia="DejaVu Serif"/>
                <w:b w:val="0"/>
                <w:sz w:val="15"/>
              </w:rPr>
              <w:t>T4-CS-086</w:t>
            </w:r>
          </w:p>
        </w:tc>
        <w:tc>
          <w:tcPr>
            <w:tcW w:type="dxa" w:w="6696"/>
            <w:tcMar>
              <w:top w:w="90" w:type="dxa"/>
              <w:start w:w="100" w:type="dxa"/>
              <w:bottom w:w="90" w:type="dxa"/>
              <w:end w:w="100" w:type="dxa"/>
            </w:tcMar>
            <w:vAlign w:val="center"/>
          </w:tcPr>
          <w:p>
            <w:pPr>
              <w:jc w:val="left"/>
            </w:pPr>
            <w:r>
              <w:rPr>
                <w:rFonts w:ascii="DejaVu Serif" w:hAnsi="DejaVu Serif" w:eastAsia="DejaVu Serif"/>
                <w:b w:val="0"/>
                <w:sz w:val="15"/>
              </w:rPr>
              <w:t>Создана точка отката T4-RA8 и маршрут к T4-AUDIT-v0.9.</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5"/>
              </w:rPr>
              <w:t>ROLLBACK/PLAN</w:t>
            </w:r>
          </w:p>
        </w:tc>
      </w:tr>
    </w:tbl>
    <w:p>
      <w:pPr>
        <w:widowControl/>
        <w:spacing w:after="20"/>
      </w:pPr>
    </w:p>
    <w:p>
      <w:bookmarkStart w:id="104" w:name="toc"/>
      <w:pPr>
        <w:pStyle w:val="Heading1"/>
        <w:keepNext/>
        <w:pageBreakBefore w:val="0"/>
        <w:widowControl/>
        <w:spacing w:before="200" w:after="100"/>
      </w:pPr>
      <w:r>
        <w:rPr>
          <w:rFonts w:ascii="DejaVu Sans" w:hAnsi="DejaVu Sans" w:eastAsia="DejaVu Sans"/>
          <w:b/>
          <w:color w:val="173A61"/>
          <w:sz w:val="35"/>
        </w:rPr>
        <w:t>Содержание контрольной точки</w:t>
      </w:r>
      <w:bookmarkEnd w:id="104"/>
    </w:p>
    <w:p>
      <w:pPr>
        <w:widowControl/>
      </w:pPr>
      <w:r>
        <w:t>Пролегомены. Einen bleibenden Kern: два постоянных аксиоматических ядра KLT-RBD и редукция Гильберта</w:t>
      </w:r>
    </w:p>
    <w:p>
      <w:pPr>
        <w:widowControl/>
        <w:spacing w:after="60"/>
        <w:ind w:left="340"/>
      </w:pPr>
      <w:hyperlink w:anchor="ch1" w:history="1">
        <w:r>
          <w:rPr>
            <w:rFonts w:ascii="DejaVu Serif" w:hAnsi="DejaVu Serif"/>
            <w:color w:val="214D7A"/>
            <w:u w:val="single"/>
          </w:rPr>
          <w:t>Глава 1. Интерфейс с Томами I-III</w:t>
        </w:r>
      </w:hyperlink>
    </w:p>
    <w:p>
      <w:pPr>
        <w:widowControl/>
        <w:spacing w:after="60"/>
        <w:ind w:left="340"/>
      </w:pPr>
      <w:hyperlink w:anchor="ch2" w:history="1">
        <w:r>
          <w:rPr>
            <w:rFonts w:ascii="DejaVu Serif" w:hAnsi="DejaVu Serif"/>
            <w:color w:val="214D7A"/>
            <w:u w:val="single"/>
          </w:rPr>
          <w:t>Глава 2. Язык и реестр антропологических типов</w:t>
        </w:r>
      </w:hyperlink>
    </w:p>
    <w:p>
      <w:pPr>
        <w:widowControl/>
        <w:spacing w:after="60"/>
        <w:ind w:left="340"/>
      </w:pPr>
      <w:hyperlink w:anchor="ch3" w:history="1">
        <w:r>
          <w:rPr>
            <w:rFonts w:ascii="DejaVu Serif" w:hAnsi="DejaVu Serif"/>
            <w:color w:val="214D7A"/>
            <w:u w:val="single"/>
          </w:rPr>
          <w:t>Глава 3. Человек как событие@состояние</w:t>
        </w:r>
      </w:hyperlink>
    </w:p>
    <w:p>
      <w:pPr>
        <w:widowControl/>
        <w:spacing w:after="60"/>
        <w:ind w:left="340"/>
      </w:pPr>
      <w:hyperlink w:anchor="ch4" w:history="1">
        <w:r>
          <w:rPr>
            <w:rFonts w:ascii="DejaVu Serif" w:hAnsi="DejaVu Serif"/>
            <w:color w:val="214D7A"/>
            <w:u w:val="single"/>
          </w:rPr>
          <w:t>Глава 4. Human_R и аксиомы Reper разворота</w:t>
        </w:r>
      </w:hyperlink>
    </w:p>
    <w:p>
      <w:pPr>
        <w:widowControl/>
      </w:pPr>
      <w:r>
        <w:rPr>
          <w:rFonts w:ascii="DejaVu Serif" w:hAnsi="DejaVu Serif" w:eastAsia="DejaVu Serif"/>
          <w:b w:val="0"/>
          <w:i w:val="0"/>
          <w:color w:val="1A2433"/>
          <w:sz w:val="21"/>
        </w:rPr>
        <w:t>Глава 5. Тело как ориентационная структура</w:t>
      </w:r>
    </w:p>
    <w:p>
      <w:pPr>
        <w:widowControl/>
      </w:pPr>
      <w:r>
        <w:rPr>
          <w:rFonts w:ascii="DejaVu Serif" w:hAnsi="DejaVu Serif" w:eastAsia="DejaVu Serif"/>
          <w:b w:val="0"/>
          <w:i w:val="0"/>
          <w:color w:val="1A2433"/>
          <w:sz w:val="21"/>
        </w:rPr>
        <w:t>Глава 6. Свобода воли как свобода начинания и генератор причинной ветви</w:t>
      </w:r>
    </w:p>
    <w:p>
      <w:pPr>
        <w:widowControl/>
      </w:pPr>
      <w:r>
        <w:rPr>
          <w:rFonts w:ascii="DejaVu Serif" w:hAnsi="DejaVu Serif" w:eastAsia="DejaVu Serif"/>
          <w:b w:val="0"/>
          <w:i w:val="0"/>
          <w:color w:val="1A2433"/>
          <w:sz w:val="21"/>
        </w:rPr>
        <w:t>Глава 7. Оператор Разворота, затухание следа и поддерживаемая причинность</w:t>
      </w:r>
    </w:p>
    <w:p>
      <w:pPr>
        <w:widowControl/>
      </w:pPr>
      <w:r>
        <w:rPr>
          <w:rFonts w:ascii="DejaVu Serif" w:hAnsi="DejaVu Serif" w:eastAsia="DejaVu Serif"/>
          <w:b w:val="0"/>
          <w:i w:val="0"/>
          <w:color w:val="1A2433"/>
          <w:sz w:val="21"/>
        </w:rPr>
        <w:t>Глава 8. Память, ответственность и оценочные «часы»</w:t>
      </w:r>
    </w:p>
    <w:p>
      <w:pPr>
        <w:keepLines w:val="0"/>
        <w:widowControl/>
      </w:pPr>
      <w:r>
        <w:t>Глава 9. Язык как переносчик основания и аналитическая регуляризация</w:t>
      </w:r>
    </w:p>
    <w:p>
      <w:pPr>
        <w:keepLines w:val="0"/>
        <w:widowControl/>
      </w:pPr>
      <w:r>
        <w:t>Глава 10. Феноменология горизонта и локально-глобальная реконструкция</w:t>
      </w:r>
    </w:p>
    <w:p>
      <w:pPr>
        <w:keepLines w:val="0"/>
        <w:widowControl/>
      </w:pPr>
      <w:r>
        <w:t>Глава 11. Интерсубъективность modulo регулярного фона</w:t>
      </w:r>
    </w:p>
    <w:p>
      <w:pPr>
        <w:keepLines w:val="0"/>
        <w:widowControl/>
      </w:pPr>
      <w:r>
        <w:t>Глава 12. Исторические формы восприятия, атласы и препятствия</w:t>
      </w:r>
    </w:p>
    <w:p>
      <w:pPr>
        <w:widowControl/>
      </w:pPr>
      <w:r>
        <w:t>Глава 13. Библеровский контур понимания, Леви-Брюль и атлас R-режимов</w:t>
      </w:r>
    </w:p>
    <w:p>
      <w:pPr>
        <w:widowControl/>
      </w:pPr>
      <w:r>
        <w:t>Глава 14. Кососимметричная причинность R−1 и матрица «Перьев»</w:t>
      </w:r>
    </w:p>
    <w:p>
      <w:pPr>
        <w:widowControl/>
      </w:pPr>
      <w:r>
        <w:t>Глава 15. R−02/R−03: действие, след, следствие и daemon-gap</w:t>
      </w:r>
    </w:p>
    <w:p>
      <w:pPr>
        <w:widowControl/>
      </w:pPr>
      <w:r>
        <w:t>Глава 16. «Загадка Еноха»: Складка RPLD и герменевтическая граница</w:t>
      </w:r>
    </w:p>
    <w:p>
      <w:pPr>
        <w:keepNext w:val="0"/>
        <w:widowControl/>
        <w:spacing w:after="80" w:line="269" w:lineRule="auto"/>
      </w:pPr>
      <w:r>
        <w:rPr>
          <w:rFonts w:ascii="DejaVu Serif" w:hAnsi="DejaVu Serif" w:eastAsia="DejaVu Serif"/>
          <w:b w:val="0"/>
          <w:i w:val="0"/>
          <w:color w:val="1A2433"/>
          <w:sz w:val="20"/>
        </w:rPr>
        <w:t>Глава 17. Открытие, изобретение и математическое видение</w:t>
      </w:r>
    </w:p>
    <w:p>
      <w:pPr>
        <w:keepNext w:val="0"/>
        <w:widowControl/>
        <w:spacing w:after="80" w:line="269" w:lineRule="auto"/>
      </w:pPr>
      <w:r>
        <w:rPr>
          <w:rFonts w:ascii="DejaVu Serif" w:hAnsi="DejaVu Serif" w:eastAsia="DejaVu Serif"/>
          <w:b w:val="0"/>
          <w:i w:val="0"/>
          <w:color w:val="1A2433"/>
          <w:sz w:val="20"/>
        </w:rPr>
        <w:t>Глава 18. Ошибка понимания, foreign-D и ремонт основания</w:t>
      </w:r>
    </w:p>
    <w:p>
      <w:pPr>
        <w:keepNext w:val="0"/>
        <w:widowControl/>
        <w:spacing w:after="80" w:line="269" w:lineRule="auto"/>
      </w:pPr>
      <w:r>
        <w:rPr>
          <w:rFonts w:ascii="DejaVu Serif" w:hAnsi="DejaVu Serif" w:eastAsia="DejaVu Serif"/>
          <w:b w:val="0"/>
          <w:i w:val="0"/>
          <w:color w:val="1A2433"/>
          <w:sz w:val="20"/>
        </w:rPr>
        <w:t>Глава 19. Антропологический CGI как вектор разрывов</w:t>
      </w:r>
    </w:p>
    <w:p>
      <w:pPr>
        <w:keepNext w:val="0"/>
        <w:widowControl/>
        <w:spacing w:after="80" w:line="269" w:lineRule="auto"/>
      </w:pPr>
      <w:r>
        <w:rPr>
          <w:rFonts w:ascii="DejaVu Serif" w:hAnsi="DejaVu Serif" w:eastAsia="DejaVu Serif"/>
          <w:b w:val="0"/>
          <w:i w:val="0"/>
          <w:color w:val="1A2433"/>
          <w:sz w:val="20"/>
        </w:rPr>
        <w:t>Глава 20. Документ, архив и внешняя память</w:t>
      </w:r>
    </w:p>
    <w:p>
      <w:pPr>
        <w:widowControl/>
      </w:pPr>
      <w:r>
        <w:t>Глава 21. Человек и машинная память KLT-RBD</w:t>
      </w:r>
    </w:p>
    <w:p>
      <w:pPr>
        <w:widowControl/>
      </w:pPr>
      <w:r>
        <w:t>Глава 22. Междисциплинарные адаптеры и proof-carrying случаи</w:t>
      </w:r>
    </w:p>
    <w:p>
      <w:pPr/>
      <w:r>
        <w:rPr>
          <w:rFonts w:ascii="DejaVu Serif" w:hAnsi="DejaVu Serif" w:eastAsia="DejaVu Serif"/>
          <w:sz w:val="21"/>
        </w:rPr>
        <w:t>Глава 23. Философия естествознания KLT: наблюдение, модель, объяснение и границы редукции</w:t>
      </w:r>
    </w:p>
    <w:p>
      <w:pPr/>
      <w:r>
        <w:rPr>
          <w:rFonts w:ascii="DejaVu Serif" w:hAnsi="DejaVu Serif" w:eastAsia="DejaVu Serif"/>
          <w:sz w:val="21"/>
        </w:rPr>
        <w:t>Глава 24. End-to-end антропологический оператор, publication gate и переход к Тому V</w:t>
      </w:r>
    </w:p>
    <w:p>
      <w:pPr>
        <w:widowControl/>
        <w:spacing w:after="60"/>
        <w:ind w:left="340"/>
      </w:pPr>
      <w:r>
        <w:rPr>
          <w:rFonts w:ascii="DejaVu Serif" w:hAnsi="DejaVu Serif" w:eastAsia="DejaVu Serif"/>
          <w:sz w:val="21"/>
        </w:rPr>
        <w:t>Заключение T4-NATPHIL-v0.8</w:t>
      </w:r>
    </w:p>
    <w:p>
      <w:pPr>
        <w:widowControl/>
        <w:spacing w:after="60"/>
        <w:ind w:left="340"/>
      </w:pPr>
      <w:r>
        <w:rPr>
          <w:rFonts w:ascii="DejaVu Serif" w:hAnsi="DejaVu Serif" w:eastAsia="DejaVu Serif"/>
          <w:sz w:val="21"/>
        </w:rPr>
        <w:t>Приложение A. Формульный реестр T4-F001-T4-F240</w:t>
      </w:r>
    </w:p>
    <w:p>
      <w:pPr>
        <w:widowControl/>
        <w:spacing w:after="60"/>
        <w:ind w:left="340"/>
      </w:pPr>
      <w:hyperlink w:anchor="appB" w:history="1">
        <w:r>
          <w:rPr>
            <w:rFonts w:ascii="DejaVu Serif" w:hAnsi="DejaVu Serif"/>
            <w:color w:val="214D7A"/>
            <w:u w:val="single"/>
          </w:rPr>
          <w:t>Приложение B. Реестр доказательных обязательств</w:t>
        </w:r>
      </w:hyperlink>
    </w:p>
    <w:p>
      <w:pPr>
        <w:widowControl/>
        <w:spacing w:after="60"/>
        <w:ind w:left="340"/>
      </w:pPr>
      <w:hyperlink w:anchor="appC" w:history="1">
        <w:r>
          <w:rPr>
            <w:rFonts w:ascii="DejaVu Serif" w:hAnsi="DejaVu Serif"/>
            <w:color w:val="214D7A"/>
            <w:u w:val="single"/>
          </w:rPr>
          <w:t>Приложение C. Контрмодели</w:t>
        </w:r>
      </w:hyperlink>
    </w:p>
    <w:p>
      <w:pPr>
        <w:widowControl/>
        <w:spacing w:after="60"/>
        <w:ind w:left="340"/>
      </w:pPr>
      <w:hyperlink w:anchor="appD" w:history="1">
        <w:r>
          <w:rPr>
            <w:rFonts w:ascii="DejaVu Serif" w:hAnsi="DejaVu Serif"/>
            <w:color w:val="214D7A"/>
            <w:u w:val="single"/>
          </w:rPr>
          <w:t>Приложение D. Source-cards и библиографическая рамка</w:t>
        </w:r>
      </w:hyperlink>
    </w:p>
    <w:p>
      <w:pPr>
        <w:widowControl/>
      </w:pPr>
      <w:r>
        <w:t>Приложение E. Авторские заметки, AK-6 и реестр блокеров</w:t>
      </w:r>
    </w:p>
    <w:p>
      <w:pPr>
        <w:keepNext w:val="0"/>
        <w:widowControl/>
        <w:spacing w:after="80" w:line="269" w:lineRule="auto"/>
      </w:pPr>
      <w:r>
        <w:rPr>
          <w:rFonts w:ascii="DejaVu Serif" w:hAnsi="DejaVu Serif" w:eastAsia="DejaVu Serif"/>
          <w:b w:val="0"/>
          <w:i w:val="0"/>
          <w:color w:val="1A2433"/>
          <w:sz w:val="20"/>
        </w:rPr>
        <w:t>Приложение F. Source-illustration register и математический audit</w:t>
      </w:r>
    </w:p>
    <w:p>
      <w:pPr>
        <w:keepNext w:val="0"/>
        <w:widowControl/>
        <w:spacing w:after="80" w:line="269" w:lineRule="auto"/>
      </w:pPr>
      <w:r>
        <w:rPr>
          <w:rFonts w:ascii="DejaVu Serif" w:hAnsi="DejaVu Serif" w:eastAsia="DejaVu Serif"/>
          <w:b w:val="0"/>
          <w:i w:val="0"/>
          <w:color w:val="1A2433"/>
          <w:sz w:val="20"/>
        </w:rPr>
        <w:t>Приложение G. Delta-реестр формул T4-F059-T4-F090</w:t>
      </w:r>
    </w:p>
    <w:p>
      <w:pPr>
        <w:keepNext w:val="0"/>
        <w:widowControl/>
        <w:spacing w:after="80" w:line="269" w:lineRule="auto"/>
      </w:pPr>
      <w:r>
        <w:rPr>
          <w:rFonts w:ascii="DejaVu Serif" w:hAnsi="DejaVu Serif" w:eastAsia="DejaVu Serif"/>
          <w:b w:val="0"/>
          <w:i w:val="0"/>
          <w:color w:val="1A2433"/>
          <w:sz w:val="20"/>
        </w:rPr>
        <w:t>Приложение H. Доказательные обязательства T4-ML-PO</w:t>
      </w:r>
    </w:p>
    <w:p>
      <w:pPr>
        <w:keepNext w:val="0"/>
        <w:widowControl/>
        <w:spacing w:after="80" w:line="269" w:lineRule="auto"/>
      </w:pPr>
      <w:r>
        <w:rPr>
          <w:rFonts w:ascii="DejaVu Serif" w:hAnsi="DejaVu Serif" w:eastAsia="DejaVu Serif"/>
          <w:b w:val="0"/>
          <w:i w:val="0"/>
          <w:color w:val="1A2433"/>
          <w:sz w:val="20"/>
        </w:rPr>
        <w:t>Приложение I. Delta-реестр формул T4-F091-T4-F122</w:t>
      </w:r>
    </w:p>
    <w:p>
      <w:pPr>
        <w:keepNext w:val="0"/>
        <w:widowControl/>
        <w:spacing w:after="80" w:line="269" w:lineRule="auto"/>
      </w:pPr>
      <w:r>
        <w:rPr>
          <w:rFonts w:ascii="DejaVu Serif" w:hAnsi="DejaVu Serif" w:eastAsia="DejaVu Serif"/>
          <w:b w:val="0"/>
          <w:i w:val="0"/>
          <w:color w:val="1A2433"/>
          <w:sz w:val="20"/>
        </w:rPr>
        <w:t>Приложение J. Доказательные обязательства T4-DLG-PO</w:t>
      </w:r>
    </w:p>
    <w:p>
      <w:pPr>
        <w:keepNext w:val="0"/>
        <w:widowControl/>
        <w:spacing w:after="80" w:line="269" w:lineRule="auto"/>
      </w:pPr>
      <w:r>
        <w:rPr>
          <w:rFonts w:ascii="DejaVu Serif" w:hAnsi="DejaVu Serif" w:eastAsia="DejaVu Serif"/>
          <w:b w:val="0"/>
          <w:i w:val="0"/>
          <w:color w:val="1A2433"/>
          <w:sz w:val="20"/>
        </w:rPr>
        <w:t>Приложение K. Source-card T4-SRC-016 и статусные границы</w:t>
      </w:r>
    </w:p>
    <w:p>
      <w:pPr>
        <w:keepNext w:val="0"/>
        <w:widowControl/>
        <w:spacing w:after="80" w:line="269" w:lineRule="auto"/>
      </w:pPr>
      <w:r>
        <w:rPr>
          <w:rFonts w:ascii="DejaVu Serif" w:hAnsi="DejaVu Serif" w:eastAsia="DejaVu Serif"/>
          <w:b w:val="0"/>
          <w:i w:val="0"/>
          <w:color w:val="1A2433"/>
          <w:sz w:val="20"/>
        </w:rPr>
        <w:t>Приложение L. Delta-реестр формул T4-F123-T4-F158</w:t>
      </w:r>
    </w:p>
    <w:p>
      <w:pPr>
        <w:keepNext w:val="0"/>
        <w:widowControl/>
        <w:spacing w:after="80" w:line="269" w:lineRule="auto"/>
      </w:pPr>
      <w:r>
        <w:rPr>
          <w:rFonts w:ascii="DejaVu Serif" w:hAnsi="DejaVu Serif" w:eastAsia="DejaVu Serif"/>
          <w:b w:val="0"/>
          <w:i w:val="0"/>
          <w:color w:val="1A2433"/>
          <w:sz w:val="20"/>
        </w:rPr>
        <w:t>Приложение M. Доказательные обязательства T4-CRT-PO</w:t>
      </w:r>
    </w:p>
    <w:p>
      <w:pPr>
        <w:keepNext w:val="0"/>
        <w:widowControl/>
        <w:spacing w:after="80" w:line="269" w:lineRule="auto"/>
      </w:pPr>
      <w:r>
        <w:rPr>
          <w:rFonts w:ascii="DejaVu Serif" w:hAnsi="DejaVu Serif" w:eastAsia="DejaVu Serif"/>
          <w:b w:val="0"/>
          <w:i w:val="0"/>
          <w:color w:val="1A2433"/>
          <w:sz w:val="20"/>
        </w:rPr>
        <w:t>Приложение N. Философский метод Тома IV и Source-card T4-SRC-024</w:t>
      </w:r>
    </w:p>
    <w:p>
      <w:pPr>
        <w:widowControl/>
      </w:pPr>
      <w:r>
        <w:t>Приложение O. Delta-реестр формул T4-F159-T4-F200</w:t>
      </w:r>
    </w:p>
    <w:p>
      <w:pPr>
        <w:widowControl/>
      </w:pPr>
      <w:r>
        <w:t>Приложение P. Доказательные обязательства T4-KERN-PO и T4-MEM-PO</w:t>
      </w:r>
    </w:p>
    <w:p>
      <w:pPr>
        <w:widowControl/>
      </w:pPr>
      <w:r>
        <w:t>Приложение Q. Source-card T4-SRC-025 и матрица Hilbert reduction</w:t>
      </w:r>
    </w:p>
    <w:p>
      <w:pPr>
        <w:widowControl/>
      </w:pPr>
      <w:r>
        <w:t>Приложение R. Философско-аксиоматическая директива начала Тома IV</w:t>
      </w:r>
    </w:p>
    <w:p>
      <w:pPr/>
      <w:r>
        <w:rPr>
          <w:rFonts w:ascii="DejaVu Serif" w:hAnsi="DejaVu Serif" w:eastAsia="DejaVu Serif"/>
          <w:sz w:val="21"/>
        </w:rPr>
        <w:t>Приложение S. Delta-реестр формул T4-F201-T4-F240</w:t>
      </w:r>
    </w:p>
    <w:p>
      <w:pPr/>
      <w:r>
        <w:rPr>
          <w:rFonts w:ascii="DejaVu Serif" w:hAnsi="DejaVu Serif" w:eastAsia="DejaVu Serif"/>
          <w:sz w:val="21"/>
        </w:rPr>
        <w:t>Приложение T. Доказательные обязательства T4-NAT-PO и T4-E2E-PO</w:t>
      </w:r>
    </w:p>
    <w:p>
      <w:pPr/>
      <w:r>
        <w:rPr>
          <w:rFonts w:ascii="DejaVu Serif" w:hAnsi="DejaVu Serif" w:eastAsia="DejaVu Serif"/>
          <w:sz w:val="21"/>
        </w:rPr>
        <w:t>Приложение U. Двадцать четыре философских тезиса и матрица публикационного статуса</w:t>
      </w:r>
    </w:p>
    <w:p>
      <w:pPr/>
      <w:r>
        <w:rPr>
          <w:rFonts w:ascii="DejaVu Serif" w:hAnsi="DejaVu Serif" w:eastAsia="DejaVu Serif"/>
          <w:sz w:val="21"/>
        </w:rPr>
        <w:t>Приложение V. Source-cards T4-SRC-026-T4-SRC-027 и точка отката T4-RA8</w:t>
      </w:r>
    </w:p>
    <w:p>
      <w:pPr>
        <w:widowControl/>
      </w:pPr>
      <w:r>
        <w:br w:type="page"/>
      </w:r>
    </w:p>
    <w:p>
      <w:pPr>
        <w:pStyle w:val="Heading1"/>
        <w:keepNext/>
        <w:widowControl/>
      </w:pPr>
      <w:r>
        <w:t>ПРОЛЕГОМЕНЫ. EINEN BLEIBENDEN KERN: ДВА ПОСТОЯННЫХ АКСИОМАТИЧЕСКИХ ЯДРА KLT-RBD</w:t>
      </w:r>
    </w:p>
    <w:tbl>
      <w:tblPr>
        <w:tblStyle w:val="TableGrid"/>
        <w:tblW w:type="auto" w:w="0"/>
        <w:jc w:val="center"/>
        <w:tblLook w:firstColumn="1" w:firstRow="1" w:lastColumn="0" w:lastRow="0" w:noHBand="0" w:noVBand="1" w:val="04A0"/>
      </w:tblPr>
      <w:tblGrid>
        <w:gridCol w:w="9865"/>
      </w:tblGrid>
      <w:tr>
        <w:trPr>
          <w:trHeight w:hRule="atLeast"/>
        </w:trPr>
        <w:tc>
          <w:tcPr>
            <w:tcW w:type="dxa" w:w="9865"/>
            <w:shd w:fill="F7F1DF" w:val="clear"/>
            <w:tcMar>
              <w:top w:w="90" w:type="dxa"/>
              <w:start w:w="100" w:type="dxa"/>
              <w:bottom w:w="90" w:type="dxa"/>
              <w:end w:w="100" w:type="dxa"/>
            </w:tcMar>
            <w:vAlign w:val="center"/>
          </w:tcPr>
          <w:p>
            <w:pPr>
              <w:widowControl/>
              <w:spacing w:after="0" w:line="259" w:lineRule="auto"/>
            </w:pPr>
            <w:r>
              <w:rPr>
                <w:rFonts w:ascii="DejaVu Sans" w:hAnsi="DejaVu Sans"/>
                <w:b/>
                <w:color w:val="8B6508"/>
                <w:sz w:val="19"/>
              </w:rPr>
              <w:t xml:space="preserve">ФИЛОСОФСКИЙ ПРОЛОГ. </w:t>
            </w:r>
            <w:r>
              <w:rPr>
                <w:i/>
                <w:sz w:val="18"/>
              </w:rPr>
              <w:t>Всякая фундаментальная теория должна ответить по меньшей мере на два вопроса. Первый: как нечто становится событием, а не остаётся только возможностью? Второй: почему возникшее остаётся распознаваемым тем же самым сквозь преобразования? В Томе IV эти вопросы получают антропологическое продолжение, но их источник лежит глубже человека. Первое постоянное ядро KLT-RBD есть генезис посредством вариации. Второе есть тождество посредством инвариантности. Становление без сохранения распадается в шум; сохранение без становления превращается в неподвижную пустоту.</w:t>
            </w:r>
          </w:p>
        </w:tc>
      </w:tr>
    </w:tbl>
    <w:tbl>
      <w:tblPr>
        <w:tblStyle w:val="TableGrid"/>
        <w:tblW w:type="auto" w:w="0"/>
        <w:jc w:val="center"/>
        <w:tblLook w:firstColumn="1" w:firstRow="1" w:lastColumn="0" w:lastRow="0" w:noHBand="0" w:noVBand="1" w:val="04A0"/>
      </w:tblPr>
      <w:tblGrid>
        <w:gridCol w:w="9865"/>
      </w:tblGrid>
      <w:tr>
        <w:trPr>
          <w:trHeight w:hRule="atLeast"/>
        </w:trPr>
        <w:tc>
          <w:tcPr>
            <w:tcW w:type="dxa" w:w="9865"/>
            <w:shd w:fill="F7F1DF" w:val="clear"/>
            <w:tcMar>
              <w:top w:w="90" w:type="dxa"/>
              <w:start w:w="100" w:type="dxa"/>
              <w:bottom w:w="90" w:type="dxa"/>
              <w:end w:w="100" w:type="dxa"/>
            </w:tcMar>
            <w:vAlign w:val="center"/>
          </w:tcPr>
          <w:p>
            <w:pPr>
              <w:widowControl/>
              <w:spacing w:line="254" w:lineRule="auto"/>
            </w:pPr>
            <w:r>
              <w:rPr>
                <w:b/>
                <w:color w:val="17345F"/>
                <w:sz w:val="18"/>
              </w:rPr>
              <w:t xml:space="preserve">ИСТОЧНИКОВАЯ ГРАНИЦА. </w:t>
            </w:r>
            <w:r>
              <w:rPr>
                <w:sz w:val="18"/>
              </w:rPr>
              <w:t>Выражение «einen bleibenden Kern» закрепляется как авторское наименование постоянного ядра проекта «ЛОГИКА КУРПИШЕВА 2». Оно не выдаётся за буквальную цитату Гильберта. Историческими prior-art объектами являются сформулированные Гильбертом в 1915 году вариационная мировая функция и общая инвариантность. KLT-RBD предлагает более широкую пакетно-стратифицированную надстройку и формальную теорему редукции.</w:t>
            </w:r>
          </w:p>
        </w:tc>
      </w:tr>
    </w:tbl>
    <w:p>
      <w:pPr>
        <w:pStyle w:val="Heading2"/>
        <w:keepNext/>
        <w:widowControl/>
      </w:pPr>
      <w:r>
        <w:t>П.1. Историческая пара Гильберта и граница переатрибуции</w:t>
      </w:r>
    </w:p>
    <w:p>
      <w:pPr>
        <w:widowControl/>
        <w:spacing w:before="0" w:after="80"/>
      </w:pPr>
      <w:r>
        <w:rPr>
          <w:b w:val="0"/>
          <w:i w:val="0"/>
        </w:rPr>
        <w:t>В «Основаниях физики. Первое сообщение» Гильберт сформулировал два аксиоматических принципа: закон мировых процессов выводится из вариации мировой функции, а сама мировая функция обладает общей инвариантностью. В 1917 году последовало второе сообщение; в 1924 году материал был сведён в переработанную статью. Эти результаты принадлежат истории математической физики. Текст Тома IV не переписывает авторство и не участвует в споре о приоритете уравнений общей теории относительности.</w:t>
      </w:r>
    </w:p>
    <w:tbl>
      <w:tblPr>
        <w:tblStyle w:val="TableGrid"/>
        <w:tblW w:type="auto" w:w="0"/>
        <w:jc w:val="center"/>
        <w:tblLook w:firstColumn="1" w:firstRow="1" w:lastColumn="0" w:lastRow="0" w:noHBand="0" w:noVBand="1" w:val="04A0"/>
      </w:tblPr>
      <w:tblGrid>
        <w:gridCol w:w="3288"/>
        <w:gridCol w:w="3288"/>
        <w:gridCol w:w="3288"/>
      </w:tblGrid>
      <w:tr>
        <w:trPr>
          <w:trHeight w:hRule="atLeast"/>
          <w:tblHeader w:val="true"/>
        </w:trPr>
        <w:tc>
          <w:tcPr>
            <w:tcW w:type="dxa" w:w="2088"/>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Исторический узел</w:t>
            </w:r>
          </w:p>
        </w:tc>
        <w:tc>
          <w:tcPr>
            <w:tcW w:type="dxa" w:w="3816"/>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Содержание prior art</w:t>
            </w:r>
          </w:p>
        </w:tc>
        <w:tc>
          <w:tcPr>
            <w:tcW w:type="dxa" w:w="3816"/>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KLT-RBD: разрешённый новый вопрос</w:t>
            </w:r>
          </w:p>
        </w:tc>
      </w:tr>
      <w:tr>
        <w:trPr>
          <w:trHeight w:hRule="atLeast"/>
        </w:trPr>
        <w:tc>
          <w:tcPr>
            <w:tcW w:type="dxa" w:w="2088"/>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5"/>
              </w:rPr>
              <w:t>Hilbert I</w:t>
            </w:r>
          </w:p>
        </w:tc>
        <w:tc>
          <w:tcPr>
            <w:tcW w:type="dxa" w:w="381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Стационарность интеграла мировой функции относительно вариаций полей.</w:t>
            </w:r>
          </w:p>
        </w:tc>
        <w:tc>
          <w:tcPr>
            <w:tcW w:type="dxa" w:w="381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Из каких стратифицированных полей Θ_K, g_K и A_K возникает сама мировая функция?</w:t>
            </w:r>
          </w:p>
        </w:tc>
      </w:tr>
      <w:tr>
        <w:trPr>
          <w:trHeight w:hRule="atLeast"/>
        </w:trPr>
        <w:tc>
          <w:tcPr>
            <w:tcW w:type="dxa" w:w="2088"/>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5"/>
              </w:rPr>
              <w:t>Hilbert II</w:t>
            </w:r>
          </w:p>
        </w:tc>
        <w:tc>
          <w:tcPr>
            <w:tcW w:type="dxa" w:w="381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Инвариантность мировой функции относительно общих преобразований координат.</w:t>
            </w:r>
          </w:p>
        </w:tc>
        <w:tc>
          <w:tcPr>
            <w:tcW w:type="dxa" w:w="381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Как расширить инвариантность до допустимой группоиды пакетных преобразований P@P, M@R, C@B, R@R?</w:t>
            </w:r>
          </w:p>
        </w:tc>
      </w:tr>
      <w:tr>
        <w:trPr>
          <w:trHeight w:hRule="atLeast"/>
        </w:trPr>
        <w:tc>
          <w:tcPr>
            <w:tcW w:type="dxa" w:w="2088"/>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5"/>
              </w:rPr>
              <w:t>Noether</w:t>
            </w:r>
          </w:p>
        </w:tc>
        <w:tc>
          <w:tcPr>
            <w:tcW w:type="dxa" w:w="381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Инвариантные вариационные задачи порождают тождества и законы сохранения.</w:t>
            </w:r>
          </w:p>
        </w:tc>
        <w:tc>
          <w:tcPr>
            <w:tcW w:type="dxa" w:w="381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При каких редукциях пакетная группоида становится гладкой группой Ли, к которой применим классический мост?</w:t>
            </w:r>
          </w:p>
        </w:tc>
      </w:tr>
    </w:tbl>
    <w:p>
      <w:pPr>
        <w:pStyle w:val="Heading2"/>
        <w:keepNext/>
        <w:widowControl/>
      </w:pPr>
      <w:r>
        <w:t>П.2. Размер@Размерность и Ход Времени Курпишева</w:t>
      </w:r>
    </w:p>
    <w:p>
      <w:pPr>
        <w:widowControl/>
        <w:spacing w:before="0" w:after="80"/>
      </w:pPr>
      <w:r>
        <w:rPr>
          <w:b w:val="0"/>
          <w:i w:val="0"/>
        </w:rPr>
        <w:t>Первое ядро требует не одной заранее данной сцены, а иерархии носителей. Пусть 𝕀_K является частично упорядоченным индексом Размер@Размерностей. Отношение α≻β означает не оценку «лучше-хуже», а разрешённое направление редукции от более богатого размерностного носителя к менее богатому. Мир наблюдаемого возникает не как сумма всех слоёв, а как последовательность контролируемых переходов между ними.</w:t>
      </w:r>
    </w:p>
    <w:tbl>
      <w:tblPr>
        <w:tblStyle w:val="TableGrid"/>
        <w:tblW w:type="auto" w:w="0"/>
        <w:jc w:val="center"/>
        <w:tblLook w:firstColumn="1" w:firstRow="1" w:lastColumn="0" w:lastRow="0" w:noHBand="0" w:noVBand="1" w:val="04A0"/>
      </w:tblPr>
      <w:tblGrid>
        <w:gridCol w:w="4932"/>
        <w:gridCol w:w="4932"/>
      </w:tblGrid>
      <w:tr>
        <w:trPr>
          <w:trHeight w:hRule="atLeast"/>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𝕀_K=(I,≽),  α≻β: larger R@R → smaller R@R</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T4-F159</w:t>
              <w:br/>
              <w:t>INDEXED SIZE@DIMENSION DEF</w:t>
            </w:r>
          </w:p>
        </w:tc>
      </w:tr>
    </w:tbl>
    <w:tbl>
      <w:tblPr>
        <w:tblStyle w:val="TableGrid"/>
        <w:tblW w:type="auto" w:w="0"/>
        <w:jc w:val="center"/>
        <w:tblLook w:firstColumn="1" w:firstRow="1" w:lastColumn="0" w:lastRow="0" w:noHBand="0" w:noVBand="1" w:val="04A0"/>
      </w:tblPr>
      <w:tblGrid>
        <w:gridCol w:w="4932"/>
        <w:gridCol w:w="4932"/>
      </w:tblGrid>
      <w:tr>
        <w:trPr>
          <w:trHeight w:hRule="atLeast"/>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X_K={X_α}_{α∈I};  ρ_{αβ}:X_α⇀X_β</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T4-F160</w:t>
              <w:br/>
              <w:t>STRATIFIED CARRIER DEF</w:t>
            </w:r>
          </w:p>
        </w:tc>
      </w:tr>
    </w:tbl>
    <w:tbl>
      <w:tblPr>
        <w:tblStyle w:val="TableGrid"/>
        <w:tblW w:type="auto" w:w="0"/>
        <w:jc w:val="center"/>
        <w:tblLook w:firstColumn="1" w:firstRow="1" w:lastColumn="0" w:lastRow="0" w:noHBand="0" w:noVBand="1" w:val="04A0"/>
      </w:tblPr>
      <w:tblGrid>
        <w:gridCol w:w="4932"/>
        <w:gridCol w:w="4932"/>
      </w:tblGrid>
      <w:tr>
        <w:trPr>
          <w:trHeight w:hRule="atLeast"/>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Θ_K={Θ_{αβ}}_{α≻β}</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T4-F161</w:t>
              <w:br/>
              <w:t>COURSE-OF-TIME FIELD</w:t>
            </w:r>
          </w:p>
        </w:tc>
      </w:tr>
    </w:tbl>
    <w:p>
      <w:pPr>
        <w:widowControl/>
        <w:spacing w:before="0" w:after="80"/>
      </w:pPr>
      <w:r>
        <w:rPr>
          <w:b w:val="0"/>
          <w:i w:val="0"/>
        </w:rPr>
        <w:t>Поле Θ_K называется Ходом Времени Курпишева в авторской модели. Его математический статус на этой стадии: типизированное семейство частичных переходов с собственными доменами, граничными условиями и основаниями. Физическое отождествление Θ_K с измеряемым универсальным полем не выполнено и остаётся отдельным обязательством.</w:t>
      </w:r>
    </w:p>
    <w:p>
      <w:pPr>
        <w:pStyle w:val="Heading2"/>
        <w:keepNext/>
        <w:widowControl/>
      </w:pPr>
      <w:r>
        <w:t>П.3. PIX, PEAKS и пакет P@P</w:t>
      </w:r>
    </w:p>
    <w:p>
      <w:pPr>
        <w:widowControl/>
        <w:spacing w:before="0" w:after="80"/>
      </w:pPr>
      <w:r>
        <w:rPr>
          <w:b w:val="0"/>
          <w:i w:val="0"/>
        </w:rPr>
        <w:t>Компоненты метрического тензора Размера описывают внутреннюю геометрию состояния. Их вариации и переносы создают PIX-перебросы: переходы по внутренним фазовым слоям одного пакета состояний. Векторный потенциал A_{αβ} кодирует переход между различными Размер@Размерностями; после projective-harmonic gate он образует канал PEAKS. P@P соединяет оба вида движения, но не смешивает их типы.</w:t>
      </w:r>
    </w:p>
    <w:tbl>
      <w:tblPr>
        <w:tblStyle w:val="TableGrid"/>
        <w:tblW w:type="auto" w:w="0"/>
        <w:jc w:val="center"/>
        <w:tblLook w:firstColumn="1" w:firstRow="1" w:lastColumn="0" w:lastRow="0" w:noHBand="0" w:noVBand="1" w:val="04A0"/>
      </w:tblPr>
      <w:tblGrid>
        <w:gridCol w:w="4932"/>
        <w:gridCol w:w="4932"/>
      </w:tblGrid>
      <w:tr>
        <w:trPr>
          <w:trHeight w:hRule="atLeast"/>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g_K={g_α};  Π_g^PIX=internal metric phase throws</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T4-F162</w:t>
              <w:br/>
              <w:t>METRIC PIX DEF</w:t>
            </w:r>
          </w:p>
        </w:tc>
      </w:tr>
    </w:tbl>
    <w:tbl>
      <w:tblPr>
        <w:tblStyle w:val="TableGrid"/>
        <w:tblW w:type="auto" w:w="0"/>
        <w:jc w:val="center"/>
        <w:tblLook w:firstColumn="1" w:firstRow="1" w:lastColumn="0" w:lastRow="0" w:noHBand="0" w:noVBand="1" w:val="04A0"/>
      </w:tblPr>
      <w:tblGrid>
        <w:gridCol w:w="4932"/>
        <w:gridCol w:w="4932"/>
      </w:tblGrid>
      <w:tr>
        <w:trPr>
          <w:trHeight w:hRule="atLeast"/>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A_K={A_{αβ}};  T_A^PEAKS=projective-harmonic inter-dimensional transitions</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T4-F163</w:t>
              <w:br/>
              <w:t>TRANSITION POTENTIAL DEF</w:t>
            </w:r>
          </w:p>
        </w:tc>
      </w:tr>
    </w:tbl>
    <w:tbl>
      <w:tblPr>
        <w:tblStyle w:val="TableGrid"/>
        <w:tblW w:type="auto" w:w="0"/>
        <w:jc w:val="center"/>
        <w:tblLook w:firstColumn="1" w:firstRow="1" w:lastColumn="0" w:lastRow="0" w:noHBand="0" w:noVBand="1" w:val="04A0"/>
      </w:tblPr>
      <w:tblGrid>
        <w:gridCol w:w="4932"/>
        <w:gridCol w:w="4932"/>
      </w:tblGrid>
      <w:tr>
        <w:trPr>
          <w:trHeight w:hRule="atLeast"/>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Φ_K=(Θ_K,g_K,A_K;D,Dom,Prov,σ)</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T4-F164</w:t>
              <w:br/>
              <w:t>WORLD-FIELD DATUM</w:t>
            </w:r>
          </w:p>
        </w:tc>
      </w:tr>
    </w:tbl>
    <w:tbl>
      <w:tblPr>
        <w:tblStyle w:val="TableGrid"/>
        <w:tblW w:type="auto" w:w="0"/>
        <w:jc w:val="center"/>
        <w:tblLook w:firstColumn="1" w:firstRow="1" w:lastColumn="0" w:lastRow="0" w:noHBand="0" w:noVBand="1" w:val="04A0"/>
      </w:tblPr>
      <w:tblGrid>
        <w:gridCol w:w="4932"/>
        <w:gridCol w:w="4932"/>
      </w:tblGrid>
      <w:tr>
        <w:trPr>
          <w:trHeight w:hRule="atLeast"/>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P@P=(Π_g^PIX,T_A^PEAKS;Compat)</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T4-F165</w:t>
              <w:br/>
              <w:t>AUTHORIAL PACKET DEF</w:t>
            </w:r>
          </w:p>
        </w:tc>
      </w:tr>
    </w:tbl>
    <w:p>
      <w:pPr>
        <w:widowControl/>
        <w:jc w:val="center"/>
      </w:pPr>
      <w:r>
        <w:drawing>
          <wp:inline xmlns:a="http://schemas.openxmlformats.org/drawingml/2006/main" xmlns:pic="http://schemas.openxmlformats.org/drawingml/2006/picture">
            <wp:extent cx="5943600" cy="3058732"/>
            <wp:docPr id="21" name="Picture 21" descr="Схема показывает поля Хода Времени, метрики и потенциала Перехода, пакет P@P, мировой функционал и реализованный пакет событие@состояние." title="Рисунок П.1. Мировая функция PIX@PEAKS Fields и порождение пакета C@C."/>
            <wp:cNvGraphicFramePr>
              <a:graphicFrameLocks noChangeAspect="1"/>
            </wp:cNvGraphicFramePr>
            <a:graphic>
              <a:graphicData uri="http://schemas.openxmlformats.org/drawingml/2006/picture">
                <pic:pic>
                  <pic:nvPicPr>
                    <pic:cNvPr id="0" name="fig01_world_function_fields.png"/>
                    <pic:cNvPicPr/>
                  </pic:nvPicPr>
                  <pic:blipFill>
                    <a:blip r:embed="rId35"/>
                    <a:stretch>
                      <a:fillRect/>
                    </a:stretch>
                  </pic:blipFill>
                  <pic:spPr>
                    <a:xfrm>
                      <a:off x="0" y="0"/>
                      <a:ext cx="5943600" cy="3058732"/>
                    </a:xfrm>
                    <a:prstGeom prst="rect"/>
                  </pic:spPr>
                </pic:pic>
              </a:graphicData>
            </a:graphic>
          </wp:inline>
        </w:drawing>
      </w:r>
    </w:p>
    <w:p>
      <w:pPr>
        <w:pStyle w:val="Caption"/>
        <w:keepLines/>
        <w:widowControl/>
        <w:jc w:val="center"/>
      </w:pPr>
      <w:r>
        <w:rPr>
          <w:b/>
          <w:color w:val="4A76B8"/>
          <w:sz w:val="18"/>
        </w:rPr>
        <w:t>Рисунок П.1. Мировая функция PIX@PEAKS Fields и порождение пакета C@C.</w:t>
      </w:r>
    </w:p>
    <w:p>
      <w:pPr>
        <w:pStyle w:val="Heading2"/>
        <w:keepNext/>
        <w:widowControl/>
      </w:pPr>
      <w:r>
        <w:t>П.4. Первая главная аксиома KLT-RBD: вариационное порождение</w:t>
      </w:r>
    </w:p>
    <w:tbl>
      <w:tblPr>
        <w:tblStyle w:val="TableGrid"/>
        <w:tblW w:type="auto" w:w="0"/>
        <w:jc w:val="center"/>
        <w:tblLook w:firstColumn="1" w:firstRow="1" w:lastColumn="0" w:lastRow="0" w:noHBand="0" w:noVBand="1" w:val="04A0"/>
      </w:tblPr>
      <w:tblGrid>
        <w:gridCol w:w="9865"/>
      </w:tblGrid>
      <w:tr>
        <w:trPr>
          <w:trHeight w:hRule="atLeast"/>
        </w:trPr>
        <w:tc>
          <w:tcPr>
            <w:tcW w:type="dxa" w:w="9865"/>
            <w:shd w:fill="EAF6EC" w:val="clear"/>
            <w:tcMar>
              <w:top w:w="90" w:type="dxa"/>
              <w:start w:w="100" w:type="dxa"/>
              <w:bottom w:w="90" w:type="dxa"/>
              <w:end w:w="100" w:type="dxa"/>
            </w:tcMar>
            <w:vAlign w:val="center"/>
          </w:tcPr>
          <w:p>
            <w:pPr>
              <w:widowControl/>
              <w:spacing w:line="254" w:lineRule="auto"/>
            </w:pPr>
            <w:r>
              <w:rPr>
                <w:b/>
                <w:color w:val="2E7D4F"/>
                <w:sz w:val="18"/>
              </w:rPr>
              <w:t xml:space="preserve">АКСИОМА KLT-A1 — Вариационное порождение C@C. </w:t>
            </w:r>
            <w:r>
              <w:rPr>
                <w:b/>
                <w:color w:val="9B2D30"/>
                <w:sz w:val="17"/>
              </w:rPr>
              <w:t xml:space="preserve">[AUTHORIAL AXIOM] </w:t>
            </w:r>
            <w:r>
              <w:rPr>
                <w:sz w:val="18"/>
              </w:rPr>
              <w:t>Для каждого допустимого домена Ω и поля Φ_K существует мировой функционал S_K. Реализованный пакет событие@состояние возникает только как результат допустимого критического замыкания S_K относительно совместных вариаций Хода Времени Θ_K, метрических тензоров g_K и переходных потенциалов A_K, после прохождения D/Dom, provenance, amplitude и status gates.</w:t>
            </w:r>
          </w:p>
        </w:tc>
      </w:tr>
    </w:tbl>
    <w:tbl>
      <w:tblPr>
        <w:tblStyle w:val="TableGrid"/>
        <w:tblW w:type="auto" w:w="0"/>
        <w:jc w:val="center"/>
        <w:tblLook w:firstColumn="1" w:firstRow="1" w:lastColumn="0" w:lastRow="0" w:noHBand="0" w:noVBand="1" w:val="04A0"/>
      </w:tblPr>
      <w:tblGrid>
        <w:gridCol w:w="4932"/>
        <w:gridCol w:w="4932"/>
      </w:tblGrid>
      <w:tr>
        <w:trPr>
          <w:trHeight w:hRule="atLeast"/>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S_K[Φ_K]=Σ_{α≻β}∫_{Ω_{αβ}}H_K(j^rΘ,j^rg,j^rA;D,Dom)dμ_{g_α}</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T4-F166</w:t>
              <w:br/>
              <w:t>KLT WORLD ACTION</w:t>
            </w:r>
          </w:p>
        </w:tc>
      </w:tr>
    </w:tbl>
    <w:tbl>
      <w:tblPr>
        <w:tblStyle w:val="TableGrid"/>
        <w:tblW w:type="auto" w:w="0"/>
        <w:jc w:val="center"/>
        <w:tblLook w:firstColumn="1" w:firstRow="1" w:lastColumn="0" w:lastRow="0" w:noHBand="0" w:noVBand="1" w:val="04A0"/>
      </w:tblPr>
      <w:tblGrid>
        <w:gridCol w:w="4932"/>
        <w:gridCol w:w="4932"/>
      </w:tblGrid>
      <w:tr>
        <w:trPr>
          <w:trHeight w:hRule="atLeast"/>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δ_{Θ,g,A}S_K=0</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T4-F167</w:t>
              <w:br/>
              <w:t>KLT-A1</w:t>
            </w:r>
          </w:p>
        </w:tc>
      </w:tr>
    </w:tbl>
    <w:tbl>
      <w:tblPr>
        <w:tblStyle w:val="TableGrid"/>
        <w:tblW w:type="auto" w:w="0"/>
        <w:jc w:val="center"/>
        <w:tblLook w:firstColumn="1" w:firstRow="1" w:lastColumn="0" w:lastRow="0" w:noHBand="0" w:noVBand="1" w:val="04A0"/>
      </w:tblPr>
      <w:tblGrid>
        <w:gridCol w:w="4932"/>
        <w:gridCol w:w="4932"/>
      </w:tblGrid>
      <w:tr>
        <w:trPr>
          <w:trHeight w:hRule="atLeast"/>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C@C=G_K(Crit S_K,P@P,D/Dom,AmpGate,σ)</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T4-F168</w:t>
              <w:br/>
              <w:t>EVENT@STATE GENERATION</w:t>
            </w:r>
          </w:p>
        </w:tc>
      </w:tr>
    </w:tbl>
    <w:p>
      <w:pPr>
        <w:widowControl/>
        <w:spacing w:before="0" w:after="80"/>
      </w:pPr>
      <w:r>
        <w:rPr>
          <w:b w:val="0"/>
          <w:i w:val="0"/>
        </w:rPr>
        <w:t>Аксиома не утверждает, что всякое человеческое или физическое событие уже описано конкретным найденным функционалом. Она задаёт форму исследовательской программы: объект считается созданным мировой функцией лишь после указания носителей, вариаций, граничных условий и шлюзов. До построения нетривиальной модели это аксиоматический каркас, а не экспериментально установленный закон природы.</w:t>
      </w:r>
    </w:p>
    <w:p>
      <w:pPr>
        <w:pStyle w:val="Heading2"/>
        <w:keepNext/>
        <w:widowControl/>
      </w:pPr>
      <w:r>
        <w:t>П.5. Вторая главная аксиома KLT-RBD: пакетная инвариантность</w:t>
      </w:r>
    </w:p>
    <w:p>
      <w:pPr>
        <w:widowControl/>
        <w:spacing w:before="0" w:after="80"/>
      </w:pPr>
      <w:r>
        <w:rPr>
          <w:b w:val="0"/>
          <w:i w:val="0"/>
        </w:rPr>
        <w:t>Слово «произвольные» требует математической дисциплины. Произвольным считается всякое преобразование, принадлежащее объявленной допустимой пакетной группоиде и сохраняющее типы, Dom, D, ориентацию необходимых слоёв, provenance и статус. Произвольное отображение множеств, разрушающее эти данные, не является симметрией теории.</w:t>
      </w:r>
    </w:p>
    <w:tbl>
      <w:tblPr>
        <w:tblStyle w:val="TableGrid"/>
        <w:tblW w:type="auto" w:w="0"/>
        <w:jc w:val="center"/>
        <w:tblLook w:firstColumn="1" w:firstRow="1" w:lastColumn="0" w:lastRow="0" w:noHBand="0" w:noVBand="1" w:val="04A0"/>
      </w:tblPr>
      <w:tblGrid>
        <w:gridCol w:w="4932"/>
        <w:gridCol w:w="4932"/>
      </w:tblGrid>
      <w:tr>
        <w:trPr>
          <w:trHeight w:hRule="atLeast"/>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𝔊_KLT=⟨Aut(P@P),Aut(M@R),Aut(C@B),Aut(R@R)⟩_adm</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T4-F169</w:t>
              <w:br/>
              <w:t>ADMISSIBLE PACKET GROUPOID</w:t>
            </w:r>
          </w:p>
        </w:tc>
      </w:tr>
    </w:tbl>
    <w:tbl>
      <w:tblPr>
        <w:tblStyle w:val="TableGrid"/>
        <w:tblW w:type="auto" w:w="0"/>
        <w:jc w:val="center"/>
        <w:tblLook w:firstColumn="1" w:firstRow="1" w:lastColumn="0" w:lastRow="0" w:noHBand="0" w:noVBand="1" w:val="04A0"/>
      </w:tblPr>
      <w:tblGrid>
        <w:gridCol w:w="9865"/>
      </w:tblGrid>
      <w:tr>
        <w:trPr>
          <w:trHeight w:hRule="atLeast"/>
        </w:trPr>
        <w:tc>
          <w:tcPr>
            <w:tcW w:type="dxa" w:w="9865"/>
            <w:shd w:fill="EAF6EC" w:val="clear"/>
            <w:tcMar>
              <w:top w:w="90" w:type="dxa"/>
              <w:start w:w="100" w:type="dxa"/>
              <w:bottom w:w="90" w:type="dxa"/>
              <w:end w:w="100" w:type="dxa"/>
            </w:tcMar>
            <w:vAlign w:val="center"/>
          </w:tcPr>
          <w:p>
            <w:pPr>
              <w:widowControl/>
              <w:spacing w:line="254" w:lineRule="auto"/>
            </w:pPr>
            <w:r>
              <w:rPr>
                <w:b/>
                <w:color w:val="2E7D4F"/>
                <w:sz w:val="18"/>
              </w:rPr>
              <w:t xml:space="preserve">АКСИОМА KLT-A2 — Инвариантное создание реальных событий. </w:t>
            </w:r>
            <w:r>
              <w:rPr>
                <w:b/>
                <w:color w:val="9B2D30"/>
                <w:sz w:val="17"/>
              </w:rPr>
              <w:t xml:space="preserve">[AUTHORIAL AXIOM] </w:t>
            </w:r>
            <w:r>
              <w:rPr>
                <w:sz w:val="18"/>
              </w:rPr>
              <w:t>Мировой функционал и множество допустимых реализованных C@C ковариантны относительно всех морфизмов 𝔊_KLT. На областях с границей допускается изменение действия на граничный член. Состояния возникают только в подамплитудах, совместимых с амплитудой события. На финальной стадии физически интерпретируемая редукция должна быть жёсткой: единственной modulo симметрий и невырожденной по негейджевым направлениям.</w:t>
            </w:r>
          </w:p>
        </w:tc>
      </w:tr>
    </w:tbl>
    <w:tbl>
      <w:tblPr>
        <w:tblStyle w:val="TableGrid"/>
        <w:tblW w:type="auto" w:w="0"/>
        <w:jc w:val="center"/>
        <w:tblLook w:firstColumn="1" w:firstRow="1" w:lastColumn="0" w:lastRow="0" w:noHBand="0" w:noVBand="1" w:val="04A0"/>
      </w:tblPr>
      <w:tblGrid>
        <w:gridCol w:w="4932"/>
        <w:gridCol w:w="4932"/>
      </w:tblGrid>
      <w:tr>
        <w:trPr>
          <w:trHeight w:hRule="atLeast"/>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S_K[γ·Φ_K]=S_K[Φ_K]+∫_{∂Ω}B_γ</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T4-F170</w:t>
              <w:br/>
              <w:t>KLT-A2</w:t>
            </w:r>
          </w:p>
        </w:tc>
      </w:tr>
    </w:tbl>
    <w:tbl>
      <w:tblPr>
        <w:tblStyle w:val="TableGrid"/>
        <w:tblW w:type="auto" w:w="0"/>
        <w:jc w:val="center"/>
        <w:tblLook w:firstColumn="1" w:firstRow="1" w:lastColumn="0" w:lastRow="0" w:noHBand="0" w:noVBand="1" w:val="04A0"/>
      </w:tblPr>
      <w:tblGrid>
        <w:gridCol w:w="4932"/>
        <w:gridCol w:w="4932"/>
      </w:tblGrid>
      <w:tr>
        <w:trPr>
          <w:trHeight w:hRule="atLeast"/>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R_amp⊂A_event×A_state</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T4-F171</w:t>
              <w:br/>
              <w:t>AMPLITUDE RELATION DEF</w:t>
            </w:r>
          </w:p>
        </w:tc>
      </w:tr>
    </w:tbl>
    <w:tbl>
      <w:tblPr>
        <w:tblStyle w:val="TableGrid"/>
        <w:tblW w:type="auto" w:w="0"/>
        <w:jc w:val="center"/>
        <w:tblLook w:firstColumn="1" w:firstRow="1" w:lastColumn="0" w:lastRow="0" w:noHBand="0" w:noVBand="1" w:val="04A0"/>
      </w:tblPr>
      <w:tblGrid>
        <w:gridCol w:w="4932"/>
        <w:gridCol w:w="4932"/>
      </w:tblGrid>
      <w:tr>
        <w:trPr>
          <w:trHeight w:hRule="atLeast"/>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supp Ψ_{S|e}⊂{s:(Amp_E(e),Amp_S(s))∈R_amp}</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T4-F172</w:t>
              <w:br/>
              <w:t>STATE SUB-AMPLITUDE GATE</w:t>
            </w:r>
          </w:p>
        </w:tc>
      </w:tr>
    </w:tbl>
    <w:tbl>
      <w:tblPr>
        <w:tblStyle w:val="TableGrid"/>
        <w:tblW w:type="auto" w:w="0"/>
        <w:jc w:val="center"/>
        <w:tblLook w:firstColumn="1" w:firstRow="1" w:lastColumn="0" w:lastRow="0" w:noHBand="0" w:noVBand="1" w:val="04A0"/>
      </w:tblPr>
      <w:tblGrid>
        <w:gridCol w:w="4932"/>
        <w:gridCol w:w="4932"/>
      </w:tblGrid>
      <w:tr>
        <w:trPr>
          <w:trHeight w:hRule="atLeast"/>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Real_K(e,s)⇔Crit∧Cov∧AmpGate∧Rigidity∧D/Dom∧Prov∧Status</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T4-F173</w:t>
              <w:br/>
              <w:t>MODEL REALIZATION GATE</w:t>
            </w:r>
          </w:p>
        </w:tc>
      </w:tr>
    </w:tbl>
    <w:tbl>
      <w:tblPr>
        <w:tblStyle w:val="TableGrid"/>
        <w:tblW w:type="auto" w:w="0"/>
        <w:jc w:val="center"/>
        <w:tblLook w:firstColumn="1" w:firstRow="1" w:lastColumn="0" w:lastRow="0" w:noHBand="0" w:noVBand="1" w:val="04A0"/>
      </w:tblPr>
      <w:tblGrid>
        <w:gridCol w:w="4932"/>
        <w:gridCol w:w="4932"/>
      </w:tblGrid>
      <w:tr>
        <w:trPr>
          <w:trHeight w:hRule="atLeast"/>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ker Hess(S_red)_x=T_x(𝔊_KLT·x); Hess&gt;0 on the normal quotient</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T4-F174</w:t>
              <w:br/>
              <w:t>FINAL RIGIDITY GATE</w:t>
            </w:r>
          </w:p>
        </w:tc>
      </w:tr>
    </w:tbl>
    <w:p>
      <w:pPr>
        <w:widowControl/>
        <w:jc w:val="center"/>
      </w:pPr>
      <w:r>
        <w:drawing>
          <wp:inline xmlns:a="http://schemas.openxmlformats.org/drawingml/2006/main" xmlns:pic="http://schemas.openxmlformats.org/drawingml/2006/picture">
            <wp:extent cx="5943600" cy="2605639"/>
            <wp:docPr id="22" name="Picture 22" descr="Центральная мировая функция окружена четырьмя классами пакетных автоморфизмов; нижние шлюзы проверяют амплитудную совместимость и жёсткость." title="Рисунок П.2. Пакетная ковариантность, согласование амплитуд и финальная жёсткость."/>
            <wp:cNvGraphicFramePr>
              <a:graphicFrameLocks noChangeAspect="1"/>
            </wp:cNvGraphicFramePr>
            <a:graphic>
              <a:graphicData uri="http://schemas.openxmlformats.org/drawingml/2006/picture">
                <pic:pic>
                  <pic:nvPicPr>
                    <pic:cNvPr id="0" name="fig02_covariance_amplitude_rigidity.png"/>
                    <pic:cNvPicPr/>
                  </pic:nvPicPr>
                  <pic:blipFill>
                    <a:blip r:embed="rId36"/>
                    <a:stretch>
                      <a:fillRect/>
                    </a:stretch>
                  </pic:blipFill>
                  <pic:spPr>
                    <a:xfrm>
                      <a:off x="0" y="0"/>
                      <a:ext cx="5943600" cy="2605639"/>
                    </a:xfrm>
                    <a:prstGeom prst="rect"/>
                  </pic:spPr>
                </pic:pic>
              </a:graphicData>
            </a:graphic>
          </wp:inline>
        </w:drawing>
      </w:r>
    </w:p>
    <w:p>
      <w:pPr>
        <w:pStyle w:val="Caption"/>
        <w:keepLines/>
        <w:widowControl/>
        <w:jc w:val="center"/>
      </w:pPr>
      <w:r>
        <w:rPr>
          <w:b/>
          <w:color w:val="4A76B8"/>
          <w:sz w:val="18"/>
        </w:rPr>
        <w:t>Рисунок П.2. Пакетная ковариантность, согласование амплитуд и финальная жёсткость.</w:t>
      </w:r>
    </w:p>
    <w:p>
      <w:pPr>
        <w:pStyle w:val="Heading2"/>
        <w:keepNext/>
        <w:widowControl/>
      </w:pPr>
      <w:r>
        <w:t>П.6. Формальная теорема редукции Гильберта</w:t>
      </w:r>
    </w:p>
    <w:p>
      <w:pPr>
        <w:widowControl/>
        <w:spacing w:before="0" w:after="80"/>
      </w:pPr>
      <w:r>
        <w:rPr>
          <w:b w:val="0"/>
          <w:i w:val="0"/>
        </w:rPr>
        <w:t>Определим частичный reduction functor R_H только на тех KLT-конфигурациях, где выполнены шесть условий: (H1) иерархия носителей заморожена до одного гладкого четырёхмерного многообразия M; (H2) внутренняя неассоциативность не участвует в выбранном секторе; (H3) PIX-перебросы либо включены в метрические компоненты, либо фиксированы; (H4) PEAKS-потенциал редуцируется к четырём компонентам q_s; (H5) пакетная группоида редуцируется к Diff(M); (H6) вариации и boundary conditions делают граничный член нулевым.</w:t>
      </w:r>
    </w:p>
    <w:tbl>
      <w:tblPr>
        <w:tblStyle w:val="TableGrid"/>
        <w:tblW w:type="auto" w:w="0"/>
        <w:jc w:val="center"/>
        <w:tblLook w:firstColumn="1" w:firstRow="1" w:lastColumn="0" w:lastRow="0" w:noHBand="0" w:noVBand="1" w:val="04A0"/>
      </w:tblPr>
      <w:tblGrid>
        <w:gridCol w:w="4932"/>
        <w:gridCol w:w="4932"/>
      </w:tblGrid>
      <w:tr>
        <w:trPr>
          <w:trHeight w:hRule="atLeast"/>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R_H:(X_K,Θ_K,g_K,A_K,𝔊_KLT)⇀(M⁴,g_{μν},q_s,Diff(M))</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T4-F175</w:t>
              <w:br/>
              <w:t>HILBERT REDUCTION FUNCTOR</w:t>
            </w:r>
          </w:p>
        </w:tc>
      </w:tr>
    </w:tbl>
    <w:tbl>
      <w:tblPr>
        <w:tblStyle w:val="TableGrid"/>
        <w:tblW w:type="auto" w:w="0"/>
        <w:jc w:val="center"/>
        <w:tblLook w:firstColumn="1" w:firstRow="1" w:lastColumn="0" w:lastRow="0" w:noHBand="0" w:noVBand="1" w:val="04A0"/>
      </w:tblPr>
      <w:tblGrid>
        <w:gridCol w:w="4932"/>
        <w:gridCol w:w="4932"/>
      </w:tblGrid>
      <w:tr>
        <w:trPr>
          <w:trHeight w:hRule="atLeast"/>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R_H(S_K)=∫_M H(g_{μν},q_s,∂g,∂q,...)√|g|d⁴x</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T4-F176</w:t>
              <w:br/>
              <w:t>HILBERT WORLD FUNCTION</w:t>
            </w:r>
          </w:p>
        </w:tc>
      </w:tr>
    </w:tbl>
    <w:tbl>
      <w:tblPr>
        <w:tblStyle w:val="TableGrid"/>
        <w:tblW w:type="auto" w:w="0"/>
        <w:jc w:val="center"/>
        <w:tblLook w:firstColumn="1" w:firstRow="1" w:lastColumn="0" w:lastRow="0" w:noHBand="0" w:noVBand="1" w:val="04A0"/>
      </w:tblPr>
      <w:tblGrid>
        <w:gridCol w:w="9865"/>
      </w:tblGrid>
      <w:tr>
        <w:trPr>
          <w:trHeight w:hRule="atLeast"/>
        </w:trPr>
        <w:tc>
          <w:tcPr>
            <w:tcW w:type="dxa" w:w="9865"/>
            <w:shd w:fill="EAF6EC" w:val="clear"/>
            <w:tcMar>
              <w:top w:w="90" w:type="dxa"/>
              <w:start w:w="100" w:type="dxa"/>
              <w:bottom w:w="90" w:type="dxa"/>
              <w:end w:w="100" w:type="dxa"/>
            </w:tcMar>
            <w:vAlign w:val="center"/>
          </w:tcPr>
          <w:p>
            <w:pPr>
              <w:widowControl/>
              <w:spacing w:line="254" w:lineRule="auto"/>
            </w:pPr>
            <w:r>
              <w:rPr>
                <w:b/>
                <w:color w:val="2E7D4F"/>
                <w:sz w:val="18"/>
              </w:rPr>
              <w:t xml:space="preserve">ТЕОРЕМА T4.P.1 — Hilbert reduction. </w:t>
            </w:r>
            <w:r>
              <w:rPr>
                <w:b/>
                <w:color w:val="9B2D30"/>
                <w:sz w:val="17"/>
              </w:rPr>
              <w:t xml:space="preserve">[THM-FORMAL UNDER H1-H6] </w:t>
            </w:r>
            <w:r>
              <w:rPr>
                <w:sz w:val="18"/>
              </w:rPr>
              <w:t>При выполнении H1-H6 аксиома KLT-A1 редуцируется к вариационному принципу мировой функции Гильберта, а KLT-A2 - к её общей координатной инвариантности.</w:t>
            </w:r>
            <w:r>
              <w:br/>
            </w:r>
            <w:r>
              <w:rPr>
                <w:b/>
                <w:sz w:val="18"/>
              </w:rPr>
              <w:t xml:space="preserve">Доказательство. </w:t>
            </w:r>
            <w:r>
              <w:rPr>
                <w:sz w:val="18"/>
              </w:rPr>
              <w:t>Подстановка R_H в S_K устраняет сумму по размерностным переходам и оставляет один четырёхмерный интеграл. Допустимые совместные вариации переходят в вариации g_{μν} и q_s, поэтому δS_K=0 даёт Hilbert I. Образ допустимой пакетной группоиды есть Diff(M), а граничный член исчезает по H6; поэтому KLT-A2 даёт Hilbert II. □</w:t>
            </w:r>
          </w:p>
        </w:tc>
      </w:tr>
    </w:tbl>
    <w:tbl>
      <w:tblPr>
        <w:tblStyle w:val="TableGrid"/>
        <w:tblW w:type="auto" w:w="0"/>
        <w:jc w:val="center"/>
        <w:tblLook w:firstColumn="1" w:firstRow="1" w:lastColumn="0" w:lastRow="0" w:noHBand="0" w:noVBand="1" w:val="04A0"/>
      </w:tblPr>
      <w:tblGrid>
        <w:gridCol w:w="4932"/>
        <w:gridCol w:w="4932"/>
      </w:tblGrid>
      <w:tr>
        <w:trPr>
          <w:trHeight w:hRule="atLeast"/>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R_H(KLT-A1)=Hilbert I; R_H(KLT-A2)=Hilbert II</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T4-F177</w:t>
              <w:br/>
              <w:t>REDUCTION THEOREM</w:t>
            </w:r>
          </w:p>
        </w:tc>
      </w:tr>
    </w:tbl>
    <w:tbl>
      <w:tblPr>
        <w:tblStyle w:val="TableGrid"/>
        <w:tblW w:type="auto" w:w="0"/>
        <w:jc w:val="center"/>
        <w:tblLook w:firstColumn="1" w:firstRow="1" w:lastColumn="0" w:lastRow="0" w:noHBand="0" w:noVBand="1" w:val="04A0"/>
      </w:tblPr>
      <w:tblGrid>
        <w:gridCol w:w="9865"/>
      </w:tblGrid>
      <w:tr>
        <w:trPr>
          <w:trHeight w:hRule="atLeast"/>
        </w:trPr>
        <w:tc>
          <w:tcPr>
            <w:tcW w:type="dxa" w:w="9865"/>
            <w:shd w:fill="EAF6EC" w:val="clear"/>
            <w:tcMar>
              <w:top w:w="90" w:type="dxa"/>
              <w:start w:w="100" w:type="dxa"/>
              <w:bottom w:w="90" w:type="dxa"/>
              <w:end w:w="100" w:type="dxa"/>
            </w:tcMar>
            <w:vAlign w:val="center"/>
          </w:tcPr>
          <w:p>
            <w:pPr>
              <w:widowControl/>
              <w:spacing w:line="254" w:lineRule="auto"/>
            </w:pPr>
            <w:r>
              <w:rPr>
                <w:b/>
                <w:color w:val="2E7D4F"/>
                <w:sz w:val="18"/>
              </w:rPr>
              <w:t xml:space="preserve">ТЕОРЕМА T4.P.2 — Необратимость редукции. </w:t>
            </w:r>
            <w:r>
              <w:rPr>
                <w:b/>
                <w:color w:val="9B2D30"/>
                <w:sz w:val="17"/>
              </w:rPr>
              <w:t xml:space="preserve">[THM-BY-COUNTERMODEL] </w:t>
            </w:r>
            <w:r>
              <w:rPr>
                <w:sz w:val="18"/>
              </w:rPr>
              <w:t>Из Hilbert I и Hilbert II без дополнительных данных нельзя восстановить полную иерархию KLT-RBD, поля Θ_K, внутреннее разбиение P@P на PIX/PEAKS, неассоциативный слой, amplitude relation и D/Dom firewall.</w:t>
            </w:r>
            <w:r>
              <w:br/>
            </w:r>
            <w:r>
              <w:rPr>
                <w:b/>
                <w:sz w:val="18"/>
              </w:rPr>
              <w:t xml:space="preserve">Доказательство. </w:t>
            </w:r>
            <w:r>
              <w:rPr>
                <w:sz w:val="18"/>
              </w:rPr>
              <w:t>Два различных KLT-предобраза могут иметь одинаковый четырёхмерный образ R_H, поскольку замороженные внутренние слои и переходные карты забываются. Следовательно, R_H не является инъективным на всём домене. □</w:t>
            </w:r>
          </w:p>
        </w:tc>
      </w:tr>
    </w:tbl>
    <w:tbl>
      <w:tblPr>
        <w:tblStyle w:val="TableGrid"/>
        <w:tblW w:type="auto" w:w="0"/>
        <w:jc w:val="center"/>
        <w:tblLook w:firstColumn="1" w:firstRow="1" w:lastColumn="0" w:lastRow="0" w:noHBand="0" w:noVBand="1" w:val="04A0"/>
      </w:tblPr>
      <w:tblGrid>
        <w:gridCol w:w="4932"/>
        <w:gridCol w:w="4932"/>
      </w:tblGrid>
      <w:tr>
        <w:trPr>
          <w:trHeight w:hRule="atLeast"/>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Hilbert I+II ⇏ full KLT hierarchy</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T4-F178</w:t>
              <w:br/>
              <w:t>NON-REVERSIBILITY</w:t>
            </w:r>
          </w:p>
        </w:tc>
      </w:tr>
    </w:tbl>
    <w:p>
      <w:pPr>
        <w:widowControl/>
        <w:jc w:val="center"/>
      </w:pPr>
      <w:r>
        <w:drawing>
          <wp:inline xmlns:a="http://schemas.openxmlformats.org/drawingml/2006/main" xmlns:pic="http://schemas.openxmlformats.org/drawingml/2006/picture">
            <wp:extent cx="5943600" cy="3267604"/>
            <wp:docPr id="23" name="Picture 23" descr="Верхние блоки KLT-A1 и KLT-A2 проходят через редукционный шлюз R_H и дают Hilbert I и Hilbert II; обратная стрелка отсутствует." title="Рисунок П.3. Два постоянных ядра KLT-RBD и их односторонняя редукция к аксиомам Гильберта."/>
            <wp:cNvGraphicFramePr>
              <a:graphicFrameLocks noChangeAspect="1"/>
            </wp:cNvGraphicFramePr>
            <a:graphic>
              <a:graphicData uri="http://schemas.openxmlformats.org/drawingml/2006/picture">
                <pic:pic>
                  <pic:nvPicPr>
                    <pic:cNvPr id="0" name="fig00_klt_hilbert_reduction.png"/>
                    <pic:cNvPicPr/>
                  </pic:nvPicPr>
                  <pic:blipFill>
                    <a:blip r:embed="rId37"/>
                    <a:stretch>
                      <a:fillRect/>
                    </a:stretch>
                  </pic:blipFill>
                  <pic:spPr>
                    <a:xfrm>
                      <a:off x="0" y="0"/>
                      <a:ext cx="5943600" cy="3267604"/>
                    </a:xfrm>
                    <a:prstGeom prst="rect"/>
                  </pic:spPr>
                </pic:pic>
              </a:graphicData>
            </a:graphic>
          </wp:inline>
        </w:drawing>
      </w:r>
    </w:p>
    <w:p>
      <w:pPr>
        <w:pStyle w:val="Caption"/>
        <w:keepLines/>
        <w:widowControl/>
        <w:jc w:val="center"/>
      </w:pPr>
      <w:r>
        <w:rPr>
          <w:b/>
          <w:color w:val="4A76B8"/>
          <w:sz w:val="18"/>
        </w:rPr>
        <w:t>Рисунок П.3. Два постоянных ядра KLT-RBD и их односторонняя редукция к аксиомам Гильберта.</w:t>
      </w:r>
    </w:p>
    <w:p>
      <w:pPr>
        <w:pStyle w:val="Heading2"/>
        <w:keepNext/>
        <w:widowControl/>
      </w:pPr>
      <w:r>
        <w:t>П.7. Мост Нётер и предел гладкой симметрии</w:t>
      </w:r>
    </w:p>
    <w:p>
      <w:pPr>
        <w:widowControl/>
        <w:spacing w:before="0" w:after="80"/>
      </w:pPr>
      <w:r>
        <w:rPr>
          <w:b w:val="0"/>
          <w:i w:val="0"/>
        </w:rPr>
        <w:t>В гладком ассоциативном секторе, где допустимые преобразования образуют локальную группу Ли и действие дифференцируемо, классическая теория Нётер связывает вариационную инвариантность с дифференциальными тождествами и законами сохранения. Этот мост является prior art и импортируется без переатрибуции. Для общей частичной группоиды KLT, неассоциативных композиций и переходов между разными размерностями аналог ещё не построен.</w:t>
      </w:r>
    </w:p>
    <w:tbl>
      <w:tblPr>
        <w:tblStyle w:val="TableGrid"/>
        <w:tblW w:type="auto" w:w="0"/>
        <w:jc w:val="center"/>
        <w:tblLook w:firstColumn="1" w:firstRow="1" w:lastColumn="0" w:lastRow="0" w:noHBand="0" w:noVBand="1" w:val="04A0"/>
      </w:tblPr>
      <w:tblGrid>
        <w:gridCol w:w="4932"/>
        <w:gridCol w:w="4932"/>
      </w:tblGrid>
      <w:tr>
        <w:trPr>
          <w:trHeight w:hRule="atLeast"/>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δ_εS=0 ⇒ differential identity / conserved current</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T4-F179</w:t>
              <w:br/>
              <w:t>NOETHER BRIDGE · REDUCED</w:t>
            </w:r>
          </w:p>
        </w:tc>
      </w:tr>
    </w:tbl>
    <w:tbl>
      <w:tblPr>
        <w:tblStyle w:val="TableGrid"/>
        <w:tblW w:type="auto" w:w="0"/>
        <w:jc w:val="center"/>
        <w:tblLook w:firstColumn="1" w:firstRow="1" w:lastColumn="0" w:lastRow="0" w:noHBand="0" w:noVBand="1" w:val="04A0"/>
      </w:tblPr>
      <w:tblGrid>
        <w:gridCol w:w="9865"/>
      </w:tblGrid>
      <w:tr>
        <w:trPr>
          <w:trHeight w:hRule="atLeast"/>
        </w:trPr>
        <w:tc>
          <w:tcPr>
            <w:tcW w:type="dxa" w:w="9865"/>
            <w:shd w:fill="FBEDED" w:val="clear"/>
            <w:tcMar>
              <w:top w:w="90" w:type="dxa"/>
              <w:start w:w="100" w:type="dxa"/>
              <w:bottom w:w="90" w:type="dxa"/>
              <w:end w:w="100" w:type="dxa"/>
            </w:tcMar>
            <w:vAlign w:val="center"/>
          </w:tcPr>
          <w:p>
            <w:pPr>
              <w:widowControl/>
              <w:spacing w:line="254" w:lineRule="auto"/>
            </w:pPr>
            <w:r>
              <w:rPr>
                <w:b/>
                <w:color w:val="17345F"/>
                <w:sz w:val="18"/>
              </w:rPr>
              <w:t xml:space="preserve">ОТКРЫТОЕ ОБЯЗАТЕЛЬСТВО. </w:t>
            </w:r>
            <w:r>
              <w:rPr>
                <w:sz w:val="18"/>
              </w:rPr>
              <w:t>Построить packet-Noether theorem для частичной группоиды, неассоциативного слоя и межразмерностных переходов либо доказать контрпример к такой универсализации. До этого все ссылки на «законы сохранения KLT» должны проходить через конкретную гладкую редукцию.</w:t>
            </w:r>
          </w:p>
        </w:tc>
      </w:tr>
    </w:tbl>
    <w:p>
      <w:pPr>
        <w:pStyle w:val="Heading2"/>
        <w:keepNext/>
        <w:widowControl/>
      </w:pPr>
      <w:r>
        <w:t>П.8. Философия двух ядер и антропологическая редукция</w:t>
      </w:r>
    </w:p>
    <w:tbl>
      <w:tblPr>
        <w:tblStyle w:val="TableGrid"/>
        <w:tblW w:type="auto" w:w="0"/>
        <w:jc w:val="center"/>
        <w:tblLook w:firstColumn="1" w:firstRow="1" w:lastColumn="0" w:lastRow="0" w:noHBand="0" w:noVBand="1" w:val="04A0"/>
      </w:tblPr>
      <w:tblGrid>
        <w:gridCol w:w="4932"/>
        <w:gridCol w:w="4932"/>
      </w:tblGrid>
      <w:tr>
        <w:trPr>
          <w:trHeight w:hRule="atLeast"/>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Kern_KLT=(Genesis_by_variation, Identity_by_invariance)</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T4-F180</w:t>
              <w:br/>
              <w:t>EINEN BLEIBENDEN KERN</w:t>
            </w:r>
          </w:p>
        </w:tc>
      </w:tr>
    </w:tbl>
    <w:p>
      <w:pPr>
        <w:widowControl/>
        <w:spacing w:before="0" w:after="80"/>
      </w:pPr>
      <w:r>
        <w:rPr>
          <w:b w:val="0"/>
          <w:i w:val="0"/>
        </w:rPr>
        <w:t>Первое ядро отвечает на вопрос о возникновении. Оно делает мир не складом готовых вещей, а процессом, в котором устойчивое событие выделяется из поля возможностей. Второе ядро отвечает на вопрос о тождестве. Оно запрещает считать реальностью результат, который исчезает при допустимой смене ракурса, масштаба, перехода или двойственности. Вместе они образуют не две независимые декларации, а диалектику становления и сохранения.</w:t>
      </w:r>
    </w:p>
    <w:p>
      <w:pPr>
        <w:widowControl/>
        <w:spacing w:before="0" w:after="80"/>
      </w:pPr>
      <w:r>
        <w:rPr>
          <w:b w:val="0"/>
          <w:i w:val="0"/>
        </w:rPr>
        <w:t>Для антропологии это означает: наблюдатель не создаёт мир одним мнением, но способен инициировать локальные действия внутри уже действующей мировой функции; он распознаёт событие, только если его инварианты переживают преобразование языка, памяти и документа. Свобода воли относится к локальному генезису; ответственность - к сохранению связи между действием, основанием и следствием.</w:t>
      </w:r>
    </w:p>
    <w:tbl>
      <w:tblPr>
        <w:tblStyle w:val="TableGrid"/>
        <w:tblW w:type="auto" w:w="0"/>
        <w:jc w:val="center"/>
        <w:tblLook w:firstColumn="1" w:firstRow="1" w:lastColumn="0" w:lastRow="0" w:noHBand="0" w:noVBand="1" w:val="04A0"/>
      </w:tblPr>
      <w:tblGrid>
        <w:gridCol w:w="4932"/>
        <w:gridCol w:w="4932"/>
      </w:tblGrid>
      <w:tr>
        <w:trPr>
          <w:trHeight w:hRule="atLeast"/>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World→C@C_world→C@C_human→Reper_h</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T4-F181</w:t>
              <w:br/>
              <w:t>TYPED ANTHROPOLOGICAL REDUCTION</w:t>
            </w:r>
          </w:p>
        </w:tc>
      </w:tr>
    </w:tbl>
    <w:p>
      <w:pPr>
        <w:pStyle w:val="Heading2"/>
        <w:keepNext/>
        <w:widowControl/>
      </w:pPr>
      <w:r>
        <w:t>П.9. Доказательные границы постоянного ядра</w:t>
      </w:r>
    </w:p>
    <w:tbl>
      <w:tblPr>
        <w:tblStyle w:val="TableGrid"/>
        <w:tblW w:type="auto" w:w="0"/>
        <w:jc w:val="center"/>
        <w:tblLook w:firstColumn="1" w:firstRow="1" w:lastColumn="0" w:lastRow="0" w:noHBand="0" w:noVBand="1" w:val="04A0"/>
      </w:tblPr>
      <w:tblGrid>
        <w:gridCol w:w="3288"/>
        <w:gridCol w:w="3288"/>
        <w:gridCol w:w="3288"/>
      </w:tblGrid>
      <w:tr>
        <w:trPr>
          <w:trHeight w:hRule="atLeast"/>
          <w:tblHeader w:val="true"/>
        </w:trPr>
        <w:tc>
          <w:tcPr>
            <w:tcW w:type="dxa" w:w="1584"/>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Уровень</w:t>
            </w:r>
          </w:p>
        </w:tc>
        <w:tc>
          <w:tcPr>
            <w:tcW w:type="dxa" w:w="4320"/>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Что утверждается</w:t>
            </w:r>
          </w:p>
        </w:tc>
        <w:tc>
          <w:tcPr>
            <w:tcW w:type="dxa" w:w="3816"/>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Что не утверждается</w:t>
            </w:r>
          </w:p>
        </w:tc>
      </w:tr>
      <w:tr>
        <w:trPr>
          <w:trHeight w:hRule="atLeast"/>
        </w:trPr>
        <w:tc>
          <w:tcPr>
            <w:tcW w:type="dxa" w:w="1584"/>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5"/>
              </w:rPr>
              <w:t>AXIOM</w:t>
            </w:r>
          </w:p>
        </w:tc>
        <w:tc>
          <w:tcPr>
            <w:tcW w:type="dxa" w:w="432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KLT-A1/A2 фиксируют форму авторской математической программы.</w:t>
            </w:r>
          </w:p>
        </w:tc>
        <w:tc>
          <w:tcPr>
            <w:tcW w:type="dxa" w:w="381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Что природа уже доказанно подчиняется конкретному найденному S_K.</w:t>
            </w:r>
          </w:p>
        </w:tc>
      </w:tr>
      <w:tr>
        <w:trPr>
          <w:trHeight w:hRule="atLeast"/>
        </w:trPr>
        <w:tc>
          <w:tcPr>
            <w:tcW w:type="dxa" w:w="1584"/>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5"/>
              </w:rPr>
              <w:t>THM-FORMAL</w:t>
            </w:r>
          </w:p>
        </w:tc>
        <w:tc>
          <w:tcPr>
            <w:tcW w:type="dxa" w:w="432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При H1-H6 KLT-A1/A2 редуцируются к Hilbert I/II.</w:t>
            </w:r>
          </w:p>
        </w:tc>
        <w:tc>
          <w:tcPr>
            <w:tcW w:type="dxa" w:w="381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Что Hilbert I/II исторически были выведены из KLT или что редукция обратима.</w:t>
            </w:r>
          </w:p>
        </w:tc>
      </w:tr>
      <w:tr>
        <w:trPr>
          <w:trHeight w:hRule="atLeast"/>
        </w:trPr>
        <w:tc>
          <w:tcPr>
            <w:tcW w:type="dxa" w:w="1584"/>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5"/>
              </w:rPr>
              <w:t>MODEL</w:t>
            </w:r>
          </w:p>
        </w:tc>
        <w:tc>
          <w:tcPr>
            <w:tcW w:type="dxa" w:w="432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P@P, amplitude relation и quotient-rigidity получили типы.</w:t>
            </w:r>
          </w:p>
        </w:tc>
        <w:tc>
          <w:tcPr>
            <w:tcW w:type="dxa" w:w="381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Что все физические амплитуды измерены и их связь подтверждена.</w:t>
            </w:r>
          </w:p>
        </w:tc>
      </w:tr>
      <w:tr>
        <w:trPr>
          <w:trHeight w:hRule="atLeast"/>
        </w:trPr>
        <w:tc>
          <w:tcPr>
            <w:tcW w:type="dxa" w:w="1584"/>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5"/>
              </w:rPr>
              <w:t>PHILOSOPHY</w:t>
            </w:r>
          </w:p>
        </w:tc>
        <w:tc>
          <w:tcPr>
            <w:tcW w:type="dxa" w:w="432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Два ядра объясняются как становление и сохранение.</w:t>
            </w:r>
          </w:p>
        </w:tc>
        <w:tc>
          <w:tcPr>
            <w:tcW w:type="dxa" w:w="381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Что философская убедительность повышает математический или эмпирический статус.</w:t>
            </w:r>
          </w:p>
        </w:tc>
      </w:tr>
      <w:tr>
        <w:trPr>
          <w:trHeight w:hRule="atLeast"/>
        </w:trPr>
        <w:tc>
          <w:tcPr>
            <w:tcW w:type="dxa" w:w="1584"/>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5"/>
              </w:rPr>
              <w:t>PROGRAM</w:t>
            </w:r>
          </w:p>
        </w:tc>
        <w:tc>
          <w:tcPr>
            <w:tcW w:type="dxa" w:w="432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Определён маршрут к Томам I-III, KLT-RBD и программным адаптерам.</w:t>
            </w:r>
          </w:p>
        </w:tc>
        <w:tc>
          <w:tcPr>
            <w:tcW w:type="dxa" w:w="381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Что cross-volume синхронизация и независимый EXT-RUN уже исполнены.</w:t>
            </w:r>
          </w:p>
        </w:tc>
      </w:tr>
    </w:tbl>
    <w:p>
      <w:pPr>
        <w:pStyle w:val="Heading2"/>
        <w:keepNext/>
        <w:widowControl/>
      </w:pPr>
      <w:r>
        <w:t>П.10. Контрмодели и точка отката</w:t>
      </w:r>
    </w:p>
    <w:tbl>
      <w:tblPr>
        <w:tblStyle w:val="TableGrid"/>
        <w:tblW w:type="auto" w:w="0"/>
        <w:jc w:val="center"/>
        <w:tblLook w:firstColumn="1" w:firstRow="1" w:lastColumn="0" w:lastRow="0" w:noHBand="0" w:noVBand="1" w:val="04A0"/>
      </w:tblPr>
      <w:tblGrid>
        <w:gridCol w:w="9865"/>
      </w:tblGrid>
      <w:tr>
        <w:trPr>
          <w:trHeight w:hRule="atLeast"/>
        </w:trPr>
        <w:tc>
          <w:tcPr>
            <w:tcW w:type="dxa" w:w="9865"/>
            <w:shd w:fill="FBEDED" w:val="clear"/>
            <w:tcMar>
              <w:top w:w="90" w:type="dxa"/>
              <w:start w:w="100" w:type="dxa"/>
              <w:bottom w:w="90" w:type="dxa"/>
              <w:end w:w="100" w:type="dxa"/>
            </w:tcMar>
            <w:vAlign w:val="center"/>
          </w:tcPr>
          <w:p>
            <w:pPr>
              <w:widowControl/>
              <w:spacing w:line="252" w:lineRule="auto"/>
            </w:pPr>
            <w:r>
              <w:rPr>
                <w:b/>
                <w:color w:val="9B2D30"/>
                <w:sz w:val="18"/>
              </w:rPr>
              <w:t xml:space="preserve">CM-056 · arbitrary map outside the groupoid. </w:t>
            </w:r>
            <w:r>
              <w:rPr>
                <w:sz w:val="18"/>
              </w:rPr>
              <w:t>An arbitrary set map can destroy types, dimensions and incidence; therefore «arbitrary transformations» cannot mean all maps without an admissibility contract.</w:t>
            </w:r>
          </w:p>
        </w:tc>
      </w:tr>
    </w:tbl>
    <w:tbl>
      <w:tblPr>
        <w:tblStyle w:val="TableGrid"/>
        <w:tblW w:type="auto" w:w="0"/>
        <w:jc w:val="center"/>
        <w:tblLook w:firstColumn="1" w:firstRow="1" w:lastColumn="0" w:lastRow="0" w:noHBand="0" w:noVBand="1" w:val="04A0"/>
      </w:tblPr>
      <w:tblGrid>
        <w:gridCol w:w="9865"/>
      </w:tblGrid>
      <w:tr>
        <w:trPr>
          <w:trHeight w:hRule="atLeast"/>
        </w:trPr>
        <w:tc>
          <w:tcPr>
            <w:tcW w:type="dxa" w:w="9865"/>
            <w:shd w:fill="FBEDED" w:val="clear"/>
            <w:tcMar>
              <w:top w:w="90" w:type="dxa"/>
              <w:start w:w="100" w:type="dxa"/>
              <w:bottom w:w="90" w:type="dxa"/>
              <w:end w:w="100" w:type="dxa"/>
            </w:tcMar>
            <w:vAlign w:val="center"/>
          </w:tcPr>
          <w:p>
            <w:pPr>
              <w:widowControl/>
              <w:spacing w:line="252" w:lineRule="auto"/>
            </w:pPr>
            <w:r>
              <w:rPr>
                <w:b/>
                <w:color w:val="9B2D30"/>
                <w:sz w:val="18"/>
              </w:rPr>
              <w:t xml:space="preserve">CM-057 · forgotten boundary term. </w:t>
            </w:r>
            <w:r>
              <w:rPr>
                <w:sz w:val="18"/>
              </w:rPr>
              <w:t>A transformation changes the action by a boundary term. Declaring strict invariance without boundary hypotheses produces a false theorem.</w:t>
            </w:r>
          </w:p>
        </w:tc>
      </w:tr>
    </w:tbl>
    <w:tbl>
      <w:tblPr>
        <w:tblStyle w:val="TableGrid"/>
        <w:tblW w:type="auto" w:w="0"/>
        <w:jc w:val="center"/>
        <w:tblLook w:firstColumn="1" w:firstRow="1" w:lastColumn="0" w:lastRow="0" w:noHBand="0" w:noVBand="1" w:val="04A0"/>
      </w:tblPr>
      <w:tblGrid>
        <w:gridCol w:w="9865"/>
      </w:tblGrid>
      <w:tr>
        <w:trPr>
          <w:trHeight w:hRule="atLeast"/>
        </w:trPr>
        <w:tc>
          <w:tcPr>
            <w:tcW w:type="dxa" w:w="9865"/>
            <w:shd w:fill="FBEDED" w:val="clear"/>
            <w:tcMar>
              <w:top w:w="90" w:type="dxa"/>
              <w:start w:w="100" w:type="dxa"/>
              <w:bottom w:w="90" w:type="dxa"/>
              <w:end w:w="100" w:type="dxa"/>
            </w:tcMar>
            <w:vAlign w:val="center"/>
          </w:tcPr>
          <w:p>
            <w:pPr>
              <w:widowControl/>
              <w:spacing w:line="252" w:lineRule="auto"/>
            </w:pPr>
            <w:r>
              <w:rPr>
                <w:b/>
                <w:color w:val="9B2D30"/>
                <w:sz w:val="18"/>
              </w:rPr>
              <w:t xml:space="preserve">CM-058 · amplitude mismatch. </w:t>
            </w:r>
            <w:r>
              <w:rPr>
                <w:sz w:val="18"/>
              </w:rPr>
              <w:t>A state sub-amplitude is selected although its event amplitude lies outside R_amp; the generated C@C is inadmissible.</w:t>
            </w:r>
          </w:p>
        </w:tc>
      </w:tr>
    </w:tbl>
    <w:tbl>
      <w:tblPr>
        <w:tblStyle w:val="TableGrid"/>
        <w:tblW w:type="auto" w:w="0"/>
        <w:jc w:val="center"/>
        <w:tblLook w:firstColumn="1" w:firstRow="1" w:lastColumn="0" w:lastRow="0" w:noHBand="0" w:noVBand="1" w:val="04A0"/>
      </w:tblPr>
      <w:tblGrid>
        <w:gridCol w:w="9865"/>
      </w:tblGrid>
      <w:tr>
        <w:trPr>
          <w:trHeight w:hRule="atLeast"/>
        </w:trPr>
        <w:tc>
          <w:tcPr>
            <w:tcW w:type="dxa" w:w="9865"/>
            <w:shd w:fill="FBEDED" w:val="clear"/>
            <w:tcMar>
              <w:top w:w="90" w:type="dxa"/>
              <w:start w:w="100" w:type="dxa"/>
              <w:bottom w:w="90" w:type="dxa"/>
              <w:end w:w="100" w:type="dxa"/>
            </w:tcMar>
            <w:vAlign w:val="center"/>
          </w:tcPr>
          <w:p>
            <w:pPr>
              <w:widowControl/>
              <w:spacing w:line="252" w:lineRule="auto"/>
            </w:pPr>
            <w:r>
              <w:rPr>
                <w:b/>
                <w:color w:val="9B2D30"/>
                <w:sz w:val="18"/>
              </w:rPr>
              <w:t xml:space="preserve">CM-059 · degenerate final stage. </w:t>
            </w:r>
            <w:r>
              <w:rPr>
                <w:sz w:val="18"/>
              </w:rPr>
              <w:t>The reduced Hessian has a non-gauge null direction, so the final mechanical closure is not rigid.</w:t>
            </w:r>
          </w:p>
        </w:tc>
      </w:tr>
    </w:tbl>
    <w:tbl>
      <w:tblPr>
        <w:tblStyle w:val="TableGrid"/>
        <w:tblW w:type="auto" w:w="0"/>
        <w:jc w:val="center"/>
        <w:tblLook w:firstColumn="1" w:firstRow="1" w:lastColumn="0" w:lastRow="0" w:noHBand="0" w:noVBand="1" w:val="04A0"/>
      </w:tblPr>
      <w:tblGrid>
        <w:gridCol w:w="9865"/>
      </w:tblGrid>
      <w:tr>
        <w:trPr>
          <w:trHeight w:hRule="atLeast"/>
        </w:trPr>
        <w:tc>
          <w:tcPr>
            <w:tcW w:type="dxa" w:w="9865"/>
            <w:shd w:fill="FBEDED" w:val="clear"/>
            <w:tcMar>
              <w:top w:w="90" w:type="dxa"/>
              <w:start w:w="100" w:type="dxa"/>
              <w:bottom w:w="90" w:type="dxa"/>
              <w:end w:w="100" w:type="dxa"/>
            </w:tcMar>
            <w:vAlign w:val="center"/>
          </w:tcPr>
          <w:p>
            <w:pPr>
              <w:widowControl/>
              <w:spacing w:line="252" w:lineRule="auto"/>
            </w:pPr>
            <w:r>
              <w:rPr>
                <w:b/>
                <w:color w:val="9B2D30"/>
                <w:sz w:val="18"/>
              </w:rPr>
              <w:t xml:space="preserve">CM-060 · many inequivalent final orbits. </w:t>
            </w:r>
            <w:r>
              <w:rPr>
                <w:sz w:val="18"/>
              </w:rPr>
              <w:t>Several inequivalent admissible states remain after quotienting by symmetry; uniqueness is not established.</w:t>
            </w:r>
          </w:p>
        </w:tc>
      </w:tr>
    </w:tbl>
    <w:tbl>
      <w:tblPr>
        <w:tblStyle w:val="TableGrid"/>
        <w:tblW w:type="auto" w:w="0"/>
        <w:jc w:val="center"/>
        <w:tblLook w:firstColumn="1" w:firstRow="1" w:lastColumn="0" w:lastRow="0" w:noHBand="0" w:noVBand="1" w:val="04A0"/>
      </w:tblPr>
      <w:tblGrid>
        <w:gridCol w:w="9865"/>
      </w:tblGrid>
      <w:tr>
        <w:trPr>
          <w:trHeight w:hRule="atLeast"/>
        </w:trPr>
        <w:tc>
          <w:tcPr>
            <w:tcW w:type="dxa" w:w="9865"/>
            <w:shd w:fill="FBEDED" w:val="clear"/>
            <w:tcMar>
              <w:top w:w="90" w:type="dxa"/>
              <w:start w:w="100" w:type="dxa"/>
              <w:bottom w:w="90" w:type="dxa"/>
              <w:end w:w="100" w:type="dxa"/>
            </w:tcMar>
            <w:vAlign w:val="center"/>
          </w:tcPr>
          <w:p>
            <w:pPr>
              <w:widowControl/>
              <w:spacing w:line="252" w:lineRule="auto"/>
            </w:pPr>
            <w:r>
              <w:rPr>
                <w:b/>
                <w:color w:val="9B2D30"/>
                <w:sz w:val="18"/>
              </w:rPr>
              <w:t xml:space="preserve">CM-061 · reverse Hilbert reconstruction. </w:t>
            </w:r>
            <w:r>
              <w:rPr>
                <w:sz w:val="18"/>
              </w:rPr>
              <w:t>A generally invariant stationary 4D action contains no data from which the full hierarchy of R@R reductions can be recovered.</w:t>
            </w:r>
          </w:p>
        </w:tc>
      </w:tr>
    </w:tbl>
    <w:tbl>
      <w:tblPr>
        <w:tblStyle w:val="TableGrid"/>
        <w:tblW w:type="auto" w:w="0"/>
        <w:jc w:val="center"/>
        <w:tblLook w:firstColumn="1" w:firstRow="1" w:lastColumn="0" w:lastRow="0" w:noHBand="0" w:noVBand="1" w:val="04A0"/>
      </w:tblPr>
      <w:tblGrid>
        <w:gridCol w:w="9865"/>
      </w:tblGrid>
      <w:tr>
        <w:trPr>
          <w:trHeight w:hRule="atLeast"/>
        </w:trPr>
        <w:tc>
          <w:tcPr>
            <w:tcW w:type="dxa" w:w="9865"/>
            <w:shd w:fill="FBEDED" w:val="clear"/>
            <w:tcMar>
              <w:top w:w="90" w:type="dxa"/>
              <w:start w:w="100" w:type="dxa"/>
              <w:bottom w:w="90" w:type="dxa"/>
              <w:end w:w="100" w:type="dxa"/>
            </w:tcMar>
            <w:vAlign w:val="center"/>
          </w:tcPr>
          <w:p>
            <w:pPr>
              <w:widowControl/>
              <w:spacing w:line="252" w:lineRule="auto"/>
            </w:pPr>
            <w:r>
              <w:rPr>
                <w:b/>
                <w:color w:val="9B2D30"/>
                <w:sz w:val="18"/>
              </w:rPr>
              <w:t xml:space="preserve">CM-062 · world function without D/Dom. </w:t>
            </w:r>
            <w:r>
              <w:rPr>
                <w:sz w:val="18"/>
              </w:rPr>
              <w:t>A formally elegant action lacks an admissible domain or sufficient foundation; KLT audit must return a blocker.</w:t>
            </w:r>
          </w:p>
        </w:tc>
      </w:tr>
    </w:tbl>
    <w:tbl>
      <w:tblPr>
        <w:tblStyle w:val="TableGrid"/>
        <w:tblW w:type="auto" w:w="0"/>
        <w:jc w:val="center"/>
        <w:tblLook w:firstColumn="1" w:firstRow="1" w:lastColumn="0" w:lastRow="0" w:noHBand="0" w:noVBand="1" w:val="04A0"/>
      </w:tblPr>
      <w:tblGrid>
        <w:gridCol w:w="4932"/>
        <w:gridCol w:w="4932"/>
      </w:tblGrid>
      <w:tr>
        <w:trPr>
          <w:trHeight w:hRule="atLeast"/>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T4-RA7=T4-RA6⊞KLT-A1/A2⊞HilbertReduction⊞MachineMemory⊞DomainAdapters</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T4-F200</w:t>
              <w:br/>
              <w:t>ROLLBACK DEF</w:t>
            </w:r>
          </w:p>
        </w:tc>
      </w:tr>
    </w:tbl>
    <w:tbl>
      <w:tblPr>
        <w:tblStyle w:val="TableGrid"/>
        <w:tblW w:type="auto" w:w="0"/>
        <w:jc w:val="center"/>
        <w:tblLook w:firstColumn="1" w:firstRow="1" w:lastColumn="0" w:lastRow="0" w:noHBand="0" w:noVBand="1" w:val="04A0"/>
      </w:tblPr>
      <w:tblGrid>
        <w:gridCol w:w="9865"/>
      </w:tblGrid>
      <w:tr>
        <w:trPr>
          <w:trHeight w:hRule="atLeast"/>
        </w:trPr>
        <w:tc>
          <w:tcPr>
            <w:tcW w:type="dxa" w:w="9865"/>
            <w:shd w:fill="FBEDED" w:val="clear"/>
            <w:tcMar>
              <w:top w:w="90" w:type="dxa"/>
              <w:start w:w="100" w:type="dxa"/>
              <w:bottom w:w="90" w:type="dxa"/>
              <w:end w:w="100" w:type="dxa"/>
            </w:tcMar>
            <w:vAlign w:val="center"/>
          </w:tcPr>
          <w:p>
            <w:pPr>
              <w:widowControl/>
              <w:spacing w:line="254" w:lineRule="auto"/>
            </w:pPr>
            <w:r>
              <w:rPr>
                <w:b/>
                <w:color w:val="17345F"/>
                <w:sz w:val="18"/>
              </w:rPr>
              <w:t xml:space="preserve">ROLLBACK RULE T4-RA7. </w:t>
            </w:r>
            <w:r>
              <w:rPr>
                <w:sz w:val="18"/>
              </w:rPr>
              <w:t>Откат обязателен, если последующая редакция: называет произвольной симметрией отображение вне допустимой группоиды; забывает boundary term; создаёт state amplitude без event amplitude; объявляет вырожденный или многозначный финал жёстким; выдаёт Hilbert I-II за доказательство всей KLT-иерархии; переносит теорему Нётер в неассоциативную группоиду без моста; отождествляет аксиоматическую модель с установленным физическим законом.</w:t>
            </w:r>
          </w:p>
        </w:tc>
      </w:tr>
    </w:tbl>
    <w:p>
      <w:bookmarkStart w:id="105" w:name="source_lock"/>
      <w:pPr>
        <w:pStyle w:val="Heading1"/>
        <w:keepNext/>
        <w:pageBreakBefore w:val="0"/>
        <w:widowControl/>
        <w:spacing w:before="200" w:after="100"/>
      </w:pPr>
      <w:r>
        <w:rPr>
          <w:rFonts w:ascii="DejaVu Sans" w:hAnsi="DejaVu Sans" w:eastAsia="DejaVu Sans"/>
          <w:b/>
          <w:color w:val="173A61"/>
          <w:sz w:val="35"/>
        </w:rPr>
        <w:t>0. Источниковый и нотационный замок</w:t>
      </w:r>
      <w:bookmarkEnd w:id="105"/>
    </w:p>
    <w:p>
      <w:pPr>
        <w:keepLines w:val="0"/>
        <w:widowControl/>
        <w:spacing w:after="80" w:before="0" w:line="269" w:lineRule="auto"/>
        <w:ind w:firstLine="425"/>
        <w:jc w:val="both"/>
      </w:pPr>
      <w:r>
        <w:t>T4-CORE-v0.2 сохраняет преемственность v0.1 и не редактирует замороженные Тома I-II. Основной внутренний источник Human_R — монографии 5.0/5.1 и прежний Том IV об антропологии разворота. Строгая дисциплина Dom/Cod, partial operator, blocker-safe композиции и ABSTAIN импортируется из Томов I-II. Формулы прошлого корпуса сохраняются как исторические записи, но получают в настоящем выпуске новые типовые контракты. T4-ACTION-v0.3 дополнительно импортирует авторский документ «записки.docx» как T4-SRC-009. Тезисы этого документа не повышаются автоматически до THM или EMP-OBS; они проходят типизацию, контрмодели и source audit.</w:t>
      </w:r>
    </w:p>
    <w:tbl>
      <w:tblPr>
        <w:tblStyle w:val="TableGrid"/>
        <w:tblW w:type="auto" w:w="0"/>
        <w:jc w:val="center"/>
        <w:tblLayout w:type="fixed"/>
        <w:tblLook w:firstColumn="1" w:firstRow="1" w:lastColumn="0" w:lastRow="0" w:noHBand="0" w:noVBand="1" w:val="04A0"/>
      </w:tblPr>
      <w:tblGrid>
        <w:gridCol w:w="1304"/>
        <w:gridCol w:w="2494"/>
        <w:gridCol w:w="1701"/>
        <w:gridCol w:w="4139"/>
      </w:tblGrid>
      <w:tr>
        <w:trPr>
          <w:trHeight w:hRule="atLeast"/>
          <w:tblHeader w:val="true"/>
          <w:cantSplit/>
        </w:trPr>
        <w:tc>
          <w:tcPr>
            <w:tcW w:type="dxa" w:w="1512"/>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5"/>
              </w:rPr>
              <w:t>ID</w:t>
            </w:r>
          </w:p>
        </w:tc>
        <w:tc>
          <w:tcPr>
            <w:tcW w:type="dxa" w:w="3240"/>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5"/>
              </w:rPr>
              <w:t>Источник</w:t>
            </w:r>
          </w:p>
        </w:tc>
        <w:tc>
          <w:tcPr>
            <w:tcW w:type="dxa" w:w="1872"/>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5"/>
              </w:rPr>
              <w:t>Статус</w:t>
            </w:r>
          </w:p>
        </w:tc>
        <w:tc>
          <w:tcPr>
            <w:tcW w:type="dxa" w:w="2952"/>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5"/>
              </w:rPr>
              <w:t>Импортируемая роль</w:t>
            </w:r>
          </w:p>
        </w:tc>
      </w:tr>
      <w:tr>
        <w:trPr>
          <w:cantSplit/>
          <w:trHeight w:hRule="atLeast"/>
        </w:trPr>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T4-SRC-001</w:t>
            </w:r>
          </w:p>
        </w:tc>
        <w:tc>
          <w:tcPr>
            <w:tcW w:type="dxa" w:w="3240"/>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tom1_v197_ru</w:t>
            </w:r>
          </w:p>
        </w:tc>
        <w:tc>
          <w:tcPr>
            <w:tcW w:type="dxa" w:w="187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CANONICAL</w:t>
            </w:r>
          </w:p>
        </w:tc>
        <w:tc>
          <w:tcPr>
            <w:tcW w:type="dxa" w:w="295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C@C, Reper, D/Dom, λ, status firewall</w:t>
            </w:r>
          </w:p>
        </w:tc>
      </w:tr>
      <w:tr>
        <w:trPr>
          <w:cantSplit/>
          <w:trHeight w:hRule="atLeast"/>
        </w:trPr>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T4-SRC-002</w:t>
            </w:r>
          </w:p>
        </w:tc>
        <w:tc>
          <w:tcPr>
            <w:tcW w:type="dxa" w:w="3240"/>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tom2_v1_0</w:t>
            </w:r>
          </w:p>
        </w:tc>
        <w:tc>
          <w:tcPr>
            <w:tcW w:type="dxa" w:w="187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CANONICAL</w:t>
            </w:r>
          </w:p>
        </w:tc>
        <w:tc>
          <w:tcPr>
            <w:tcW w:type="dxa" w:w="295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partial operator, obstruction, weakest-link, ABSTAIN</w:t>
            </w:r>
          </w:p>
        </w:tc>
      </w:tr>
      <w:tr>
        <w:trPr>
          <w:cantSplit/>
          <w:trHeight w:hRule="atLeast"/>
        </w:trPr>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T4-SRC-003</w:t>
            </w:r>
          </w:p>
        </w:tc>
        <w:tc>
          <w:tcPr>
            <w:tcW w:type="dxa" w:w="3240"/>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действующий Том III</w:t>
            </w:r>
          </w:p>
        </w:tc>
        <w:tc>
          <w:tcPr>
            <w:tcW w:type="dxa" w:w="187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STATUS-PRESERVING</w:t>
            </w:r>
          </w:p>
        </w:tc>
        <w:tc>
          <w:tcPr>
            <w:tcW w:type="dxa" w:w="295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V*P, Δ/Ξ/Υ, причинные и вычислительные границы</w:t>
            </w:r>
          </w:p>
        </w:tc>
      </w:tr>
      <w:tr>
        <w:trPr>
          <w:cantSplit/>
          <w:trHeight w:hRule="atLeast"/>
        </w:trPr>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T4-SRC-004</w:t>
            </w:r>
          </w:p>
        </w:tc>
        <w:tc>
          <w:tcPr>
            <w:tcW w:type="dxa" w:w="3240"/>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monograph 5.0/5.1</w:t>
            </w:r>
          </w:p>
        </w:tc>
        <w:tc>
          <w:tcPr>
            <w:tcW w:type="dxa" w:w="187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LEGACY-ACTIVE</w:t>
            </w:r>
          </w:p>
        </w:tc>
        <w:tc>
          <w:tcPr>
            <w:tcW w:type="dxa" w:w="295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Human_R, антропология разворота, ретро-Reper</w:t>
            </w:r>
          </w:p>
        </w:tc>
      </w:tr>
      <w:tr>
        <w:trPr>
          <w:cantSplit/>
          <w:trHeight w:hRule="atLeast"/>
        </w:trPr>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T4-SRC-005</w:t>
            </w:r>
          </w:p>
        </w:tc>
        <w:tc>
          <w:tcPr>
            <w:tcW w:type="dxa" w:w="3240"/>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RU TOM IV v4.0/v4.1</w:t>
            </w:r>
          </w:p>
        </w:tc>
        <w:tc>
          <w:tcPr>
            <w:tcW w:type="dxa" w:w="187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LEGACY-ACTIVE</w:t>
            </w:r>
          </w:p>
        </w:tc>
        <w:tc>
          <w:tcPr>
            <w:tcW w:type="dxa" w:w="295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исторические формы восприятия, документ, witness, foreign-D</w:t>
            </w:r>
          </w:p>
        </w:tc>
      </w:tr>
      <w:tr>
        <w:trPr>
          <w:cantSplit/>
          <w:trHeight w:hRule="atLeast"/>
        </w:trPr>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T4-SRC-006</w:t>
            </w:r>
          </w:p>
        </w:tc>
        <w:tc>
          <w:tcPr>
            <w:tcW w:type="dxa" w:w="3240"/>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FINAL MONOGRAPH SKELETON v7.0</w:t>
            </w:r>
          </w:p>
        </w:tc>
        <w:tc>
          <w:tcPr>
            <w:tcW w:type="dxa" w:w="187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EDITORIAL</w:t>
            </w:r>
          </w:p>
        </w:tc>
        <w:tc>
          <w:tcPr>
            <w:tcW w:type="dxa" w:w="295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томный план и переход IV→V</w:t>
            </w:r>
          </w:p>
        </w:tc>
      </w:tr>
      <w:tr>
        <w:trPr>
          <w:cantSplit/>
          <w:trHeight w:hRule="atLeast"/>
        </w:trPr>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T4-SRC-007</w:t>
            </w:r>
          </w:p>
        </w:tc>
        <w:tc>
          <w:tcPr>
            <w:tcW w:type="dxa" w:w="3240"/>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PILOT-01</w:t>
            </w:r>
          </w:p>
        </w:tc>
        <w:tc>
          <w:tcPr>
            <w:tcW w:type="dxa" w:w="187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METHOD</w:t>
            </w:r>
          </w:p>
        </w:tc>
        <w:tc>
          <w:tcPr>
            <w:tcW w:type="dxa" w:w="295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formula-chain audit, Dom/D gate, gap status</w:t>
            </w:r>
          </w:p>
        </w:tc>
      </w:tr>
      <w:tr>
        <w:trPr>
          <w:cantSplit/>
          <w:trHeight w:hRule="atLeast"/>
        </w:trPr>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T4-SRC-008</w:t>
            </w:r>
          </w:p>
        </w:tc>
        <w:tc>
          <w:tcPr>
            <w:tcW w:type="dxa" w:w="3240"/>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ФОС / KPF-RPHD</w:t>
            </w:r>
          </w:p>
        </w:tc>
        <w:tc>
          <w:tcPr>
            <w:tcW w:type="dxa" w:w="187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BRIDGE</w:t>
            </w:r>
          </w:p>
        </w:tc>
        <w:tc>
          <w:tcPr>
            <w:tcW w:type="dxa" w:w="295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операторная и причинная терминология без повышения физического статуса</w:t>
            </w:r>
          </w:p>
        </w:tc>
      </w:tr>
      <w:tr>
        <w:trPr>
          <w:cantSplit/>
          <w:trHeight w:hRule="atLeast"/>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T4-SRC-009</w:t>
            </w:r>
          </w:p>
        </w:tc>
        <w:tc>
          <w:tcPr>
            <w:tcW w:type="dxa" w:w="324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записки.docx · 17 июля 2026</w:t>
            </w:r>
          </w:p>
        </w:tc>
        <w:tc>
          <w:tcPr>
            <w:tcW w:type="dxa" w:w="187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AUTHORIAL PRIMARY</w:t>
            </w:r>
          </w:p>
        </w:tc>
        <w:tc>
          <w:tcPr>
            <w:tcW w:type="dxa" w:w="29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Свобода воли, «дырки», РПЛД, след ножа на воде, длинные причинные цепи, шесть пунктов Разворота</w:t>
            </w:r>
          </w:p>
        </w:tc>
      </w:tr>
      <w:tr>
        <w:trPr>
          <w:cantSplit/>
          <w:trHeight w:hRule="atLeast"/>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T4-SRC-010</w:t>
            </w:r>
          </w:p>
        </w:tc>
        <w:tc>
          <w:tcPr>
            <w:tcW w:type="dxa" w:w="324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Арнольд В. И. Теория катастроф. М.: Наука, 1990. С. 98-102</w:t>
            </w:r>
          </w:p>
        </w:tc>
        <w:tc>
          <w:tcPr>
            <w:tcW w:type="dxa" w:w="187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BIB-LOCATED</w:t>
            </w:r>
          </w:p>
        </w:tc>
        <w:tc>
          <w:tcPr>
            <w:tcW w:type="dxa" w:w="29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Шесть качественных выводов теории перестроек; первичный page-scan pending</w:t>
            </w:r>
          </w:p>
        </w:tc>
      </w:tr>
      <w:tr>
        <w:trPr>
          <w:cantSplit/>
          <w:trHeight w:hRule="atLeast"/>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T4-SRC-011</w:t>
            </w:r>
          </w:p>
        </w:tc>
        <w:tc>
          <w:tcPr>
            <w:tcW w:type="dxa" w:w="324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Арнольд 1972/1983; SCM / control / viability literature</w:t>
            </w:r>
          </w:p>
        </w:tc>
        <w:tc>
          <w:tcPr>
            <w:tcW w:type="dxa" w:w="187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PRIOR ART</w:t>
            </w:r>
          </w:p>
        </w:tc>
        <w:tc>
          <w:tcPr>
            <w:tcW w:type="dxa" w:w="29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Бифуркации, катастрофы, интервенции, поддержка траекторий и bracket-generated steering</w:t>
            </w:r>
          </w:p>
        </w:tc>
      </w:tr>
      <w:tr>
        <w:trPr>
          <w:cantSplit/>
          <w:trHeight w:hRule="atLeast"/>
        </w:trPr>
        <w:tc>
          <w:tcPr>
            <w:tcW w:type="dxa" w:w="130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T4-SRC-013A</w:t>
            </w:r>
          </w:p>
        </w:tc>
        <w:tc>
          <w:tcPr>
            <w:tcW w:type="dxa" w:w="249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заметка1.docx · «О величайшей теореме комплексного анализа»</w:t>
            </w:r>
          </w:p>
        </w:tc>
        <w:tc>
          <w:tcPr>
            <w:tcW w:type="dxa" w:w="170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EXPOSITORY / ATTRIBUTED</w:t>
            </w:r>
          </w:p>
        </w:tc>
        <w:tc>
          <w:tcPr>
            <w:tcW w:type="dxa" w:w="413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Текст приписан внутри файла Игорю Воронцову; библиографическая карточка требует внешней верификации.</w:t>
            </w:r>
          </w:p>
        </w:tc>
      </w:tr>
      <w:tr>
        <w:trPr>
          <w:cantSplit/>
          <w:trHeight w:hRule="atLeast"/>
        </w:trPr>
        <w:tc>
          <w:tcPr>
            <w:tcW w:type="dxa" w:w="130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T4-SRC-013B</w:t>
            </w:r>
          </w:p>
        </w:tc>
        <w:tc>
          <w:tcPr>
            <w:tcW w:type="dxa" w:w="249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заметка1.docx · авторское продолжение И. Б. Курпишева</w:t>
            </w:r>
          </w:p>
        </w:tc>
        <w:tc>
          <w:tcPr>
            <w:tcW w:type="dxa" w:w="170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AUTHORIAL PRIMARY</w:t>
            </w:r>
          </w:p>
        </w:tc>
        <w:tc>
          <w:tcPr>
            <w:tcW w:type="dxa" w:w="413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Многообразие Курпишева, PIT, RPLD1/RPLD2/RPLD, причинная матрица, сила и операторы.</w:t>
            </w:r>
          </w:p>
        </w:tc>
      </w:tr>
      <w:tr>
        <w:trPr>
          <w:cantSplit/>
          <w:trHeight w:hRule="atLeast"/>
        </w:trPr>
        <w:tc>
          <w:tcPr>
            <w:tcW w:type="dxa" w:w="130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T4-ILL-013A</w:t>
            </w:r>
          </w:p>
        </w:tc>
        <w:tc>
          <w:tcPr>
            <w:tcW w:type="dxa" w:w="249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GSeFMO0YnEo.jpg · File Library</w:t>
            </w:r>
          </w:p>
        </w:tc>
        <w:tc>
          <w:tcPr>
            <w:tcW w:type="dxa" w:w="170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LIBRARY ILLUSTRATION</w:t>
            </w:r>
          </w:p>
        </w:tc>
        <w:tc>
          <w:tcPr>
            <w:tcW w:type="dxa" w:w="413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English Mittag-Leffler poster; contour argument, formula, portrait.</w:t>
            </w:r>
          </w:p>
        </w:tc>
      </w:tr>
      <w:tr>
        <w:trPr>
          <w:cantSplit/>
          <w:trHeight w:hRule="atLeast"/>
        </w:trPr>
        <w:tc>
          <w:tcPr>
            <w:tcW w:type="dxa" w:w="130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T4-ILL-013B</w:t>
            </w:r>
          </w:p>
        </w:tc>
        <w:tc>
          <w:tcPr>
            <w:tcW w:type="dxa" w:w="249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p6wMsBDQNg0.jpg · File Library</w:t>
            </w:r>
          </w:p>
        </w:tc>
        <w:tc>
          <w:tcPr>
            <w:tcW w:type="dxa" w:w="170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LIBRARY ILLUSTRATION</w:t>
            </w:r>
          </w:p>
        </w:tc>
        <w:tc>
          <w:tcPr>
            <w:tcW w:type="dxa" w:w="413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Russian teaching infographic; poles, residues, proof diagram.</w:t>
            </w:r>
          </w:p>
        </w:tc>
      </w:tr>
      <w:tr>
        <w:trPr>
          <w:cantSplit/>
          <w:trHeight w:hRule="atLeast"/>
        </w:trPr>
        <w:tc>
          <w:tcPr>
            <w:tcW w:type="dxa" w:w="130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T4-ILL-013C</w:t>
            </w:r>
          </w:p>
        </w:tc>
        <w:tc>
          <w:tcPr>
            <w:tcW w:type="dxa" w:w="249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LXnu8Z...jpg · File Library</w:t>
            </w:r>
          </w:p>
        </w:tc>
        <w:tc>
          <w:tcPr>
            <w:tcW w:type="dxa" w:w="170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LIBRARY ILLUSTRATION</w:t>
            </w:r>
          </w:p>
        </w:tc>
        <w:tc>
          <w:tcPr>
            <w:tcW w:type="dxa" w:w="413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Russian poster variant; complex-plane axes and historical panel.</w:t>
            </w:r>
          </w:p>
        </w:tc>
      </w:tr>
      <w:tr>
        <w:trPr>
          <w:cantSplit/>
          <w:trHeight w:hRule="atLeast"/>
        </w:trPr>
        <w:tc>
          <w:tcPr>
            <w:tcW w:type="dxa" w:w="130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T4-SRC-014</w:t>
            </w:r>
          </w:p>
        </w:tc>
        <w:tc>
          <w:tcPr>
            <w:tcW w:type="dxa" w:w="249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Mittag-Leffler, Acta Mathematica 4 (1884), 1-79</w:t>
            </w:r>
          </w:p>
        </w:tc>
        <w:tc>
          <w:tcPr>
            <w:tcW w:type="dxa" w:w="170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CLASSICAL PRIMARY</w:t>
            </w:r>
          </w:p>
        </w:tc>
        <w:tc>
          <w:tcPr>
            <w:tcW w:type="dxa" w:w="413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Original historical source family for the representation theorem.</w:t>
            </w:r>
          </w:p>
        </w:tc>
      </w:tr>
      <w:tr>
        <w:trPr>
          <w:cantSplit/>
          <w:trHeight w:hRule="atLeast"/>
        </w:trPr>
        <w:tc>
          <w:tcPr>
            <w:tcW w:type="dxa" w:w="130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T4-SRC-015</w:t>
            </w:r>
          </w:p>
        </w:tc>
        <w:tc>
          <w:tcPr>
            <w:tcW w:type="dxa" w:w="249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Cousin I / sheaf cohomology / Stein theory</w:t>
            </w:r>
          </w:p>
        </w:tc>
        <w:tc>
          <w:tcPr>
            <w:tcW w:type="dxa" w:w="170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CLASSICAL PRIOR ART</w:t>
            </w:r>
          </w:p>
        </w:tc>
        <w:tc>
          <w:tcPr>
            <w:tcW w:type="dxa" w:w="413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Obstruction and vanishing framework; exact source list in bibliography.</w:t>
            </w:r>
          </w:p>
        </w:tc>
      </w:tr>
      <w:tr>
        <w:trPr>
          <w:trHeight w:hRule="atLeast"/>
        </w:trPr>
        <w:tc>
          <w:tcPr>
            <w:tcW w:type="dxa" w:w="130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T4-SRC-016</w:t>
            </w:r>
          </w:p>
        </w:tc>
        <w:tc>
          <w:tcPr>
            <w:tcW w:type="dxa" w:w="249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Авторская заметка текущей сессии; legacy: «записки.docx»</w:t>
            </w:r>
          </w:p>
        </w:tc>
        <w:tc>
          <w:tcPr>
            <w:tcW w:type="dxa" w:w="170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AUTHORIAL PRIMARY</w:t>
            </w:r>
          </w:p>
        </w:tc>
        <w:tc>
          <w:tcPr>
            <w:tcW w:type="dxa" w:w="413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R−1, области духов-причин и действий-стихий, Перья, R−02/R−03, Енох, Моисей, Кант, FOS.</w:t>
            </w:r>
          </w:p>
        </w:tc>
      </w:tr>
      <w:tr>
        <w:trPr>
          <w:trHeight w:hRule="atLeast"/>
        </w:trPr>
        <w:tc>
          <w:tcPr>
            <w:tcW w:type="dxa" w:w="130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T4-SRC-017</w:t>
            </w:r>
          </w:p>
        </w:tc>
        <w:tc>
          <w:tcPr>
            <w:tcW w:type="dxa" w:w="249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Леви-Брюль Л. «Первобытное мышление» / «Сверхъестественное в первобытном мышлении»</w:t>
            </w:r>
          </w:p>
        </w:tc>
        <w:tc>
          <w:tcPr>
            <w:tcW w:type="dxa" w:w="170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CLASSICAL ANTHROPOLOGY</w:t>
            </w:r>
          </w:p>
        </w:tc>
        <w:tc>
          <w:tcPr>
            <w:tcW w:type="dxa" w:w="413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Пра-логическое мышление, закон сопричастности, коллективные представления; используется критически.</w:t>
            </w:r>
          </w:p>
        </w:tc>
      </w:tr>
      <w:tr>
        <w:trPr>
          <w:trHeight w:hRule="atLeast"/>
        </w:trPr>
        <w:tc>
          <w:tcPr>
            <w:tcW w:type="dxa" w:w="130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T4-SRC-018</w:t>
            </w:r>
          </w:p>
        </w:tc>
        <w:tc>
          <w:tcPr>
            <w:tcW w:type="dxa" w:w="249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Lévy-Bruhl L. Les Carnets (1949); Notebooks on Primitive Mentality (1975)</w:t>
            </w:r>
          </w:p>
        </w:tc>
        <w:tc>
          <w:tcPr>
            <w:tcW w:type="dxa" w:w="170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LATE REVISION</w:t>
            </w:r>
          </w:p>
        </w:tc>
        <w:tc>
          <w:tcPr>
            <w:tcW w:type="dxa" w:w="413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Отказ от тезиса об иной логической структуре; различие переносится к ориентациям и интересам.</w:t>
            </w:r>
          </w:p>
        </w:tc>
      </w:tr>
      <w:tr>
        <w:trPr>
          <w:trHeight w:hRule="atLeast"/>
        </w:trPr>
        <w:tc>
          <w:tcPr>
            <w:tcW w:type="dxa" w:w="130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T4-SRC-019</w:t>
            </w:r>
          </w:p>
        </w:tc>
        <w:tc>
          <w:tcPr>
            <w:tcW w:type="dxa" w:w="249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Dawes G. W. Participation and Causality: Lévy-Bruhl Revisited. DOI 10.1177/0008429814526144</w:t>
            </w:r>
          </w:p>
        </w:tc>
        <w:tc>
          <w:tcPr>
            <w:tcW w:type="dxa" w:w="170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SCHOLARLY PRIOR ART</w:t>
            </w:r>
          </w:p>
        </w:tc>
        <w:tc>
          <w:tcPr>
            <w:tcW w:type="dxa" w:w="413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Участническая ориентация может включать причинные утверждения; полезнее различать мифическую и экспериментальную установки.</w:t>
            </w:r>
          </w:p>
        </w:tc>
      </w:tr>
      <w:tr>
        <w:trPr>
          <w:trHeight w:hRule="atLeast"/>
        </w:trPr>
        <w:tc>
          <w:tcPr>
            <w:tcW w:type="dxa" w:w="130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T4-SRC-020</w:t>
            </w:r>
          </w:p>
        </w:tc>
        <w:tc>
          <w:tcPr>
            <w:tcW w:type="dxa" w:w="249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Тайлор Э. Б. Primitive Culture (1871)</w:t>
            </w:r>
          </w:p>
        </w:tc>
        <w:tc>
          <w:tcPr>
            <w:tcW w:type="dxa" w:w="170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CLASSICAL ANTHROPOLOGY</w:t>
            </w:r>
          </w:p>
        </w:tc>
        <w:tc>
          <w:tcPr>
            <w:tcW w:type="dxa" w:w="413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Анимизм и персонализированные причины; не принимается как исчерпывающая модель культур.</w:t>
            </w:r>
          </w:p>
        </w:tc>
      </w:tr>
      <w:tr>
        <w:trPr>
          <w:trHeight w:hRule="atLeast"/>
        </w:trPr>
        <w:tc>
          <w:tcPr>
            <w:tcW w:type="dxa" w:w="130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T4-SRC-021</w:t>
            </w:r>
          </w:p>
        </w:tc>
        <w:tc>
          <w:tcPr>
            <w:tcW w:type="dxa" w:w="249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Кант И. «Критика чистого разума», A804/B832; «Логика»</w:t>
            </w:r>
          </w:p>
        </w:tc>
        <w:tc>
          <w:tcPr>
            <w:tcW w:type="dxa" w:w="170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CLASSICAL PHILOSOPHY</w:t>
            </w:r>
          </w:p>
        </w:tc>
        <w:tc>
          <w:tcPr>
            <w:tcW w:type="dxa" w:w="413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Границы знания, практики и надежды; критический режим и вопрос о человеке.</w:t>
            </w:r>
          </w:p>
        </w:tc>
      </w:tr>
      <w:tr>
        <w:trPr>
          <w:trHeight w:hRule="atLeast"/>
        </w:trPr>
        <w:tc>
          <w:tcPr>
            <w:tcW w:type="dxa" w:w="130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T4-SRC-022</w:t>
            </w:r>
          </w:p>
        </w:tc>
        <w:tc>
          <w:tcPr>
            <w:tcW w:type="dxa" w:w="249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Genesis 5:24; Hebrews 11:5; 1 Enoch (R. H. Charles, 1917)</w:t>
            </w:r>
          </w:p>
        </w:tc>
        <w:tc>
          <w:tcPr>
            <w:tcW w:type="dxa" w:w="170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PRIMARY / PSEUDEPIGRAPHIC TEXTS</w:t>
            </w:r>
          </w:p>
        </w:tc>
        <w:tc>
          <w:tcPr>
            <w:tcW w:type="dxa" w:w="413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Текстовые основания образа Еноха; 1 Enoch — составной текст эпохи Второго Храма, а не исторический протокол.</w:t>
            </w:r>
          </w:p>
        </w:tc>
      </w:tr>
      <w:tr>
        <w:trPr>
          <w:trHeight w:hRule="atLeast"/>
        </w:trPr>
        <w:tc>
          <w:tcPr>
            <w:tcW w:type="dxa" w:w="130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T4-SRC-023</w:t>
            </w:r>
          </w:p>
        </w:tc>
        <w:tc>
          <w:tcPr>
            <w:tcW w:type="dxa" w:w="249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anthro_lines_en_v6_0.docx / a6en.pdf</w:t>
            </w:r>
          </w:p>
        </w:tc>
        <w:tc>
          <w:tcPr>
            <w:tcW w:type="dxa" w:w="170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LEGACY AUTHORIAL</w:t>
            </w:r>
          </w:p>
        </w:tc>
        <w:tc>
          <w:tcPr>
            <w:tcW w:type="dxa" w:w="413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Ранние формулы Feather, Demon=Gap_D и Enoch Fold; переработаны и доказательно очищены в v0.5.</w:t>
            </w:r>
          </w:p>
        </w:tc>
      </w:tr>
      <w:tr>
        <w:trPr>
          <w:trHeight w:hRule="atLeast"/>
        </w:trPr>
        <w:tc>
          <w:tcPr>
            <w:tcW w:type="dxa" w:w="1304"/>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T4-SRC-024</w:t>
            </w:r>
          </w:p>
        </w:tc>
        <w:tc>
          <w:tcPr>
            <w:tcW w:type="dxa" w:w="2494"/>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Авторская редакционная директива текущей сессии</w:t>
            </w:r>
          </w:p>
        </w:tc>
        <w:tc>
          <w:tcPr>
            <w:tcW w:type="dxa" w:w="170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AUTHORIAL PRIMARY</w:t>
            </w:r>
          </w:p>
        </w:tc>
        <w:tc>
          <w:tcPr>
            <w:tcW w:type="dxa" w:w="4139"/>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Философская подача должна быть усилена и стать отличительной особенностью Тома IV.</w:t>
            </w:r>
          </w:p>
        </w:tc>
      </w:tr>
      <w:tr>
        <w:trPr>
          <w:trHeight w:hRule="atLeast"/>
        </w:trPr>
        <w:tc>
          <w:tcPr>
            <w:tcW w:type="dxa" w:w="1304"/>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T4-SRC-025</w:t>
            </w:r>
          </w:p>
        </w:tc>
        <w:tc>
          <w:tcPr>
            <w:tcW w:type="dxa" w:w="2494"/>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Платон; Аристотель; Кант; Пирс; Пуанкаре; Адамар; Полани</w:t>
            </w:r>
          </w:p>
        </w:tc>
        <w:tc>
          <w:tcPr>
            <w:tcW w:type="dxa" w:w="170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PRIOR ART</w:t>
            </w:r>
          </w:p>
        </w:tc>
        <w:tc>
          <w:tcPr>
            <w:tcW w:type="dxa" w:w="4139"/>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Открытие, припоминание, доказательство, продуктивное воображение, абдукция, математическое изобретение и неявное знание.</w:t>
            </w:r>
          </w:p>
        </w:tc>
      </w:tr>
      <w:tr>
        <w:trPr>
          <w:trHeight w:hRule="atLeast"/>
        </w:trPr>
        <w:tc>
          <w:tcPr>
            <w:tcW w:type="dxa" w:w="1304"/>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T4-SRC-026</w:t>
            </w:r>
          </w:p>
        </w:tc>
        <w:tc>
          <w:tcPr>
            <w:tcW w:type="dxa" w:w="2494"/>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Гадамер; Рикёр; Библер; Кассирер</w:t>
            </w:r>
          </w:p>
        </w:tc>
        <w:tc>
          <w:tcPr>
            <w:tcW w:type="dxa" w:w="170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PRIOR ART</w:t>
            </w:r>
          </w:p>
        </w:tc>
        <w:tc>
          <w:tcPr>
            <w:tcW w:type="dxa" w:w="4139"/>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Горизонт понимания, конфликт интерпретаций, диалог логик и символические формы.</w:t>
            </w:r>
          </w:p>
        </w:tc>
      </w:tr>
      <w:tr>
        <w:trPr>
          <w:trHeight w:hRule="atLeast"/>
        </w:trPr>
        <w:tc>
          <w:tcPr>
            <w:tcW w:type="dxa" w:w="1304"/>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T4-SRC-027</w:t>
            </w:r>
          </w:p>
        </w:tc>
        <w:tc>
          <w:tcPr>
            <w:tcW w:type="dxa" w:w="2494"/>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Платон «Федр»; Гуссерль; Хальбвакс; Рикёр; Деррида; Стиглер</w:t>
            </w:r>
          </w:p>
        </w:tc>
        <w:tc>
          <w:tcPr>
            <w:tcW w:type="dxa" w:w="170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PRIOR ART</w:t>
            </w:r>
          </w:p>
        </w:tc>
        <w:tc>
          <w:tcPr>
            <w:tcW w:type="dxa" w:w="4139"/>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Письмо, идеальная объективность, коллективная память, архив, забвение и третичная ретенция.</w:t>
            </w:r>
          </w:p>
        </w:tc>
      </w:tr>
      <w:tr>
        <w:trPr>
          <w:trHeight w:hRule="atLeast"/>
        </w:trPr>
        <w:tc>
          <w:tcPr>
            <w:tcW w:type="dxa" w:w="136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T4-SRC-025</w:t>
            </w:r>
          </w:p>
        </w:tc>
        <w:tc>
          <w:tcPr>
            <w:tcW w:type="dxa" w:w="3671"/>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Authorial note by I. B. Kurpishev, 30 July 2026: two permanent KLT-RBD kernels and Hilbert reduction.</w:t>
            </w:r>
          </w:p>
        </w:tc>
        <w:tc>
          <w:tcPr>
            <w:tcW w:type="dxa" w:w="158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PRIMARY AUTHORIAL SOURCE</w:t>
            </w:r>
          </w:p>
        </w:tc>
        <w:tc>
          <w:tcPr>
            <w:tcW w:type="dxa" w:w="32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KLT-A1/A2, PIX@PEAKS, amplitude gate, rigidity and philosophical reinforcement.</w:t>
            </w:r>
          </w:p>
        </w:tc>
      </w:tr>
      <w:tr>
        <w:trPr>
          <w:trHeight w:hRule="atLeast"/>
        </w:trPr>
        <w:tc>
          <w:tcPr>
            <w:tcW w:type="dxa" w:w="136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T4-SRC-026</w:t>
            </w:r>
          </w:p>
        </w:tc>
        <w:tc>
          <w:tcPr>
            <w:tcW w:type="dxa" w:w="3671"/>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Hilbert D. Die Grundlagen der Physik. Erste Mitteilung. Nachrichten Göttingen, 1915, 395-407.</w:t>
            </w:r>
          </w:p>
        </w:tc>
        <w:tc>
          <w:tcPr>
            <w:tcW w:type="dxa" w:w="1584"/>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PRIMARY PRIOR ART</w:t>
            </w:r>
          </w:p>
        </w:tc>
        <w:tc>
          <w:tcPr>
            <w:tcW w:type="dxa" w:w="32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Historical Axiom I: variational world function; Axiom II: general invariance.</w:t>
            </w:r>
          </w:p>
        </w:tc>
      </w:tr>
      <w:tr>
        <w:trPr>
          <w:trHeight w:hRule="atLeast"/>
        </w:trPr>
        <w:tc>
          <w:tcPr>
            <w:tcW w:type="dxa" w:w="136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T4-SRC-027</w:t>
            </w:r>
          </w:p>
        </w:tc>
        <w:tc>
          <w:tcPr>
            <w:tcW w:type="dxa" w:w="3671"/>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Hilbert D. Die Grundlagen der Physik. Zweite Mitteilung. Nachrichten Göttingen, 1917, 53-76; consolidated reprint, Math. Ann. 92 (1924), 1-32.</w:t>
            </w:r>
          </w:p>
        </w:tc>
        <w:tc>
          <w:tcPr>
            <w:tcW w:type="dxa" w:w="158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PRIMARY PRIOR ART</w:t>
            </w:r>
          </w:p>
        </w:tc>
        <w:tc>
          <w:tcPr>
            <w:tcW w:type="dxa" w:w="32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Historical development and revised presentation of Hilbert foundations.</w:t>
            </w:r>
          </w:p>
        </w:tc>
      </w:tr>
      <w:tr>
        <w:trPr>
          <w:trHeight w:hRule="atLeast"/>
        </w:trPr>
        <w:tc>
          <w:tcPr>
            <w:tcW w:type="dxa" w:w="136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T4-SRC-028</w:t>
            </w:r>
          </w:p>
        </w:tc>
        <w:tc>
          <w:tcPr>
            <w:tcW w:type="dxa" w:w="3671"/>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Noether E. Invariante Variationsprobleme. Nachrichten Göttingen, 1918, 235-257.</w:t>
            </w:r>
          </w:p>
        </w:tc>
        <w:tc>
          <w:tcPr>
            <w:tcW w:type="dxa" w:w="1584"/>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PRIMARY PRIOR ART</w:t>
            </w:r>
          </w:p>
        </w:tc>
        <w:tc>
          <w:tcPr>
            <w:tcW w:type="dxa" w:w="32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Variational invariance identities and conservation-law bridge in the reduced smooth setting.</w:t>
            </w:r>
          </w:p>
        </w:tc>
      </w:tr>
      <w:tr>
        <w:trPr>
          <w:trHeight w:hRule="atLeast"/>
        </w:trPr>
        <w:tc>
          <w:tcPr>
            <w:tcW w:type="dxa" w:w="136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T4-SRC-029</w:t>
            </w:r>
          </w:p>
        </w:tc>
        <w:tc>
          <w:tcPr>
            <w:tcW w:type="dxa" w:w="3671"/>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Tom I / v32_v196cc: packet objects R@R, C@B, M@R, P@P and C@C; category Pack.</w:t>
            </w:r>
          </w:p>
        </w:tc>
        <w:tc>
          <w:tcPr>
            <w:tcW w:type="dxa" w:w="158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INTERNAL CANONICAL SOURCE</w:t>
            </w:r>
          </w:p>
        </w:tc>
        <w:tc>
          <w:tcPr>
            <w:tcW w:type="dxa" w:w="32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Typed packet vocabulary and Hodge-stratified realization.</w:t>
            </w:r>
          </w:p>
        </w:tc>
      </w:tr>
      <w:tr>
        <w:trPr>
          <w:trHeight w:hRule="atLeast"/>
        </w:trPr>
        <w:tc>
          <w:tcPr>
            <w:tcW w:type="dxa" w:w="136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T4-SRC-030</w:t>
            </w:r>
          </w:p>
        </w:tc>
        <w:tc>
          <w:tcPr>
            <w:tcW w:type="dxa" w:w="3671"/>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PIX@PEAKS Fields Contractions Theorem v129T in the project corpus.</w:t>
            </w:r>
          </w:p>
        </w:tc>
        <w:tc>
          <w:tcPr>
            <w:tcW w:type="dxa" w:w="1584"/>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INTERNAL FORMAL SOURCE</w:t>
            </w:r>
          </w:p>
        </w:tc>
        <w:tc>
          <w:tcPr>
            <w:tcW w:type="dxa" w:w="32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Existing formal bridge Hol_D→curvature→associator obstruction under explicit axioms.</w:t>
            </w:r>
          </w:p>
        </w:tc>
      </w:tr>
      <w:tr>
        <w:trPr>
          <w:trHeight w:hRule="atLeast"/>
        </w:trPr>
        <w:tc>
          <w:tcPr>
            <w:tcW w:type="dxa" w:w="136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T4-SRC-031</w:t>
            </w:r>
          </w:p>
        </w:tc>
        <w:tc>
          <w:tcPr>
            <w:tcW w:type="dxa" w:w="3671"/>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Tom II, Chapter 17: Hilbert and Klein reductions.</w:t>
            </w:r>
          </w:p>
        </w:tc>
        <w:tc>
          <w:tcPr>
            <w:tcW w:type="dxa" w:w="158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INTERNAL FROZEN REFERENCE</w:t>
            </w:r>
          </w:p>
        </w:tc>
        <w:tc>
          <w:tcPr>
            <w:tcW w:type="dxa" w:w="32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Reduction discipline: classical geometries remain controlled sections, not overwritten prior art.</w:t>
            </w:r>
          </w:p>
        </w:tc>
      </w:tr>
    </w:tbl>
    <w:p>
      <w:pPr>
        <w:widowControl/>
        <w:spacing w:after="20"/>
      </w:pPr>
    </w:p>
    <w:p>
      <w:pPr>
        <w:pStyle w:val="Heading2"/>
        <w:keepNext/>
        <w:pageBreakBefore w:val="0"/>
        <w:widowControl/>
        <w:spacing w:before="140" w:after="100"/>
      </w:pPr>
      <w:r>
        <w:rPr>
          <w:rFonts w:ascii="DejaVu Sans" w:hAnsi="DejaVu Sans" w:eastAsia="DejaVu Sans"/>
          <w:b/>
          <w:color w:val="214D7A"/>
          <w:sz w:val="26"/>
        </w:rPr>
        <w:t>0.1. Нотационные различения</w:t>
      </w:r>
    </w:p>
    <w:tbl>
      <w:tblPr>
        <w:tblStyle w:val="TableGrid"/>
        <w:tblW w:type="auto" w:w="0"/>
        <w:jc w:val="center"/>
        <w:tblLayout w:type="fixed"/>
        <w:tblLook w:firstColumn="1" w:firstRow="1" w:lastColumn="0" w:lastRow="0" w:noHBand="0" w:noVBand="1" w:val="04A0"/>
      </w:tblPr>
      <w:tblGrid>
        <w:gridCol w:w="1701"/>
        <w:gridCol w:w="3685"/>
        <w:gridCol w:w="4252"/>
      </w:tblGrid>
      <w:tr>
        <w:trPr>
          <w:trHeight w:hRule="atLeast"/>
          <w:tblHeader w:val="true"/>
          <w:cantSplit/>
        </w:trPr>
        <w:tc>
          <w:tcPr>
            <w:tcW w:type="dxa" w:w="3288"/>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Знак/термин</w:t>
            </w:r>
          </w:p>
        </w:tc>
        <w:tc>
          <w:tcPr>
            <w:tcW w:type="dxa" w:w="3288"/>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Зафиксированный смысл</w:t>
            </w:r>
          </w:p>
        </w:tc>
        <w:tc>
          <w:tcPr>
            <w:tcW w:type="dxa" w:w="3288"/>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Запрет</w:t>
            </w:r>
          </w:p>
        </w:tc>
      </w:tr>
      <w:tr>
        <w:trPr>
          <w:cantSplit/>
          <w:trHeight w:hRule="atLeast"/>
        </w:trPr>
        <w:tc>
          <w:tcPr>
            <w:tcW w:type="dxa" w:w="1701"/>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w:t>
            </w:r>
          </w:p>
        </w:tc>
        <w:tc>
          <w:tcPr>
            <w:tcW w:type="dxa" w:w="3685"/>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Историческая запись архитектурного соединения.</w:t>
            </w:r>
          </w:p>
        </w:tc>
        <w:tc>
          <w:tcPr>
            <w:tcW w:type="dxa" w:w="4252"/>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В v0.2 заменяется на ⊞_arch там, где арифметическая сумма могла бы ввести в заблуждение.</w:t>
            </w:r>
          </w:p>
        </w:tc>
      </w:tr>
      <w:tr>
        <w:trPr>
          <w:cantSplit/>
          <w:trHeight w:hRule="atLeast"/>
        </w:trPr>
        <w:tc>
          <w:tcPr>
            <w:tcW w:type="dxa" w:w="1701"/>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C@C_h^0</w:t>
            </w:r>
          </w:p>
        </w:tc>
        <w:tc>
          <w:tcPr>
            <w:tcW w:type="dxa" w:w="3685"/>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Ядро (event,state).</w:t>
            </w:r>
          </w:p>
        </w:tc>
        <w:tc>
          <w:tcPr>
            <w:tcW w:type="dxa" w:w="4252"/>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Не включает автоматически witness, horizon, D или статус.</w:t>
            </w:r>
          </w:p>
        </w:tc>
      </w:tr>
      <w:tr>
        <w:trPr>
          <w:cantSplit/>
          <w:trHeight w:hRule="atLeast"/>
        </w:trPr>
        <w:tc>
          <w:tcPr>
            <w:tcW w:type="dxa" w:w="1701"/>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C@C~_h</w:t>
            </w:r>
          </w:p>
        </w:tc>
        <w:tc>
          <w:tcPr>
            <w:tcW w:type="dxa" w:w="3685"/>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Декорированный объект.</w:t>
            </w:r>
          </w:p>
        </w:tc>
        <w:tc>
          <w:tcPr>
            <w:tcW w:type="dxa" w:w="4252"/>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Добавляет witness/horizon и метаданные домена.</w:t>
            </w:r>
          </w:p>
        </w:tc>
      </w:tr>
      <w:tr>
        <w:trPr>
          <w:cantSplit/>
          <w:trHeight w:hRule="atLeast"/>
        </w:trPr>
        <w:tc>
          <w:tcPr>
            <w:tcW w:type="dxa" w:w="1701"/>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D</w:t>
            </w:r>
          </w:p>
        </w:tc>
        <w:tc>
          <w:tcPr>
            <w:tcW w:type="dxa" w:w="3685"/>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Достаточное основание / provenance graph.</w:t>
            </w:r>
          </w:p>
        </w:tc>
        <w:tc>
          <w:tcPr>
            <w:tcW w:type="dxa" w:w="4252"/>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Не совпадает с Dom — областью определения.</w:t>
            </w:r>
          </w:p>
        </w:tc>
      </w:tr>
      <w:tr>
        <w:trPr>
          <w:cantSplit/>
          <w:trHeight w:hRule="atLeast"/>
        </w:trPr>
        <w:tc>
          <w:tcPr>
            <w:tcW w:type="dxa" w:w="1701"/>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Δ_h, Ξ_h, Υ_h</w:t>
            </w:r>
          </w:p>
        </w:tc>
        <w:tc>
          <w:tcPr>
            <w:tcW w:type="dxa" w:w="3685"/>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Три различных частичных отображения.</w:t>
            </w:r>
          </w:p>
        </w:tc>
        <w:tc>
          <w:tcPr>
            <w:tcW w:type="dxa" w:w="4252"/>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Их отождествление запрещено без явных преобразований типов.</w:t>
            </w:r>
          </w:p>
        </w:tc>
      </w:tr>
      <w:tr>
        <w:trPr>
          <w:cantSplit/>
          <w:trHeight w:hRule="atLeast"/>
        </w:trPr>
        <w:tc>
          <w:tcPr>
            <w:tcW w:type="dxa" w:w="1701"/>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λ_h</w:t>
            </w:r>
          </w:p>
        </w:tc>
        <w:tc>
          <w:tcPr>
            <w:tcW w:type="dxa" w:w="3685"/>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Проективный модельный канал.</w:t>
            </w:r>
          </w:p>
        </w:tc>
        <w:tc>
          <w:tcPr>
            <w:tcW w:type="dxa" w:w="4252"/>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Не определён без ι_Ω: Rep_h→P¹(K)^4 и проверки знаменателей.</w:t>
            </w:r>
          </w:p>
        </w:tc>
      </w:tr>
      <w:tr>
        <w:trPr>
          <w:cantSplit/>
          <w:trHeight w:hRule="atLeast"/>
        </w:trPr>
        <w:tc>
          <w:tcPr>
            <w:tcW w:type="dxa" w:w="1701"/>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ABSTAIN</w:t>
            </w:r>
          </w:p>
        </w:tc>
        <w:tc>
          <w:tcPr>
            <w:tcW w:type="dxa" w:w="3685"/>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Корректный отказ от вывода.</w:t>
            </w:r>
          </w:p>
        </w:tc>
        <w:tc>
          <w:tcPr>
            <w:tcW w:type="dxa" w:w="4252"/>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Не означает отрицание объекта или человека.</w:t>
            </w:r>
          </w:p>
        </w:tc>
      </w:tr>
    </w:tbl>
    <w:p>
      <w:pPr>
        <w:widowControl/>
        <w:spacing w:after="20"/>
      </w:pPr>
    </w:p>
    <w:tbl>
      <w:tblPr>
        <w:tblW w:type="auto" w:w="0"/>
        <w:jc w:val="center"/>
        <w:tblLayout w:type="fixed"/>
        <w:tblLook w:firstColumn="1" w:firstRow="1" w:lastColumn="0" w:lastRow="0" w:noHBand="0" w:noVBand="1" w:val="04A0"/>
      </w:tblPr>
      <w:tblGrid>
        <w:gridCol w:w="9638"/>
      </w:tblGrid>
      <w:tr>
        <w:trPr>
          <w:cantSplit/>
          <w:trHeight w:hRule="atLeast"/>
          <w:tblHeader w:val="true"/>
        </w:trPr>
        <w:tc>
          <w:tcPr>
            <w:tcW w:type="dxa" w:w="9865"/>
            <w:shd w:fill="F0ECF7"/>
            <w:tcMar>
              <w:top w:w="90" w:type="dxa"/>
              <w:start w:w="100" w:type="dxa"/>
              <w:bottom w:w="90" w:type="dxa"/>
              <w:end w:w="100" w:type="dxa"/>
            </w:tcMar>
            <w:vAlign w:val="center"/>
          </w:tcPr>
          <w:p>
            <w:pPr>
              <w:keepLines/>
              <w:widowControl/>
              <w:spacing w:after="0" w:line="259" w:lineRule="auto"/>
            </w:pPr>
            <w:r>
              <w:rPr>
                <w:rFonts w:ascii="DejaVu Sans" w:hAnsi="DejaVu Sans" w:eastAsia="DejaVu Sans"/>
                <w:b/>
                <w:color w:val="67548A"/>
                <w:sz w:val="20"/>
              </w:rPr>
              <w:t xml:space="preserve">NOTATION LOCK. </w:t>
            </w:r>
            <w:r>
              <w:rPr>
                <w:rFonts w:ascii="DejaVu Serif" w:hAnsi="DejaVu Serif" w:eastAsia="DejaVu Serif"/>
                <w:color w:val="1A2433"/>
                <w:sz w:val="20"/>
              </w:rPr>
              <w:t>В антропологическом тексте символы не являются метафорическими украшениями. Каждый формальный знак имеет Dom/Cod, источник и статус. При отсутствии этих данных формула переводится в MODEL или ABSTAIN.</w:t>
            </w:r>
          </w:p>
        </w:tc>
      </w:tr>
    </w:tbl>
    <w:p>
      <w:pPr>
        <w:widowControl/>
        <w:spacing w:after="0"/>
      </w:pPr>
    </w:p>
    <w:p>
      <w:bookmarkStart w:id="106" w:name="part1"/>
      <w:pPr>
        <w:pStyle w:val="Heading1"/>
        <w:keepNext/>
        <w:pageBreakBefore w:val="0"/>
        <w:widowControl/>
        <w:spacing w:before="200" w:after="100"/>
      </w:pPr>
      <w:r>
        <w:rPr>
          <w:rFonts w:ascii="DejaVu Sans" w:hAnsi="DejaVu Sans" w:eastAsia="DejaVu Sans"/>
          <w:b/>
          <w:color w:val="173A61"/>
          <w:sz w:val="35"/>
        </w:rPr>
        <w:t>ЧАСТЬ I. ФОРМАЛЬНОЕ ЯДРО АНТРОПОЛОГИИ ПОЗНАНИЯ</w:t>
      </w:r>
      <w:bookmarkEnd w:id="106"/>
    </w:p>
    <w:p>
      <w:bookmarkStart w:id="107" w:name="ch1"/>
      <w:pPr>
        <w:pStyle w:val="Heading1"/>
        <w:keepNext/>
        <w:pageBreakBefore/>
        <w:widowControl/>
        <w:spacing w:before="200" w:after="100"/>
      </w:pPr>
      <w:r>
        <w:rPr>
          <w:rFonts w:ascii="DejaVu Sans" w:hAnsi="DejaVu Sans" w:eastAsia="DejaVu Sans"/>
          <w:b/>
          <w:color w:val="173A61"/>
          <w:sz w:val="35"/>
        </w:rPr>
        <w:t>Глава 1. Интерфейс с Томами I-III</w:t>
      </w:r>
      <w:bookmarkEnd w:id="107"/>
    </w:p>
    <w:p>
      <w:pPr>
        <w:widowControl/>
        <w:spacing w:after="140"/>
      </w:pPr>
      <w:r>
        <w:rPr>
          <w:i/>
          <w:color w:val="8B6508"/>
        </w:rPr>
        <w:t>Интерфейс между томами существует не только ради ссылочной дисциплины. Он выражает философскую мысль о том, что человеческое знание не создаёт мир заново при каждом новом вопросе. Оно наследует уже возникшие события@состояния, но принимает их только через сохраняемые основания и границы. Два ядра KLT-RBD поэтому предшествуют антропологии: вариация объясняет происхождение различий, инвариантность - возможность узнавания одного и того же сквозь изменения.</w:t>
      </w:r>
    </w:p>
    <w:p>
      <w:pPr>
        <w:widowControl/>
        <w:spacing w:after="40"/>
      </w:pPr>
      <w:r>
        <w:rPr>
          <w:b/>
          <w:color w:val="17345F"/>
        </w:rPr>
        <w:t>ФИЛОСОФСКОЕ ВВЕДЕНИЕ К ГЛАВЕ 1</w:t>
      </w:r>
    </w:p>
    <w:p>
      <w:pPr>
        <w:pStyle w:val="Heading2"/>
        <w:keepNext/>
        <w:pageBreakBefore w:val="0"/>
        <w:widowControl/>
        <w:spacing w:before="140" w:after="100"/>
      </w:pPr>
      <w:r>
        <w:rPr>
          <w:rFonts w:ascii="DejaVu Sans" w:hAnsi="DejaVu Sans" w:eastAsia="DejaVu Sans"/>
          <w:b/>
          <w:color w:val="214D7A"/>
          <w:sz w:val="26"/>
        </w:rPr>
        <w:t>1.1. Назначение интерфейса</w:t>
      </w:r>
    </w:p>
    <w:p>
      <w:pPr>
        <w:keepLines w:val="0"/>
        <w:widowControl/>
        <w:spacing w:after="80" w:before="0" w:line="269" w:lineRule="auto"/>
        <w:ind w:firstLine="425"/>
        <w:jc w:val="both"/>
      </w:pPr>
      <w:r>
        <w:rPr>
          <w:rFonts w:ascii="DejaVu Serif" w:hAnsi="DejaVu Serif" w:eastAsia="DejaVu Serif"/>
          <w:i w:val="0"/>
          <w:color w:val="1A2433"/>
          <w:sz w:val="21"/>
        </w:rPr>
        <w:t>Том IV не начинает проект заново. Он принимает базовые объекты и доказательные статусы первых трёх томов как версионированные ссылки. Такой импорт нужен не только редакционно. Без него слово Reper могло бы получить в антропологической главе иной смысл, λ — превратиться в свободную оценку, а ABSTAIN — в риторическое уклонение. Интерфейс запрещает эти подмены.</w:t>
      </w:r>
    </w:p>
    <w:p>
      <w:pPr>
        <w:keepLines w:val="0"/>
        <w:widowControl/>
        <w:spacing w:after="80" w:before="0" w:line="269" w:lineRule="auto"/>
        <w:ind w:firstLine="425"/>
        <w:jc w:val="both"/>
      </w:pPr>
      <w:r>
        <w:rPr>
          <w:rFonts w:ascii="DejaVu Serif" w:hAnsi="DejaVu Serif" w:eastAsia="DejaVu Serif"/>
          <w:i w:val="0"/>
          <w:color w:val="1A2433"/>
          <w:sz w:val="21"/>
        </w:rPr>
        <w:t>Импортируемая единица представляется записью x=(id,type,statement,Dom,D,status,locator,version,hash). Том IV может добавлять к x антропологическую интерпретацию и новые зависимости, но не вправе менять исходные поля statement, status и version. Любое исправление канона требует отдельного change-set в исходном томе.</w:t>
      </w: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Import_T4(x) = (Ref_T1(x), Ref_T2(x), StatusPreservingRef_T3(x))</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T4-F002</w:t>
              <w:br/>
              <w:t>EDITORIAL DEF</w:t>
            </w:r>
          </w:p>
        </w:tc>
      </w:tr>
    </w:tbl>
    <w:p>
      <w:pPr>
        <w:widowControl/>
        <w:spacing w:after="0"/>
      </w:pPr>
    </w:p>
    <w:p>
      <w:pPr>
        <w:pStyle w:val="Heading2"/>
        <w:keepNext/>
        <w:pageBreakBefore w:val="0"/>
        <w:widowControl/>
        <w:spacing w:before="140" w:after="100"/>
      </w:pPr>
      <w:r>
        <w:rPr>
          <w:rFonts w:ascii="DejaVu Sans" w:hAnsi="DejaVu Sans" w:eastAsia="DejaVu Sans"/>
          <w:b/>
          <w:color w:val="214D7A"/>
          <w:sz w:val="26"/>
        </w:rPr>
        <w:t>1.2. Статусный вектор</w:t>
      </w:r>
    </w:p>
    <w:p>
      <w:pPr>
        <w:keepLines w:val="0"/>
        <w:widowControl/>
        <w:spacing w:after="80" w:before="0" w:line="269" w:lineRule="auto"/>
        <w:ind w:firstLine="425"/>
        <w:jc w:val="both"/>
      </w:pPr>
      <w:r>
        <w:rPr>
          <w:rFonts w:ascii="DejaVu Serif" w:hAnsi="DejaVu Serif" w:eastAsia="DejaVu Serif"/>
          <w:i w:val="0"/>
          <w:color w:val="1A2433"/>
          <w:sz w:val="21"/>
        </w:rPr>
        <w:t>Антропологическое утверждение одновременно участвует в нескольких независимых каналах. Формальная корректность, историческая подтверждённость, феноменологическая описательность, эмпирическая проверка, этическая оценка и юридический статус не сводятся к одному числу. Поэтому вводится нескалярный статусный вектор:</w:t>
      </w: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σ_h = (σ_form, σ_hist, σ_phen, σ_emp, σ_eth, σ_legal)</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T4-F003</w:t>
              <w:br/>
              <w:t>DEF</w:t>
            </w:r>
          </w:p>
        </w:tc>
      </w:tr>
    </w:tbl>
    <w:p>
      <w:pPr>
        <w:widowControl/>
        <w:spacing w:after="0"/>
      </w:pPr>
    </w:p>
    <w:p>
      <w:pPr>
        <w:keepLines w:val="0"/>
        <w:widowControl/>
        <w:spacing w:after="80" w:before="0" w:line="269" w:lineRule="auto"/>
        <w:ind w:firstLine="425"/>
        <w:jc w:val="both"/>
      </w:pPr>
      <w:r>
        <w:rPr>
          <w:rFonts w:ascii="DejaVu Serif" w:hAnsi="DejaVu Serif" w:eastAsia="DejaVu Serif"/>
          <w:i w:val="0"/>
          <w:color w:val="1A2433"/>
          <w:sz w:val="21"/>
        </w:rPr>
        <w:t>Для каждого домена Ω_h задаются отдельные предусловия и, при необходимости, частичные порядки ≼_j. Универсальный тотальный порядок не предполагается. Если в обязательном канале нет сравнимости или meet, композиция не выбирает более удобное значение, а выдаёт ABSTAIN-STATUS.</w:t>
      </w:r>
    </w:p>
    <w:tbl>
      <w:tblPr>
        <w:tblStyle w:val="TableGrid"/>
        <w:tblW w:type="auto" w:w="0"/>
        <w:jc w:val="center"/>
        <w:tblLayout w:type="fixed"/>
        <w:tblLook w:firstColumn="1" w:firstRow="1" w:lastColumn="0" w:lastRow="0" w:noHBand="0" w:noVBand="1" w:val="04A0"/>
      </w:tblPr>
      <w:tblGrid>
        <w:gridCol w:w="1531"/>
        <w:gridCol w:w="2835"/>
        <w:gridCol w:w="5272"/>
      </w:tblGrid>
      <w:tr>
        <w:trPr>
          <w:trHeight w:hRule="atLeast"/>
          <w:tblHeader w:val="true"/>
          <w:cantSplit/>
        </w:trPr>
        <w:tc>
          <w:tcPr>
            <w:tcW w:type="dxa" w:w="3288"/>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Канал</w:t>
            </w:r>
          </w:p>
        </w:tc>
        <w:tc>
          <w:tcPr>
            <w:tcW w:type="dxa" w:w="3288"/>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Пример меток</w:t>
            </w:r>
          </w:p>
        </w:tc>
        <w:tc>
          <w:tcPr>
            <w:tcW w:type="dxa" w:w="3288"/>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Смысл</w:t>
            </w:r>
          </w:p>
        </w:tc>
      </w:tr>
      <w:tr>
        <w:trPr>
          <w:cantSplit/>
          <w:trHeight w:hRule="atLeast"/>
        </w:trPr>
        <w:tc>
          <w:tcPr>
            <w:tcW w:type="dxa" w:w="1531"/>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formal</w:t>
            </w:r>
          </w:p>
        </w:tc>
        <w:tc>
          <w:tcPr>
            <w:tcW w:type="dxa" w:w="2835"/>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RAW / DEF / PROP / THM-FORMAL</w:t>
            </w:r>
          </w:p>
        </w:tc>
        <w:tc>
          <w:tcPr>
            <w:tcW w:type="dxa" w:w="5272"/>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Типовая и доказательная корректность внутри модели.</w:t>
            </w:r>
          </w:p>
        </w:tc>
      </w:tr>
      <w:tr>
        <w:trPr>
          <w:cantSplit/>
          <w:trHeight w:hRule="atLeast"/>
        </w:trPr>
        <w:tc>
          <w:tcPr>
            <w:tcW w:type="dxa" w:w="1531"/>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historical</w:t>
            </w:r>
          </w:p>
        </w:tc>
        <w:tc>
          <w:tcPr>
            <w:tcW w:type="dxa" w:w="2835"/>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UNSOURCED / SOURCE / CORROBORATED</w:t>
            </w:r>
          </w:p>
        </w:tc>
        <w:tc>
          <w:tcPr>
            <w:tcW w:type="dxa" w:w="5272"/>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Наличие и согласованность источников.</w:t>
            </w:r>
          </w:p>
        </w:tc>
      </w:tr>
      <w:tr>
        <w:trPr>
          <w:cantSplit/>
          <w:trHeight w:hRule="atLeast"/>
        </w:trPr>
        <w:tc>
          <w:tcPr>
            <w:tcW w:type="dxa" w:w="1531"/>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phenomenological</w:t>
            </w:r>
          </w:p>
        </w:tc>
        <w:tc>
          <w:tcPr>
            <w:tcW w:type="dxa" w:w="2835"/>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DESCRIPTION / INTERPRETATION / COMPARATIVE</w:t>
            </w:r>
          </w:p>
        </w:tc>
        <w:tc>
          <w:tcPr>
            <w:tcW w:type="dxa" w:w="5272"/>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Статус описания опыта, а не физического факта.</w:t>
            </w:r>
          </w:p>
        </w:tc>
      </w:tr>
      <w:tr>
        <w:trPr>
          <w:cantSplit/>
          <w:trHeight w:hRule="atLeast"/>
        </w:trPr>
        <w:tc>
          <w:tcPr>
            <w:tcW w:type="dxa" w:w="1531"/>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empirical</w:t>
            </w:r>
          </w:p>
        </w:tc>
        <w:tc>
          <w:tcPr>
            <w:tcW w:type="dxa" w:w="2835"/>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NONE / PLAN / OBS / REPLICATED</w:t>
            </w:r>
          </w:p>
        </w:tc>
        <w:tc>
          <w:tcPr>
            <w:tcW w:type="dxa" w:w="5272"/>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Наблюдение и независимое повторение.</w:t>
            </w:r>
          </w:p>
        </w:tc>
      </w:tr>
      <w:tr>
        <w:trPr>
          <w:cantSplit/>
          <w:trHeight w:hRule="atLeast"/>
        </w:trPr>
        <w:tc>
          <w:tcPr>
            <w:tcW w:type="dxa" w:w="1531"/>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ethical</w:t>
            </w:r>
          </w:p>
        </w:tc>
        <w:tc>
          <w:tcPr>
            <w:tcW w:type="dxa" w:w="2835"/>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UNASSESSED / REVIEWED / CONTESTED</w:t>
            </w:r>
          </w:p>
        </w:tc>
        <w:tc>
          <w:tcPr>
            <w:tcW w:type="dxa" w:w="5272"/>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Не линейная шкала истинности; хранится как отдельная метка.</w:t>
            </w:r>
          </w:p>
        </w:tc>
      </w:tr>
      <w:tr>
        <w:trPr>
          <w:cantSplit/>
          <w:trHeight w:hRule="atLeast"/>
        </w:trPr>
        <w:tc>
          <w:tcPr>
            <w:tcW w:type="dxa" w:w="1531"/>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legal</w:t>
            </w:r>
          </w:p>
        </w:tc>
        <w:tc>
          <w:tcPr>
            <w:tcW w:type="dxa" w:w="2835"/>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NONE / DOCUMENTED / REGISTERED / ADJUDICATED</w:t>
            </w:r>
          </w:p>
        </w:tc>
        <w:tc>
          <w:tcPr>
            <w:tcW w:type="dxa" w:w="5272"/>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Юридический факт не повышает математический статус.</w:t>
            </w:r>
          </w:p>
        </w:tc>
      </w:tr>
    </w:tbl>
    <w:p>
      <w:pPr>
        <w:widowControl/>
        <w:spacing w:after="20"/>
      </w:pPr>
    </w:p>
    <w:p>
      <w:pPr>
        <w:pStyle w:val="Heading2"/>
        <w:keepNext/>
        <w:pageBreakBefore w:val="0"/>
        <w:widowControl/>
        <w:spacing w:before="140" w:after="100"/>
      </w:pPr>
      <w:r>
        <w:rPr>
          <w:rFonts w:ascii="DejaVu Sans" w:hAnsi="DejaVu Sans" w:eastAsia="DejaVu Sans"/>
          <w:b/>
          <w:color w:val="214D7A"/>
          <w:sz w:val="26"/>
        </w:rPr>
        <w:t>1.3. Теорема сохранения статуса при импорте</w:t>
      </w:r>
    </w:p>
    <w:tbl>
      <w:tblPr>
        <w:tblW w:type="auto" w:w="0"/>
        <w:jc w:val="center"/>
        <w:tblLayout w:type="fixed"/>
        <w:tblLook w:firstColumn="1" w:firstRow="1" w:lastColumn="0" w:lastRow="0" w:noHBand="0" w:noVBand="1" w:val="04A0"/>
      </w:tblPr>
      <w:tblGrid>
        <w:gridCol w:w="9638"/>
      </w:tblGrid>
      <w:tr>
        <w:trPr>
          <w:cantSplit/>
          <w:trHeight w:hRule="atLeast"/>
          <w:tblHeader w:val="true"/>
        </w:trPr>
        <w:tc>
          <w:tcPr>
            <w:tcW w:type="dxa" w:w="9865"/>
            <w:shd w:fill="F7F0DA"/>
            <w:tcMar>
              <w:top w:w="90" w:type="dxa"/>
              <w:start w:w="100" w:type="dxa"/>
              <w:bottom w:w="90" w:type="dxa"/>
              <w:end w:w="100" w:type="dxa"/>
            </w:tcMar>
            <w:vAlign w:val="center"/>
          </w:tcPr>
          <w:p>
            <w:pPr>
              <w:keepLines/>
              <w:widowControl/>
              <w:spacing w:after="0" w:line="259" w:lineRule="auto"/>
            </w:pPr>
            <w:r>
              <w:rPr>
                <w:rFonts w:ascii="DejaVu Sans" w:hAnsi="DejaVu Sans" w:eastAsia="DejaVu Sans"/>
                <w:b/>
                <w:color w:val="A97814"/>
                <w:sz w:val="20"/>
              </w:rPr>
              <w:t xml:space="preserve">ТЕОРЕМА T4.1.1 [THM-FORMAL]. </w:t>
            </w:r>
            <w:r>
              <w:rPr>
                <w:rFonts w:ascii="DejaVu Serif" w:hAnsi="DejaVu Serif" w:eastAsia="DejaVu Serif"/>
                <w:color w:val="1A2433"/>
                <w:sz w:val="20"/>
              </w:rPr>
              <w:t>Пусть J_k — импортирующее отображение из версионированного реестра Тома k в реестр Тома IV. Если J_k сохраняет поля statement, Dom, D и status, то для всякой импортированной единицы x выполняется σ_T4(J_k(x))=σ_Tk(x). Добавление антропологического комментария может создать новый связанный узел, но не меняет статус x.</w:t>
            </w:r>
          </w:p>
        </w:tc>
      </w:tr>
    </w:tbl>
    <w:p>
      <w:pPr>
        <w:widowControl/>
        <w:spacing w:after="0"/>
      </w:pPr>
    </w:p>
    <w:p>
      <w:pPr>
        <w:keepLines w:val="0"/>
        <w:widowControl/>
        <w:spacing w:after="80" w:before="0" w:line="269" w:lineRule="auto"/>
        <w:ind w:firstLine="425"/>
        <w:jc w:val="both"/>
      </w:pPr>
      <w:r>
        <w:rPr>
          <w:rFonts w:ascii="DejaVu Serif" w:hAnsi="DejaVu Serif" w:eastAsia="DejaVu Serif"/>
          <w:i w:val="0"/>
          <w:color w:val="1A2433"/>
          <w:sz w:val="21"/>
        </w:rPr>
        <w:t>Доказательство. Равенство следует из определения status-preserving import: статус является сохраняемым полем записи. Новый комментарий y имеет собственный идентификатор и собственный статус σ(y). Связь y→x не является операцией повышения статуса x. Следовательно, импорт сохраняет исходный статус, а новая интерпретация оценивается отдельно. □</w:t>
      </w:r>
    </w:p>
    <w:tbl>
      <w:tblPr>
        <w:tblW w:type="auto" w:w="0"/>
        <w:jc w:val="center"/>
        <w:tblLayout w:type="fixed"/>
        <w:tblLook w:firstColumn="1" w:firstRow="1" w:lastColumn="0" w:lastRow="0" w:noHBand="0" w:noVBand="1" w:val="04A0"/>
      </w:tblPr>
      <w:tblGrid>
        <w:gridCol w:w="9638"/>
      </w:tblGrid>
      <w:tr>
        <w:trPr>
          <w:cantSplit/>
          <w:trHeight w:hRule="atLeast"/>
          <w:tblHeader w:val="true"/>
        </w:trPr>
        <w:tc>
          <w:tcPr>
            <w:tcW w:type="dxa" w:w="9865"/>
            <w:shd w:fill="F8EAEA"/>
            <w:tcMar>
              <w:top w:w="90" w:type="dxa"/>
              <w:start w:w="100" w:type="dxa"/>
              <w:bottom w:w="90" w:type="dxa"/>
              <w:end w:w="100" w:type="dxa"/>
            </w:tcMar>
            <w:vAlign w:val="center"/>
          </w:tcPr>
          <w:p>
            <w:pPr>
              <w:keepLines/>
              <w:widowControl/>
              <w:spacing w:after="0" w:line="259" w:lineRule="auto"/>
            </w:pPr>
            <w:r>
              <w:rPr>
                <w:rFonts w:ascii="DejaVu Sans" w:hAnsi="DejaVu Sans" w:eastAsia="DejaVu Sans"/>
                <w:b/>
                <w:color w:val="9B3030"/>
                <w:sz w:val="20"/>
              </w:rPr>
              <w:t xml:space="preserve">ГРАНИЦА ТЕОРЕМЫ. </w:t>
            </w:r>
            <w:r>
              <w:rPr>
                <w:rFonts w:ascii="DejaVu Serif" w:hAnsi="DejaVu Serif" w:eastAsia="DejaVu Serif"/>
                <w:color w:val="1A2433"/>
                <w:sz w:val="20"/>
              </w:rPr>
              <w:t>Теорема доказывает только корректность версионированного импорта. Она не доказывает истинность исходного утверждения и не устраняет его OPEN/COND/MODEL/PHY-HYP статус.</w:t>
            </w:r>
          </w:p>
        </w:tc>
      </w:tr>
    </w:tbl>
    <w:p>
      <w:pPr>
        <w:widowControl/>
        <w:spacing w:after="0"/>
      </w:pPr>
    </w:p>
    <w:p>
      <w:pPr>
        <w:pStyle w:val="Heading2"/>
        <w:keepNext/>
        <w:pageBreakBefore w:val="0"/>
        <w:widowControl/>
        <w:spacing w:before="140" w:after="100"/>
      </w:pPr>
      <w:r>
        <w:rPr>
          <w:rFonts w:ascii="DejaVu Sans" w:hAnsi="DejaVu Sans" w:eastAsia="DejaVu Sans"/>
          <w:b/>
          <w:color w:val="214D7A"/>
          <w:sz w:val="26"/>
        </w:rPr>
        <w:t>1.4. Точка отката</w:t>
      </w:r>
    </w:p>
    <w:p>
      <w:pPr>
        <w:keepLines w:val="0"/>
        <w:widowControl/>
        <w:spacing w:after="80" w:before="0" w:line="269" w:lineRule="auto"/>
        <w:ind w:firstLine="425"/>
        <w:jc w:val="both"/>
      </w:pPr>
      <w:r>
        <w:rPr>
          <w:rFonts w:ascii="DejaVu Serif" w:hAnsi="DejaVu Serif" w:eastAsia="DejaVu Serif"/>
          <w:i w:val="0"/>
          <w:color w:val="1A2433"/>
          <w:sz w:val="21"/>
        </w:rPr>
        <w:t>Если новая антропологическая формализация конфликтует с каноническими типами или начинает выдавать вывод за пределами обязательных каналов, выполняется откат к минимальной записи:</w:t>
      </w: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T4-RA2 = (C@C_h^0, source-card, Dom, D, σ_h, blocker-list)</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T4-F010</w:t>
              <w:br/>
              <w:t>ROLLBACK DEF</w:t>
            </w:r>
          </w:p>
        </w:tc>
      </w:tr>
    </w:tbl>
    <w:p>
      <w:pPr>
        <w:widowControl/>
        <w:spacing w:after="0"/>
      </w:pPr>
    </w:p>
    <w:p>
      <w:pPr>
        <w:keepLines w:val="0"/>
        <w:widowControl/>
        <w:spacing w:after="80" w:before="0" w:line="269" w:lineRule="auto"/>
        <w:ind w:firstLine="425"/>
        <w:jc w:val="both"/>
      </w:pPr>
      <w:r>
        <w:rPr>
          <w:rFonts w:ascii="DejaVu Serif" w:hAnsi="DejaVu Serif" w:eastAsia="DejaVu Serif"/>
          <w:i w:val="0"/>
          <w:color w:val="1A2433"/>
          <w:sz w:val="21"/>
        </w:rPr>
        <w:t>Откат не удаляет материал. Он снимает незаконное замыкание и сохраняет событие, состояние, источник и перечень блокеров для последующей реконструкции.</w:t>
      </w:r>
    </w:p>
    <w:p>
      <w:bookmarkStart w:id="108" w:name="ch2"/>
      <w:pPr>
        <w:pStyle w:val="Heading1"/>
        <w:keepNext/>
        <w:pageBreakBefore/>
        <w:widowControl/>
        <w:spacing w:before="200" w:after="100"/>
      </w:pPr>
      <w:r>
        <w:rPr>
          <w:rFonts w:ascii="DejaVu Sans" w:hAnsi="DejaVu Sans" w:eastAsia="DejaVu Sans"/>
          <w:b/>
          <w:color w:val="173A61"/>
          <w:sz w:val="35"/>
        </w:rPr>
        <w:t>Глава 2. Язык и реестр антропологических типов</w:t>
      </w:r>
      <w:bookmarkEnd w:id="108"/>
    </w:p>
    <w:p>
      <w:pPr>
        <w:widowControl/>
        <w:spacing w:after="140"/>
      </w:pPr>
      <w:r>
        <w:rPr>
          <w:i/>
          <w:color w:val="8B6508"/>
        </w:rPr>
        <w:t>Язык не является зеркалом готового мира. Он есть редукционный аппарат, который выбирает размерность, ракурс и допустимые переходы. Слово становится научным не потому, что звучит точно, а потому, что сохраняет тип и инвариант при переносе между слоями. Реестр типов есть дисциплина против онтологического смешения: он не позволяет назвать одной сущностью физическое событие, человеческое переживание и запись базы данных.</w:t>
      </w:r>
    </w:p>
    <w:p>
      <w:pPr>
        <w:widowControl/>
        <w:spacing w:after="40"/>
      </w:pPr>
      <w:r>
        <w:rPr>
          <w:b/>
          <w:color w:val="17345F"/>
        </w:rPr>
        <w:t>ФИЛОСОФСКОЕ ВВЕДЕНИЕ К ГЛАВЕ 2</w:t>
      </w:r>
    </w:p>
    <w:p>
      <w:pPr>
        <w:pStyle w:val="Heading2"/>
        <w:keepNext/>
        <w:pageBreakBefore w:val="0"/>
        <w:widowControl/>
        <w:spacing w:before="140" w:after="100"/>
      </w:pPr>
      <w:r>
        <w:rPr>
          <w:rFonts w:ascii="DejaVu Sans" w:hAnsi="DejaVu Sans" w:eastAsia="DejaVu Sans"/>
          <w:b/>
          <w:color w:val="214D7A"/>
          <w:sz w:val="26"/>
        </w:rPr>
        <w:t>2.1. Антропологическая доменная сигнатура</w:t>
      </w:r>
    </w:p>
    <w:p>
      <w:pPr>
        <w:keepLines w:val="0"/>
        <w:widowControl/>
        <w:spacing w:after="80" w:before="0" w:line="269" w:lineRule="auto"/>
        <w:ind w:firstLine="425"/>
        <w:jc w:val="both"/>
      </w:pPr>
      <w:r>
        <w:rPr>
          <w:rFonts w:ascii="DejaVu Serif" w:hAnsi="DejaVu Serif" w:eastAsia="DejaVu Serif"/>
          <w:i w:val="0"/>
          <w:color w:val="1A2433"/>
          <w:sz w:val="21"/>
        </w:rPr>
        <w:t>Формализация начинается не с универсального определения человека, а с локального домена, в котором определены типы данных и правила вывода. Антропологический домен обозначается Ω_h и задаётся следующей сигнатурой:</w:t>
      </w: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Ω_h = (A,T,E,S,W,H,D,L,Σ, Adm, Comp, Prov)</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T4-F011</w:t>
              <w:br/>
              <w:t>DEF</w:t>
            </w:r>
          </w:p>
        </w:tc>
      </w:tr>
    </w:tbl>
    <w:p>
      <w:pPr>
        <w:widowControl/>
        <w:spacing w:after="0"/>
      </w:pPr>
    </w:p>
    <w:p>
      <w:pPr>
        <w:keepLines w:val="0"/>
        <w:widowControl/>
        <w:spacing w:after="80" w:before="0" w:line="269" w:lineRule="auto"/>
        <w:ind w:firstLine="425"/>
        <w:jc w:val="both"/>
      </w:pPr>
      <w:r>
        <w:rPr>
          <w:rFonts w:ascii="DejaVu Serif" w:hAnsi="DejaVu Serif" w:eastAsia="DejaVu Serif"/>
          <w:i w:val="0"/>
          <w:color w:val="1A2433"/>
          <w:sz w:val="21"/>
        </w:rPr>
        <w:t>A — идентификаторы агентов или ролей внутри исследования; T — предвременной или временной индекс с объявленным отношением порядка; E — токены событий; S — типизированные записи состояний; W — свидетельственные записи; H — горизонты допустимых действий и интерпретаций; D — графы достаточного основания; L — профили пределов; Σ — статусные векторы; Adm, Comp и Prov — предикаты допустимости, совместимости и происхождения.</w:t>
      </w:r>
    </w:p>
    <w:p>
      <w:pPr>
        <w:keepNext/>
        <w:widowControl/>
        <w:jc w:val="center"/>
      </w:pPr>
      <w:r>
        <w:drawing>
          <wp:inline xmlns:a="http://schemas.openxmlformats.org/drawingml/2006/main" xmlns:pic="http://schemas.openxmlformats.org/drawingml/2006/picture">
            <wp:extent cx="6192000" cy="3123475"/>
            <wp:docPr id="1" name="Picture 1" descr="Доменная сигнатура антропологии и маршрут от C@C_h к Rep_h и Human_R." title="Доменная сигнатура антропологии и маршрут от C@C_h к Rep_h и Human_R."/>
            <wp:cNvGraphicFramePr>
              <a:graphicFrameLocks noChangeAspect="1"/>
            </wp:cNvGraphicFramePr>
            <a:graphic>
              <a:graphicData uri="http://schemas.openxmlformats.org/drawingml/2006/picture">
                <pic:pic>
                  <pic:nvPicPr>
                    <pic:cNvPr id="0" name="fig_01_domain_signature.png"/>
                    <pic:cNvPicPr/>
                  </pic:nvPicPr>
                  <pic:blipFill>
                    <a:blip r:embed="rId15"/>
                    <a:stretch>
                      <a:fillRect/>
                    </a:stretch>
                  </pic:blipFill>
                  <pic:spPr>
                    <a:xfrm>
                      <a:off x="0" y="0"/>
                      <a:ext cx="6192000" cy="3123475"/>
                    </a:xfrm>
                    <a:prstGeom prst="rect"/>
                  </pic:spPr>
                </pic:pic>
              </a:graphicData>
            </a:graphic>
          </wp:inline>
        </w:drawing>
      </w:r>
    </w:p>
    <w:p>
      <w:pPr>
        <w:keepLines/>
        <w:widowControl/>
        <w:spacing w:after="120"/>
        <w:jc w:val="center"/>
      </w:pPr>
      <w:r>
        <w:rPr>
          <w:rFonts w:ascii="DejaVu Serif" w:hAnsi="DejaVu Serif" w:eastAsia="DejaVu Serif"/>
          <w:i/>
          <w:color w:val="53677D"/>
          <w:sz w:val="17"/>
        </w:rPr>
        <w:t>Рисунок 1. Доменная сигнатура Ω_h и маршрут к C@C_h, Rep_h и Human_R.</w:t>
      </w:r>
    </w:p>
    <w:p>
      <w:pPr>
        <w:pStyle w:val="Heading2"/>
        <w:keepNext/>
        <w:pageBreakBefore w:val="0"/>
        <w:widowControl/>
        <w:spacing w:before="140" w:after="100"/>
      </w:pPr>
      <w:r>
        <w:rPr>
          <w:rFonts w:ascii="DejaVu Sans" w:hAnsi="DejaVu Sans" w:eastAsia="DejaVu Sans"/>
          <w:b/>
          <w:color w:val="214D7A"/>
          <w:sz w:val="26"/>
        </w:rPr>
        <w:t>2.2. Базовые типы</w:t>
      </w:r>
    </w:p>
    <w:tbl>
      <w:tblPr>
        <w:tblStyle w:val="TableGrid"/>
        <w:tblW w:type="auto" w:w="0"/>
        <w:jc w:val="center"/>
        <w:tblLayout w:type="fixed"/>
        <w:tblLook w:firstColumn="1" w:firstRow="1" w:lastColumn="0" w:lastRow="0" w:noHBand="0" w:noVBand="1" w:val="04A0"/>
      </w:tblPr>
      <w:tblGrid>
        <w:gridCol w:w="1361"/>
        <w:gridCol w:w="2381"/>
        <w:gridCol w:w="5896"/>
      </w:tblGrid>
      <w:tr>
        <w:trPr>
          <w:trHeight w:hRule="atLeast"/>
          <w:tblHeader w:val="true"/>
          <w:cantSplit/>
        </w:trPr>
        <w:tc>
          <w:tcPr>
            <w:tcW w:type="dxa" w:w="3288"/>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Тип</w:t>
            </w:r>
          </w:p>
        </w:tc>
        <w:tc>
          <w:tcPr>
            <w:tcW w:type="dxa" w:w="3288"/>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Краткое имя</w:t>
            </w:r>
          </w:p>
        </w:tc>
        <w:tc>
          <w:tcPr>
            <w:tcW w:type="dxa" w:w="3288"/>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Контракт</w:t>
            </w:r>
          </w:p>
        </w:tc>
      </w:tr>
      <w:tr>
        <w:trPr>
          <w:cantSplit/>
          <w:trHeight w:hRule="atLeast"/>
        </w:trPr>
        <w:tc>
          <w:tcPr>
            <w:tcW w:type="dxa" w:w="1361"/>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A_h</w:t>
            </w:r>
          </w:p>
        </w:tc>
        <w:tc>
          <w:tcPr>
            <w:tcW w:type="dxa" w:w="2381"/>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Agent/role identifier</w:t>
            </w:r>
          </w:p>
        </w:tc>
        <w:tc>
          <w:tcPr>
            <w:tcW w:type="dxa" w:w="5896"/>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Индекс участника или роли; не полное метафизическое определение личности.</w:t>
            </w:r>
          </w:p>
        </w:tc>
      </w:tr>
      <w:tr>
        <w:trPr>
          <w:cantSplit/>
          <w:trHeight w:hRule="atLeast"/>
        </w:trPr>
        <w:tc>
          <w:tcPr>
            <w:tcW w:type="dxa" w:w="1361"/>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T_h</w:t>
            </w:r>
          </w:p>
        </w:tc>
        <w:tc>
          <w:tcPr>
            <w:tcW w:type="dxa" w:w="2381"/>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Time/order index</w:t>
            </w:r>
          </w:p>
        </w:tc>
        <w:tc>
          <w:tcPr>
            <w:tcW w:type="dxa" w:w="5896"/>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Время или порядок фиксаций; структура объявляется в Dom.</w:t>
            </w:r>
          </w:p>
        </w:tc>
      </w:tr>
      <w:tr>
        <w:trPr>
          <w:cantSplit/>
          <w:trHeight w:hRule="atLeast"/>
        </w:trPr>
        <w:tc>
          <w:tcPr>
            <w:tcW w:type="dxa" w:w="1361"/>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E_h</w:t>
            </w:r>
          </w:p>
        </w:tc>
        <w:tc>
          <w:tcPr>
            <w:tcW w:type="dxa" w:w="2381"/>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Event token</w:t>
            </w:r>
          </w:p>
        </w:tc>
        <w:tc>
          <w:tcPr>
            <w:tcW w:type="dxa" w:w="5896"/>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Событие с уникальным локатором и provenance.</w:t>
            </w:r>
          </w:p>
        </w:tc>
      </w:tr>
      <w:tr>
        <w:trPr>
          <w:cantSplit/>
          <w:trHeight w:hRule="atLeast"/>
        </w:trPr>
        <w:tc>
          <w:tcPr>
            <w:tcW w:type="dxa" w:w="1361"/>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S_h</w:t>
            </w:r>
          </w:p>
        </w:tc>
        <w:tc>
          <w:tcPr>
            <w:tcW w:type="dxa" w:w="2381"/>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State record</w:t>
            </w:r>
          </w:p>
        </w:tc>
        <w:tc>
          <w:tcPr>
            <w:tcW w:type="dxa" w:w="5896"/>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Телесные, ситуационные, языковые, исторические и мнемические поля; допускает неизвестные значения.</w:t>
            </w:r>
          </w:p>
        </w:tc>
      </w:tr>
      <w:tr>
        <w:trPr>
          <w:cantSplit/>
          <w:trHeight w:hRule="atLeast"/>
        </w:trPr>
        <w:tc>
          <w:tcPr>
            <w:tcW w:type="dxa" w:w="1361"/>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W_h</w:t>
            </w:r>
          </w:p>
        </w:tc>
        <w:tc>
          <w:tcPr>
            <w:tcW w:type="dxa" w:w="2381"/>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Witness packet</w:t>
            </w:r>
          </w:p>
        </w:tc>
        <w:tc>
          <w:tcPr>
            <w:tcW w:type="dxa" w:w="5896"/>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self/other/document/instrument + claim + source + status.</w:t>
            </w:r>
          </w:p>
        </w:tc>
      </w:tr>
      <w:tr>
        <w:trPr>
          <w:cantSplit/>
          <w:trHeight w:hRule="atLeast"/>
        </w:trPr>
        <w:tc>
          <w:tcPr>
            <w:tcW w:type="dxa" w:w="1361"/>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H_h</w:t>
            </w:r>
          </w:p>
        </w:tc>
        <w:tc>
          <w:tcPr>
            <w:tcW w:type="dxa" w:w="2381"/>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Horizon</w:t>
            </w:r>
          </w:p>
        </w:tc>
        <w:tc>
          <w:tcPr>
            <w:tcW w:type="dxa" w:w="5896"/>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Множество допустимых альтернатив при заданных пределах.</w:t>
            </w:r>
          </w:p>
        </w:tc>
      </w:tr>
      <w:tr>
        <w:trPr>
          <w:cantSplit/>
          <w:trHeight w:hRule="atLeast"/>
        </w:trPr>
        <w:tc>
          <w:tcPr>
            <w:tcW w:type="dxa" w:w="1361"/>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D_h</w:t>
            </w:r>
          </w:p>
        </w:tc>
        <w:tc>
          <w:tcPr>
            <w:tcW w:type="dxa" w:w="2381"/>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Foundation graph</w:t>
            </w:r>
          </w:p>
        </w:tc>
        <w:tc>
          <w:tcPr>
            <w:tcW w:type="dxa" w:w="5896"/>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Типизированный граф источников, свидетельств, правил и конфликтов.</w:t>
            </w:r>
          </w:p>
        </w:tc>
      </w:tr>
      <w:tr>
        <w:trPr>
          <w:cantSplit/>
          <w:trHeight w:hRule="atLeast"/>
        </w:trPr>
        <w:tc>
          <w:tcPr>
            <w:tcW w:type="dxa" w:w="1361"/>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L_h</w:t>
            </w:r>
          </w:p>
        </w:tc>
        <w:tc>
          <w:tcPr>
            <w:tcW w:type="dxa" w:w="2381"/>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Limit profile</w:t>
            </w:r>
          </w:p>
        </w:tc>
        <w:tc>
          <w:tcPr>
            <w:tcW w:type="dxa" w:w="5896"/>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Локальная проекция наследуемых пределов и дополнительных телесных/языковых ограничений.</w:t>
            </w:r>
          </w:p>
        </w:tc>
      </w:tr>
      <w:tr>
        <w:trPr>
          <w:cantSplit/>
          <w:trHeight w:hRule="atLeast"/>
        </w:trPr>
        <w:tc>
          <w:tcPr>
            <w:tcW w:type="dxa" w:w="1361"/>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Σ_h</w:t>
            </w:r>
          </w:p>
        </w:tc>
        <w:tc>
          <w:tcPr>
            <w:tcW w:type="dxa" w:w="2381"/>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Status vector</w:t>
            </w:r>
          </w:p>
        </w:tc>
        <w:tc>
          <w:tcPr>
            <w:tcW w:type="dxa" w:w="5896"/>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Независимые formal/historical/phenomenological/empirical/ethical/legal каналы.</w:t>
            </w:r>
          </w:p>
        </w:tc>
      </w:tr>
      <w:tr>
        <w:trPr>
          <w:cantSplit/>
          <w:trHeight w:hRule="atLeast"/>
        </w:trPr>
        <w:tc>
          <w:tcPr>
            <w:tcW w:type="dxa" w:w="1361"/>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M_h</w:t>
            </w:r>
          </w:p>
        </w:tc>
        <w:tc>
          <w:tcPr>
            <w:tcW w:type="dxa" w:w="2381"/>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Memory record</w:t>
            </w:r>
          </w:p>
        </w:tc>
        <w:tc>
          <w:tcPr>
            <w:tcW w:type="dxa" w:w="5896"/>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Версионированная запись реконструкции, а не тождество самому прошлому.</w:t>
            </w:r>
          </w:p>
        </w:tc>
      </w:tr>
      <w:tr>
        <w:trPr>
          <w:cantSplit/>
          <w:trHeight w:hRule="atLeast"/>
        </w:trPr>
        <w:tc>
          <w:tcPr>
            <w:tcW w:type="dxa" w:w="1361"/>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AAct_h</w:t>
            </w:r>
          </w:p>
        </w:tc>
        <w:tc>
          <w:tcPr>
            <w:tcW w:type="dxa" w:w="2381"/>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Act token</w:t>
            </w:r>
          </w:p>
        </w:tc>
        <w:tc>
          <w:tcPr>
            <w:tcW w:type="dxa" w:w="5896"/>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Результат Δ_h: начатое действие вместе с исходным состоянием и основанием.</w:t>
            </w:r>
          </w:p>
        </w:tc>
      </w:tr>
      <w:tr>
        <w:trPr>
          <w:cantSplit/>
          <w:trHeight w:hRule="atLeast"/>
        </w:trPr>
        <w:tc>
          <w:tcPr>
            <w:tcW w:type="dxa" w:w="1361"/>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Path_h</w:t>
            </w:r>
          </w:p>
        </w:tc>
        <w:tc>
          <w:tcPr>
            <w:tcW w:type="dxa" w:w="2381"/>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State trajectory</w:t>
            </w:r>
          </w:p>
        </w:tc>
        <w:tc>
          <w:tcPr>
            <w:tcW w:type="dxa" w:w="5896"/>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Конечная или параметризованная последовательность состояний для Ξ_h.</w:t>
            </w:r>
          </w:p>
        </w:tc>
      </w:tr>
    </w:tbl>
    <w:p>
      <w:pPr>
        <w:widowControl/>
        <w:spacing w:after="20"/>
      </w:pPr>
    </w:p>
    <w:p>
      <w:pPr>
        <w:pStyle w:val="Heading2"/>
        <w:keepNext/>
        <w:pageBreakBefore w:val="0"/>
        <w:widowControl/>
        <w:spacing w:before="140" w:after="100"/>
      </w:pPr>
      <w:r>
        <w:rPr>
          <w:rFonts w:ascii="DejaVu Sans" w:hAnsi="DejaVu Sans" w:eastAsia="DejaVu Sans"/>
          <w:b/>
          <w:color w:val="214D7A"/>
          <w:sz w:val="26"/>
        </w:rPr>
        <w:t>2.3. Граф достаточного основания</w:t>
      </w:r>
    </w:p>
    <w:p>
      <w:pPr>
        <w:keepLines w:val="0"/>
        <w:widowControl/>
        <w:spacing w:after="80" w:before="0" w:line="269" w:lineRule="auto"/>
        <w:ind w:firstLine="425"/>
        <w:jc w:val="both"/>
      </w:pPr>
      <w:r>
        <w:rPr>
          <w:rFonts w:ascii="DejaVu Serif" w:hAnsi="DejaVu Serif" w:eastAsia="DejaVu Serif"/>
          <w:i w:val="0"/>
          <w:color w:val="1A2433"/>
          <w:sz w:val="21"/>
        </w:rPr>
        <w:t>D_h моделируется конечным типизированным ориентированным мультиграфом D=(V_D,E_D,τ_D,src_D). Вершины представляют источники, утверждения, документы, свидетельства и правила; рёбра — отношения поддержки, противоречия, цитирования, происхождения и замены версии. Наличие D не означает истинность: оно означает, что путь основания явен и доступен аудиту.</w:t>
      </w: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ValidD_Ω(D) = Typed(D) ∧ Traceable(D) ∧ MandatoryConflictsExposed(D)</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T4-F012</w:t>
              <w:br/>
              <w:t>MODEL DEF</w:t>
            </w:r>
          </w:p>
        </w:tc>
      </w:tr>
    </w:tbl>
    <w:p>
      <w:pPr>
        <w:widowControl/>
        <w:spacing w:after="0"/>
      </w:pPr>
    </w:p>
    <w:p>
      <w:pPr>
        <w:keepLines w:val="0"/>
        <w:widowControl/>
        <w:spacing w:after="80" w:before="0" w:line="269" w:lineRule="auto"/>
        <w:ind w:firstLine="425"/>
        <w:jc w:val="both"/>
      </w:pPr>
      <w:r>
        <w:rPr>
          <w:rFonts w:ascii="DejaVu Serif" w:hAnsi="DejaVu Serif" w:eastAsia="DejaVu Serif"/>
          <w:i w:val="0"/>
          <w:color w:val="1A2433"/>
          <w:sz w:val="21"/>
        </w:rPr>
        <w:t>Перенос основания из другого домена требует явного переводящего моста. В противном случае возникает foreign-D:</w:t>
      </w: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foreignD_Ω(D′) ⇔ D′∈D_{Ω′} ∧ ¬∃τ_{Ω′→Ω} admissible</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T4-F013</w:t>
              <w:br/>
              <w:t>DEF</w:t>
            </w:r>
          </w:p>
        </w:tc>
      </w:tr>
    </w:tbl>
    <w:p>
      <w:pPr>
        <w:widowControl/>
        <w:spacing w:after="0"/>
      </w:pPr>
    </w:p>
    <w:p>
      <w:pPr>
        <w:pStyle w:val="Heading2"/>
        <w:keepNext/>
        <w:pageBreakBefore w:val="0"/>
        <w:widowControl/>
        <w:spacing w:before="140" w:after="100"/>
      </w:pPr>
      <w:r>
        <w:rPr>
          <w:rFonts w:ascii="DejaVu Sans" w:hAnsi="DejaVu Sans" w:eastAsia="DejaVu Sans"/>
          <w:b/>
          <w:color w:val="214D7A"/>
          <w:sz w:val="26"/>
        </w:rPr>
        <w:t>2.4. Категория частичных антропологических переходов</w:t>
      </w:r>
    </w:p>
    <w:p>
      <w:pPr>
        <w:keepLines w:val="0"/>
        <w:widowControl/>
        <w:spacing w:after="80" w:before="0" w:line="269" w:lineRule="auto"/>
        <w:ind w:firstLine="425"/>
        <w:jc w:val="both"/>
      </w:pPr>
      <w:r>
        <w:rPr>
          <w:rFonts w:ascii="DejaVu Serif" w:hAnsi="DejaVu Serif" w:eastAsia="DejaVu Serif"/>
          <w:i w:val="0"/>
          <w:color w:val="1A2433"/>
          <w:sz w:val="21"/>
        </w:rPr>
        <w:t>Пусть X и Y — типизированные множества записей внутри Ω_h. Частичное отображение f:X⇀Y задаётся парой (Dom(f), f~), где Dom(f)⊆X и f~:Dom(f)→Y — обычная функция. Композиция определяется только для тех x, для которых x∈Dom(f) и f(x)∈Dom(g):</w:t>
      </w: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Dom(g∘f) = {x∈Dom(f) : f(x)∈Dom(g)}</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T4-F014</w:t>
              <w:br/>
              <w:t>DEF</w:t>
            </w:r>
          </w:p>
        </w:tc>
      </w:tr>
    </w:tbl>
    <w:p>
      <w:pPr>
        <w:widowControl/>
        <w:spacing w:after="0"/>
      </w:pP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(g∘f)(x) = g(f(x)),  x∈Dom(g∘f)</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T4-F015</w:t>
              <w:br/>
              <w:t>DEF</w:t>
            </w:r>
          </w:p>
        </w:tc>
      </w:tr>
    </w:tbl>
    <w:p>
      <w:pPr>
        <w:widowControl/>
        <w:spacing w:after="0"/>
      </w:pPr>
    </w:p>
    <w:p>
      <w:pPr>
        <w:keepLines w:val="0"/>
        <w:widowControl/>
        <w:spacing w:after="80" w:before="0" w:line="269" w:lineRule="auto"/>
        <w:ind w:firstLine="425"/>
        <w:jc w:val="both"/>
      </w:pPr>
      <w:r>
        <w:rPr>
          <w:rFonts w:ascii="DejaVu Serif" w:hAnsi="DejaVu Serif" w:eastAsia="DejaVu Serif"/>
          <w:i w:val="0"/>
          <w:color w:val="1A2433"/>
          <w:sz w:val="21"/>
        </w:rPr>
        <w:t>Объекты и частичные отображения образуют категорию AnthPar_Ω. Единицей является тождественное отображение id_X с Dom(id_X)=X. Эта конструкция не претендует на новизну теории частичных отображений; авторской является её роль в типизированной антропологии Human_R.</w:t>
      </w:r>
    </w:p>
    <w:tbl>
      <w:tblPr>
        <w:tblW w:type="auto" w:w="0"/>
        <w:jc w:val="center"/>
        <w:tblLayout w:type="fixed"/>
        <w:tblLook w:firstColumn="1" w:firstRow="1" w:lastColumn="0" w:lastRow="0" w:noHBand="0" w:noVBand="1" w:val="04A0"/>
      </w:tblPr>
      <w:tblGrid>
        <w:gridCol w:w="9638"/>
      </w:tblGrid>
      <w:tr>
        <w:trPr>
          <w:cantSplit/>
          <w:trHeight w:hRule="atLeast"/>
          <w:tblHeader w:val="true"/>
        </w:trPr>
        <w:tc>
          <w:tcPr>
            <w:tcW w:type="dxa" w:w="9865"/>
            <w:shd w:fill="F7F0DA"/>
            <w:tcMar>
              <w:top w:w="90" w:type="dxa"/>
              <w:start w:w="100" w:type="dxa"/>
              <w:bottom w:w="90" w:type="dxa"/>
              <w:end w:w="100" w:type="dxa"/>
            </w:tcMar>
            <w:vAlign w:val="center"/>
          </w:tcPr>
          <w:p>
            <w:pPr>
              <w:keepLines/>
              <w:widowControl/>
              <w:spacing w:after="0" w:line="259" w:lineRule="auto"/>
            </w:pPr>
            <w:r>
              <w:rPr>
                <w:rFonts w:ascii="DejaVu Sans" w:hAnsi="DejaVu Sans" w:eastAsia="DejaVu Sans"/>
                <w:b/>
                <w:color w:val="A97814"/>
                <w:sz w:val="20"/>
              </w:rPr>
              <w:t xml:space="preserve">ТЕОРЕМА T4.2.1 [THM-FORMAL]. </w:t>
            </w:r>
            <w:r>
              <w:rPr>
                <w:rFonts w:ascii="DejaVu Serif" w:hAnsi="DejaVu Serif" w:eastAsia="DejaVu Serif"/>
                <w:color w:val="1A2433"/>
                <w:sz w:val="20"/>
              </w:rPr>
              <w:t>Композиция частичных отображений в AnthPar_Ω ассоциативна, а id_X является левым и правым тождеством.</w:t>
            </w:r>
          </w:p>
        </w:tc>
      </w:tr>
    </w:tbl>
    <w:p>
      <w:pPr>
        <w:widowControl/>
        <w:spacing w:after="0"/>
      </w:pPr>
    </w:p>
    <w:p>
      <w:pPr>
        <w:keepLines w:val="0"/>
        <w:widowControl/>
        <w:spacing w:after="80" w:before="0" w:line="269" w:lineRule="auto"/>
        <w:ind w:firstLine="425"/>
        <w:jc w:val="both"/>
      </w:pPr>
      <w:r>
        <w:rPr>
          <w:rFonts w:ascii="DejaVu Serif" w:hAnsi="DejaVu Serif" w:eastAsia="DejaVu Serif"/>
          <w:i w:val="0"/>
          <w:color w:val="1A2433"/>
          <w:sz w:val="21"/>
        </w:rPr>
        <w:t>Доказательство. Для f:X⇀Y, g:Y⇀Z, h:Z⇀Q области определения (h∘g)∘f и h∘(g∘f) состоят из одних и тех же x: x∈Dom(f), f(x)∈Dom(g), g(f(x))∈Dom(h). Значения обеих композиций равны h(g(f(x))). Свойства тождества следуют непосредственно из Dom(id_X)=X. □</w:t>
      </w:r>
    </w:p>
    <w:p>
      <w:pPr>
        <w:pStyle w:val="Heading2"/>
        <w:keepNext/>
        <w:pageBreakBefore w:val="0"/>
        <w:widowControl/>
        <w:spacing w:before="140" w:after="100"/>
      </w:pPr>
      <w:r>
        <w:rPr>
          <w:rFonts w:ascii="DejaVu Sans" w:hAnsi="DejaVu Sans" w:eastAsia="DejaVu Sans"/>
          <w:b/>
          <w:color w:val="214D7A"/>
          <w:sz w:val="26"/>
        </w:rPr>
        <w:t>2.5. Totalization и коды отказа</w:t>
      </w:r>
    </w:p>
    <w:p>
      <w:pPr>
        <w:keepLines w:val="0"/>
        <w:widowControl/>
        <w:spacing w:after="80" w:before="0" w:line="269" w:lineRule="auto"/>
        <w:ind w:firstLine="425"/>
        <w:jc w:val="both"/>
      </w:pPr>
      <w:r>
        <w:rPr>
          <w:rFonts w:ascii="DejaVu Serif" w:hAnsi="DejaVu Serif" w:eastAsia="DejaVu Serif"/>
          <w:i w:val="0"/>
          <w:color w:val="1A2433"/>
          <w:sz w:val="21"/>
        </w:rPr>
        <w:t>Для вычислительного слоя частичная функция totalize-ится добавлением специального значения ⊥. Оно означает отсутствие разрешённого вывода, а не отрицательный ответ о человеке:</w:t>
      </w: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f̂(x) = f(x), если x∈Dom(f);  f̂(x)=⊥_b, иначе</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T4-F016</w:t>
              <w:br/>
              <w:t>DEF</w:t>
            </w:r>
          </w:p>
        </w:tc>
      </w:tr>
    </w:tbl>
    <w:p>
      <w:pPr>
        <w:widowControl/>
        <w:spacing w:after="0"/>
      </w:pPr>
    </w:p>
    <w:tbl>
      <w:tblPr>
        <w:tblStyle w:val="TableGrid"/>
        <w:tblW w:type="auto" w:w="0"/>
        <w:jc w:val="center"/>
        <w:tblLayout w:type="fixed"/>
        <w:tblLook w:firstColumn="1" w:firstRow="1" w:lastColumn="0" w:lastRow="0" w:noHBand="0" w:noVBand="1" w:val="04A0"/>
      </w:tblPr>
      <w:tblGrid>
        <w:gridCol w:w="2551"/>
        <w:gridCol w:w="7087"/>
      </w:tblGrid>
      <w:tr>
        <w:trPr>
          <w:trHeight w:hRule="atLeast"/>
          <w:tblHeader w:val="true"/>
          <w:cantSplit/>
        </w:trPr>
        <w:tc>
          <w:tcPr>
            <w:tcW w:type="dxa" w:w="4932"/>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Код</w:t>
            </w:r>
          </w:p>
        </w:tc>
        <w:tc>
          <w:tcPr>
            <w:tcW w:type="dxa" w:w="4932"/>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Причина</w:t>
            </w:r>
          </w:p>
        </w:tc>
      </w:tr>
      <w:tr>
        <w:trPr>
          <w:cantSplit/>
          <w:trHeight w:hRule="atLeast"/>
        </w:trPr>
        <w:tc>
          <w:tcPr>
            <w:tcW w:type="dxa" w:w="2551"/>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8"/>
              </w:rPr>
              <w:t>ABSTAIN-TYPE</w:t>
            </w:r>
          </w:p>
        </w:tc>
        <w:tc>
          <w:tcPr>
            <w:tcW w:type="dxa" w:w="7087"/>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8"/>
              </w:rPr>
              <w:t>не совпадают типы входа и выхода</w:t>
            </w:r>
          </w:p>
        </w:tc>
      </w:tr>
      <w:tr>
        <w:trPr>
          <w:cantSplit/>
          <w:trHeight w:hRule="atLeast"/>
        </w:trPr>
        <w:tc>
          <w:tcPr>
            <w:tcW w:type="dxa" w:w="2551"/>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8"/>
              </w:rPr>
              <w:t>ABSTAIN-DOMAIN</w:t>
            </w:r>
          </w:p>
        </w:tc>
        <w:tc>
          <w:tcPr>
            <w:tcW w:type="dxa" w:w="7087"/>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8"/>
              </w:rPr>
              <w:t>вход не принадлежит объявленной области</w:t>
            </w:r>
          </w:p>
        </w:tc>
      </w:tr>
      <w:tr>
        <w:trPr>
          <w:cantSplit/>
          <w:trHeight w:hRule="atLeast"/>
        </w:trPr>
        <w:tc>
          <w:tcPr>
            <w:tcW w:type="dxa" w:w="2551"/>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8"/>
              </w:rPr>
              <w:t>ABSTAIN-D</w:t>
            </w:r>
          </w:p>
        </w:tc>
        <w:tc>
          <w:tcPr>
            <w:tcW w:type="dxa" w:w="7087"/>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8"/>
              </w:rPr>
              <w:t>D отсутствует, не трассируется или содержит незакрытый обязательный конфликт</w:t>
            </w:r>
          </w:p>
        </w:tc>
      </w:tr>
      <w:tr>
        <w:trPr>
          <w:cantSplit/>
          <w:trHeight w:hRule="atLeast"/>
        </w:trPr>
        <w:tc>
          <w:tcPr>
            <w:tcW w:type="dxa" w:w="2551"/>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8"/>
              </w:rPr>
              <w:t>ABSTAIN-WITNESS</w:t>
            </w:r>
          </w:p>
        </w:tc>
        <w:tc>
          <w:tcPr>
            <w:tcW w:type="dxa" w:w="7087"/>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8"/>
              </w:rPr>
              <w:t>свидетельство обязательно, но отсутствует</w:t>
            </w:r>
          </w:p>
        </w:tc>
      </w:tr>
      <w:tr>
        <w:trPr>
          <w:cantSplit/>
          <w:trHeight w:hRule="atLeast"/>
        </w:trPr>
        <w:tc>
          <w:tcPr>
            <w:tcW w:type="dxa" w:w="2551"/>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8"/>
              </w:rPr>
              <w:t>ABSTAIN-CONFLICT</w:t>
            </w:r>
          </w:p>
        </w:tc>
        <w:tc>
          <w:tcPr>
            <w:tcW w:type="dxa" w:w="7087"/>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8"/>
              </w:rPr>
              <w:t>несовместимые свидетельства не разрешены правилами домена</w:t>
            </w:r>
          </w:p>
        </w:tc>
      </w:tr>
      <w:tr>
        <w:trPr>
          <w:cantSplit/>
          <w:trHeight w:hRule="atLeast"/>
        </w:trPr>
        <w:tc>
          <w:tcPr>
            <w:tcW w:type="dxa" w:w="2551"/>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8"/>
              </w:rPr>
              <w:t>ABSTAIN-LAMBDA</w:t>
            </w:r>
          </w:p>
        </w:tc>
        <w:tc>
          <w:tcPr>
            <w:tcW w:type="dxa" w:w="7087"/>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8"/>
              </w:rPr>
              <w:t>нет проектного кодирования или нарушены условия cross-ratio</w:t>
            </w:r>
          </w:p>
        </w:tc>
      </w:tr>
      <w:tr>
        <w:trPr>
          <w:cantSplit/>
          <w:trHeight w:hRule="atLeast"/>
        </w:trPr>
        <w:tc>
          <w:tcPr>
            <w:tcW w:type="dxa" w:w="2551"/>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8"/>
              </w:rPr>
              <w:t>ABSTAIN-STATUS</w:t>
            </w:r>
          </w:p>
        </w:tc>
        <w:tc>
          <w:tcPr>
            <w:tcW w:type="dxa" w:w="7087"/>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8"/>
              </w:rPr>
              <w:t>обязательные статусные каналы несравнимы или отсутствуют</w:t>
            </w:r>
          </w:p>
        </w:tc>
      </w:tr>
    </w:tbl>
    <w:p>
      <w:pPr>
        <w:widowControl/>
        <w:spacing w:after="20"/>
      </w:pPr>
    </w:p>
    <w:tbl>
      <w:tblPr>
        <w:tblW w:type="auto" w:w="0"/>
        <w:jc w:val="center"/>
        <w:tblLayout w:type="fixed"/>
        <w:tblLook w:firstColumn="1" w:firstRow="1" w:lastColumn="0" w:lastRow="0" w:noHBand="0" w:noVBand="1" w:val="04A0"/>
      </w:tblPr>
      <w:tblGrid>
        <w:gridCol w:w="9638"/>
      </w:tblGrid>
      <w:tr>
        <w:trPr>
          <w:cantSplit/>
          <w:trHeight w:hRule="atLeast"/>
          <w:tblHeader w:val="true"/>
        </w:trPr>
        <w:tc>
          <w:tcPr>
            <w:tcW w:type="dxa" w:w="9865"/>
            <w:shd w:fill="EAF4EF"/>
            <w:tcMar>
              <w:top w:w="90" w:type="dxa"/>
              <w:start w:w="100" w:type="dxa"/>
              <w:bottom w:w="90" w:type="dxa"/>
              <w:end w:w="100" w:type="dxa"/>
            </w:tcMar>
            <w:vAlign w:val="center"/>
          </w:tcPr>
          <w:p>
            <w:pPr>
              <w:keepLines/>
              <w:widowControl/>
              <w:spacing w:after="0" w:line="259" w:lineRule="auto"/>
            </w:pPr>
            <w:r>
              <w:rPr>
                <w:rFonts w:ascii="DejaVu Sans" w:hAnsi="DejaVu Sans" w:eastAsia="DejaVu Sans"/>
                <w:b/>
                <w:color w:val="2F6B52"/>
                <w:sz w:val="20"/>
              </w:rPr>
              <w:t xml:space="preserve">РЕЗУЛЬТАТ ГЛАВЫ 2. </w:t>
            </w:r>
            <w:r>
              <w:rPr>
                <w:rFonts w:ascii="DejaVu Serif" w:hAnsi="DejaVu Serif" w:eastAsia="DejaVu Serif"/>
                <w:color w:val="1A2433"/>
                <w:sz w:val="20"/>
              </w:rPr>
              <w:t>T4-PO-005 и формальная часть T4-PO-007 закрыты: введена категория AnthPar_Ω, доказана ассоциативность частичной композиции и зафиксированы коды ABSTAIN. Это не закрывает эмпирические или этические мосты.</w:t>
            </w:r>
          </w:p>
        </w:tc>
      </w:tr>
    </w:tbl>
    <w:p>
      <w:pPr>
        <w:widowControl/>
        <w:spacing w:after="0"/>
      </w:pPr>
    </w:p>
    <w:p>
      <w:bookmarkStart w:id="109" w:name="ch3"/>
      <w:pPr>
        <w:pStyle w:val="Heading1"/>
        <w:keepNext/>
        <w:pageBreakBefore/>
        <w:widowControl/>
        <w:spacing w:before="200" w:after="100"/>
      </w:pPr>
      <w:r>
        <w:rPr>
          <w:rFonts w:ascii="DejaVu Sans" w:hAnsi="DejaVu Sans" w:eastAsia="DejaVu Sans"/>
          <w:b/>
          <w:color w:val="173A61"/>
          <w:sz w:val="35"/>
        </w:rPr>
        <w:t>Глава 3. Человек как событие@состояние</w:t>
      </w:r>
      <w:bookmarkEnd w:id="109"/>
    </w:p>
    <w:p>
      <w:pPr>
        <w:widowControl/>
        <w:spacing w:after="140"/>
      </w:pPr>
      <w:r>
        <w:rPr>
          <w:i/>
          <w:color w:val="8B6508"/>
        </w:rPr>
        <w:t>Человек встречает мир уже разделённым на события и состояния, но сам способен инициировать новые ветви действия. Эта способность не ставит его вне мировой функции: свобода начинания возникает внутри поля изменений и становится реальной лишь тогда, когда создаёт устойчивое C@C. Антропология Тома IV исследует не исключение человека из причинности, а его участие в порождении локальных причинных связностей.</w:t>
      </w:r>
    </w:p>
    <w:p>
      <w:pPr>
        <w:widowControl/>
        <w:spacing w:after="40"/>
      </w:pPr>
      <w:r>
        <w:rPr>
          <w:b/>
          <w:color w:val="17345F"/>
        </w:rPr>
        <w:t>ФИЛОСОФСКОЕ ВВЕДЕНИЕ К ГЛАВЕ 3</w:t>
      </w:r>
    </w:p>
    <w:p>
      <w:pPr>
        <w:pStyle w:val="Heading2"/>
        <w:keepNext/>
        <w:pageBreakBefore w:val="0"/>
        <w:widowControl/>
        <w:spacing w:before="140" w:after="100"/>
      </w:pPr>
      <w:r>
        <w:rPr>
          <w:rFonts w:ascii="DejaVu Sans" w:hAnsi="DejaVu Sans" w:eastAsia="DejaVu Sans"/>
          <w:b/>
          <w:color w:val="214D7A"/>
          <w:sz w:val="26"/>
        </w:rPr>
        <w:t>3.1. Минимальное ядро</w:t>
      </w:r>
    </w:p>
    <w:p>
      <w:pPr>
        <w:keepLines w:val="0"/>
        <w:widowControl/>
        <w:spacing w:after="80" w:before="0" w:line="269" w:lineRule="auto"/>
        <w:ind w:firstLine="425"/>
        <w:jc w:val="both"/>
      </w:pPr>
      <w:r>
        <w:rPr>
          <w:rFonts w:ascii="DejaVu Serif" w:hAnsi="DejaVu Serif" w:eastAsia="DejaVu Serif"/>
          <w:i w:val="0"/>
          <w:color w:val="1A2433"/>
          <w:sz w:val="21"/>
        </w:rPr>
        <w:t>Legacy-корпус записывал C@C_human=(event,state). T4-CORE-v0.2 сохраняет эту минимальную формулу и отделяет её от расширений. Для данного Ω_h вводится множество совместимых пар:</w:t>
      </w: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C@C_h^0(Ω) = {(e,s)∈E_h×S_h : Comp_Ω(e,s)=1}</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T4-F017</w:t>
              <w:br/>
              <w:t>DEF</w:t>
            </w:r>
          </w:p>
        </w:tc>
      </w:tr>
    </w:tbl>
    <w:p>
      <w:pPr>
        <w:widowControl/>
        <w:spacing w:after="0"/>
      </w:pPr>
    </w:p>
    <w:p>
      <w:pPr>
        <w:keepLines w:val="0"/>
        <w:widowControl/>
        <w:spacing w:after="80" w:before="0" w:line="269" w:lineRule="auto"/>
        <w:ind w:firstLine="425"/>
        <w:jc w:val="both"/>
      </w:pPr>
      <w:r>
        <w:rPr>
          <w:rFonts w:ascii="DejaVu Serif" w:hAnsi="DejaVu Serif" w:eastAsia="DejaVu Serif"/>
          <w:i w:val="0"/>
          <w:color w:val="1A2433"/>
          <w:sz w:val="21"/>
        </w:rPr>
        <w:t>Состояние s не обязано быть полностью наблюдаемым. Оно может содержать неизвестные или интервальные поля. Требование Comp_Ω означает только, что событие и состояние относятся к одному объявленному контексту и их объединение не нарушает типовой контракт.</w:t>
      </w:r>
    </w:p>
    <w:p>
      <w:pPr>
        <w:pStyle w:val="Heading2"/>
        <w:keepNext/>
        <w:pageBreakBefore w:val="0"/>
        <w:widowControl/>
        <w:spacing w:before="140" w:after="100"/>
      </w:pPr>
      <w:r>
        <w:rPr>
          <w:rFonts w:ascii="DejaVu Sans" w:hAnsi="DejaVu Sans" w:eastAsia="DejaVu Sans"/>
          <w:b/>
          <w:color w:val="214D7A"/>
          <w:sz w:val="26"/>
        </w:rPr>
        <w:t>3.2. Свидетельственно-контекстуальное декорирование</w:t>
      </w:r>
    </w:p>
    <w:p>
      <w:pPr>
        <w:keepLines w:val="0"/>
        <w:widowControl/>
        <w:spacing w:after="80" w:before="0" w:line="269" w:lineRule="auto"/>
        <w:ind w:firstLine="425"/>
        <w:jc w:val="both"/>
      </w:pPr>
      <w:r>
        <w:rPr>
          <w:rFonts w:ascii="DejaVu Serif" w:hAnsi="DejaVu Serif" w:eastAsia="DejaVu Serif"/>
          <w:i w:val="0"/>
          <w:color w:val="1A2433"/>
          <w:sz w:val="21"/>
        </w:rPr>
        <w:t>Для исторической, феноменологической и документарной работы к ядру присоединяются свидетельство w и горизонт h. Они не переписывают ядро, а образуют декорированный пакет:</w:t>
      </w: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C@C~_h(Ω) = (e,s; w,h; D,L,σ)</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T4-F018</w:t>
              <w:br/>
              <w:t>MODEL DEF</w:t>
            </w:r>
          </w:p>
        </w:tc>
      </w:tr>
    </w:tbl>
    <w:p>
      <w:pPr>
        <w:widowControl/>
        <w:spacing w:after="0"/>
      </w:pPr>
    </w:p>
    <w:p>
      <w:pPr>
        <w:keepLines w:val="0"/>
        <w:widowControl/>
        <w:spacing w:after="80" w:before="0" w:line="269" w:lineRule="auto"/>
        <w:ind w:firstLine="425"/>
        <w:jc w:val="both"/>
      </w:pPr>
      <w:r>
        <w:rPr>
          <w:rFonts w:ascii="DejaVu Serif" w:hAnsi="DejaVu Serif" w:eastAsia="DejaVu Serif"/>
          <w:i w:val="0"/>
          <w:color w:val="1A2433"/>
          <w:sz w:val="21"/>
        </w:rPr>
        <w:t>w может принадлежать типу self, other, document или instrument. h задаёт множество альтернатив, доступных или мыслимых в данном состоянии при профиле пределов L. Отсутствие w не уничтожает событие, но ограничивает возможный исторический или юридический статус. Отсутствие h запрещает вывод о свободном выборе или доступных возможностях.</w:t>
      </w:r>
    </w:p>
    <w:p>
      <w:pPr>
        <w:pStyle w:val="Heading2"/>
        <w:keepNext/>
        <w:pageBreakBefore w:val="0"/>
        <w:widowControl/>
        <w:spacing w:before="140" w:after="100"/>
      </w:pPr>
      <w:r>
        <w:rPr>
          <w:rFonts w:ascii="DejaVu Sans" w:hAnsi="DejaVu Sans" w:eastAsia="DejaVu Sans"/>
          <w:b/>
          <w:color w:val="214D7A"/>
          <w:sz w:val="26"/>
        </w:rPr>
        <w:t>3.3. Предикат допустимости</w:t>
      </w: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Adm_Ω(e,s,w,h,D,L,σ)=Comp(e,s)∧Typed(w,h,D,L,σ)∧Prov(e,s,w,D)</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T4-F019</w:t>
              <w:br/>
              <w:t>DEF</w:t>
            </w:r>
          </w:p>
        </w:tc>
      </w:tr>
    </w:tbl>
    <w:p>
      <w:pPr>
        <w:widowControl/>
        <w:spacing w:after="0"/>
      </w:pPr>
    </w:p>
    <w:p>
      <w:pPr>
        <w:keepLines w:val="0"/>
        <w:widowControl/>
        <w:spacing w:after="80" w:before="0" w:line="269" w:lineRule="auto"/>
        <w:ind w:firstLine="425"/>
        <w:jc w:val="both"/>
      </w:pPr>
      <w:r>
        <w:rPr>
          <w:rFonts w:ascii="DejaVu Serif" w:hAnsi="DejaVu Serif" w:eastAsia="DejaVu Serif"/>
          <w:i w:val="0"/>
          <w:color w:val="1A2433"/>
          <w:sz w:val="21"/>
        </w:rPr>
        <w:t>Если обязательный компонент неизвестен, он маркируется неизвестным значением, а не заполняется предположением. Adm_Ω может оставаться ложным для полного Human_R, хотя ядро C@C_h^0 существует. Это различение предотвращает переход от «событие было зафиксировано» к «намерение, смысл и ответственность установлены».</w:t>
      </w:r>
    </w:p>
    <w:p>
      <w:pPr>
        <w:pStyle w:val="Heading2"/>
        <w:keepNext/>
        <w:pageBreakBefore w:val="0"/>
        <w:widowControl/>
        <w:spacing w:before="140" w:after="100"/>
      </w:pPr>
      <w:r>
        <w:rPr>
          <w:rFonts w:ascii="DejaVu Sans" w:hAnsi="DejaVu Sans" w:eastAsia="DejaVu Sans"/>
          <w:b/>
          <w:color w:val="214D7A"/>
          <w:sz w:val="26"/>
        </w:rPr>
        <w:t>3.4. Пропозиция о недостаточности события без состояния</w:t>
      </w:r>
    </w:p>
    <w:tbl>
      <w:tblPr>
        <w:tblW w:type="auto" w:w="0"/>
        <w:jc w:val="center"/>
        <w:tblLayout w:type="fixed"/>
        <w:tblLook w:firstColumn="1" w:firstRow="1" w:lastColumn="0" w:lastRow="0" w:noHBand="0" w:noVBand="1" w:val="04A0"/>
      </w:tblPr>
      <w:tblGrid>
        <w:gridCol w:w="9638"/>
      </w:tblGrid>
      <w:tr>
        <w:trPr>
          <w:cantSplit/>
          <w:trHeight w:hRule="atLeast"/>
          <w:tblHeader w:val="true"/>
        </w:trPr>
        <w:tc>
          <w:tcPr>
            <w:tcW w:type="dxa" w:w="9865"/>
            <w:shd w:fill="F7F0DA"/>
            <w:tcMar>
              <w:top w:w="90" w:type="dxa"/>
              <w:start w:w="100" w:type="dxa"/>
              <w:bottom w:w="90" w:type="dxa"/>
              <w:end w:w="100" w:type="dxa"/>
            </w:tcMar>
            <w:vAlign w:val="center"/>
          </w:tcPr>
          <w:p>
            <w:pPr>
              <w:keepLines/>
              <w:widowControl/>
              <w:spacing w:after="0" w:line="259" w:lineRule="auto"/>
            </w:pPr>
            <w:r>
              <w:rPr>
                <w:rFonts w:ascii="DejaVu Sans" w:hAnsi="DejaVu Sans" w:eastAsia="DejaVu Sans"/>
                <w:b/>
                <w:color w:val="A97814"/>
                <w:sz w:val="20"/>
              </w:rPr>
              <w:t xml:space="preserve">ПРОПОЗИЦИЯ T4.3.1 [PROP-FORMAL]. </w:t>
            </w:r>
            <w:r>
              <w:rPr>
                <w:rFonts w:ascii="DejaVu Serif" w:hAnsi="DejaVu Serif" w:eastAsia="DejaVu Serif"/>
                <w:color w:val="1A2433"/>
                <w:sz w:val="20"/>
              </w:rPr>
              <w:t>Проекция π_E:C@C_h^0→E_h, π_E(e,s)=e, в общем случае не инъективна. Следовательно, событие e не определяет единственное состояние s без дополнительного основания.</w:t>
            </w:r>
          </w:p>
        </w:tc>
      </w:tr>
    </w:tbl>
    <w:p>
      <w:pPr>
        <w:widowControl/>
        <w:spacing w:after="0"/>
      </w:pPr>
    </w:p>
    <w:p>
      <w:pPr>
        <w:keepLines w:val="0"/>
        <w:widowControl/>
        <w:spacing w:after="80" w:before="0" w:line="269" w:lineRule="auto"/>
        <w:ind w:firstLine="425"/>
        <w:jc w:val="both"/>
      </w:pPr>
      <w:r>
        <w:rPr>
          <w:rFonts w:ascii="DejaVu Serif" w:hAnsi="DejaVu Serif" w:eastAsia="DejaVu Serif"/>
          <w:i w:val="0"/>
          <w:color w:val="1A2433"/>
          <w:sz w:val="21"/>
        </w:rPr>
        <w:t>Доказательство. Возьмём s₁≠s₂, совместимые с одним e. Тогда (e,s₁)≠(e,s₂), но π_E(e,s₁)=π_E(e,s₂)=e. Значит, π_E не инъективна и не имеет обратного отображения на всём образе. □</w:t>
      </w:r>
    </w:p>
    <w:p>
      <w:pPr>
        <w:keepLines w:val="0"/>
        <w:widowControl/>
        <w:spacing w:after="80" w:before="0" w:line="269" w:lineRule="auto"/>
        <w:ind w:firstLine="425"/>
        <w:jc w:val="both"/>
      </w:pPr>
      <w:r>
        <w:rPr>
          <w:rFonts w:ascii="DejaVu Serif" w:hAnsi="DejaVu Serif" w:eastAsia="DejaVu Serif"/>
          <w:i w:val="0"/>
          <w:color w:val="1A2433"/>
          <w:sz w:val="21"/>
        </w:rPr>
        <w:t>Феноменологически это означает: одно и то же внешне описанное событие может входить в разные телесные, языковые, исторические и мотивационные состояния. Формальная пропозиция не выбирает, какое описание истинно; она только запрещает автоматическую реконструкцию состояния по одному событийному токену.</w:t>
      </w:r>
    </w:p>
    <w:p>
      <w:pPr>
        <w:pStyle w:val="Heading2"/>
        <w:keepNext/>
        <w:pageBreakBefore w:val="0"/>
        <w:widowControl/>
        <w:spacing w:before="140" w:after="100"/>
      </w:pPr>
      <w:r>
        <w:rPr>
          <w:rFonts w:ascii="DejaVu Sans" w:hAnsi="DejaVu Sans" w:eastAsia="DejaVu Sans"/>
          <w:b/>
          <w:color w:val="214D7A"/>
          <w:sz w:val="26"/>
        </w:rPr>
        <w:t>3.5. Первые контрмодели</w:t>
      </w:r>
    </w:p>
    <w:tbl>
      <w:tblPr>
        <w:tblStyle w:val="TableGrid"/>
        <w:tblW w:type="auto" w:w="0"/>
        <w:jc w:val="center"/>
        <w:tblLayout w:type="fixed"/>
        <w:tblLook w:firstColumn="1" w:firstRow="1" w:lastColumn="0" w:lastRow="0" w:noHBand="0" w:noVBand="1" w:val="04A0"/>
      </w:tblPr>
      <w:tblGrid>
        <w:gridCol w:w="1134"/>
        <w:gridCol w:w="1757"/>
        <w:gridCol w:w="3515"/>
        <w:gridCol w:w="3231"/>
      </w:tblGrid>
      <w:tr>
        <w:trPr>
          <w:trHeight w:hRule="atLeast"/>
          <w:tblHeader w:val="true"/>
          <w:cantSplit/>
        </w:trPr>
        <w:tc>
          <w:tcPr>
            <w:tcW w:type="dxa" w:w="2466"/>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ID</w:t>
            </w:r>
          </w:p>
        </w:tc>
        <w:tc>
          <w:tcPr>
            <w:tcW w:type="dxa" w:w="2466"/>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Схема</w:t>
            </w:r>
          </w:p>
        </w:tc>
        <w:tc>
          <w:tcPr>
            <w:tcW w:type="dxa" w:w="2466"/>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Конструкция</w:t>
            </w:r>
          </w:p>
        </w:tc>
        <w:tc>
          <w:tcPr>
            <w:tcW w:type="dxa" w:w="2466"/>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Вывод</w:t>
            </w:r>
          </w:p>
        </w:tc>
      </w:tr>
      <w:tr>
        <w:trPr>
          <w:cantSplit/>
          <w:trHeight w:hRule="atLeast"/>
        </w:trPr>
        <w:tc>
          <w:tcPr>
            <w:tcW w:type="dxa" w:w="1134"/>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6"/>
              </w:rPr>
              <w:t>CM-001</w:t>
            </w:r>
          </w:p>
        </w:tc>
        <w:tc>
          <w:tcPr>
            <w:tcW w:type="dxa" w:w="1757"/>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Коллапс события</w:t>
            </w:r>
          </w:p>
        </w:tc>
        <w:tc>
          <w:tcPr>
            <w:tcW w:type="dxa" w:w="3515"/>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e общий, s₁≠s₂; забывание state отождествляет разные C@C.</w:t>
            </w:r>
          </w:p>
        </w:tc>
        <w:tc>
          <w:tcPr>
            <w:tcW w:type="dxa" w:w="3231"/>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Нельзя строить полный Human_R из event-only.</w:t>
            </w:r>
          </w:p>
        </w:tc>
      </w:tr>
      <w:tr>
        <w:trPr>
          <w:cantSplit/>
          <w:trHeight w:hRule="atLeast"/>
        </w:trPr>
        <w:tc>
          <w:tcPr>
            <w:tcW w:type="dxa" w:w="1134"/>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6"/>
              </w:rPr>
              <w:t>CM-002</w:t>
            </w:r>
          </w:p>
        </w:tc>
        <w:tc>
          <w:tcPr>
            <w:tcW w:type="dxa" w:w="1757"/>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Конфликт свидетелей</w:t>
            </w:r>
          </w:p>
        </w:tc>
        <w:tc>
          <w:tcPr>
            <w:tcW w:type="dxa" w:w="3515"/>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w₁ и w₂ дают несовместимые claims, а D не содержит правила приоритета.</w:t>
            </w:r>
          </w:p>
        </w:tc>
        <w:tc>
          <w:tcPr>
            <w:tcW w:type="dxa" w:w="3231"/>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Однозначная реконструкция запрещена; candidates или ABSTAIN-CONFLICT.</w:t>
            </w:r>
          </w:p>
        </w:tc>
      </w:tr>
      <w:tr>
        <w:trPr>
          <w:cantSplit/>
          <w:trHeight w:hRule="atLeast"/>
        </w:trPr>
        <w:tc>
          <w:tcPr>
            <w:tcW w:type="dxa" w:w="1134"/>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6"/>
              </w:rPr>
              <w:t>CM-003</w:t>
            </w:r>
          </w:p>
        </w:tc>
        <w:tc>
          <w:tcPr>
            <w:tcW w:type="dxa" w:w="1757"/>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Коллапс горизонта</w:t>
            </w:r>
          </w:p>
        </w:tc>
        <w:tc>
          <w:tcPr>
            <w:tcW w:type="dxa" w:w="3515"/>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одинаковое наблюдаемое действие при разных множествах доступных альтернатив H₁≠H₂.</w:t>
            </w:r>
          </w:p>
        </w:tc>
        <w:tc>
          <w:tcPr>
            <w:tcW w:type="dxa" w:w="3231"/>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Нельзя выводить выбор и ответственность без horizon/limits.</w:t>
            </w:r>
          </w:p>
        </w:tc>
      </w:tr>
      <w:tr>
        <w:trPr>
          <w:cantSplit/>
          <w:trHeight w:hRule="atLeast"/>
        </w:trPr>
        <w:tc>
          <w:tcPr>
            <w:tcW w:type="dxa" w:w="1134"/>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6"/>
              </w:rPr>
              <w:t>CM-004</w:t>
            </w:r>
          </w:p>
        </w:tc>
        <w:tc>
          <w:tcPr>
            <w:tcW w:type="dxa" w:w="1757"/>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Неполная provenance</w:t>
            </w:r>
          </w:p>
        </w:tc>
        <w:tc>
          <w:tcPr>
            <w:tcW w:type="dxa" w:w="3515"/>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видео существует, но не установлены время, монтаж и источник.</w:t>
            </w:r>
          </w:p>
        </w:tc>
        <w:tc>
          <w:tcPr>
            <w:tcW w:type="dxa" w:w="3231"/>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event token сохраняется, исторический статус не повышается.</w:t>
            </w:r>
          </w:p>
        </w:tc>
      </w:tr>
    </w:tbl>
    <w:p>
      <w:pPr>
        <w:widowControl/>
        <w:spacing w:after="20"/>
      </w:pPr>
    </w:p>
    <w:tbl>
      <w:tblPr>
        <w:tblW w:type="auto" w:w="0"/>
        <w:jc w:val="center"/>
        <w:tblLayout w:type="fixed"/>
        <w:tblLook w:firstColumn="1" w:firstRow="1" w:lastColumn="0" w:lastRow="0" w:noHBand="0" w:noVBand="1" w:val="04A0"/>
      </w:tblPr>
      <w:tblGrid>
        <w:gridCol w:w="9638"/>
      </w:tblGrid>
      <w:tr>
        <w:trPr>
          <w:cantSplit/>
          <w:trHeight w:hRule="atLeast"/>
          <w:tblHeader w:val="true"/>
        </w:trPr>
        <w:tc>
          <w:tcPr>
            <w:tcW w:type="dxa" w:w="9865"/>
            <w:shd w:fill="EAF4EF"/>
            <w:tcMar>
              <w:top w:w="90" w:type="dxa"/>
              <w:start w:w="100" w:type="dxa"/>
              <w:bottom w:w="90" w:type="dxa"/>
              <w:end w:w="100" w:type="dxa"/>
            </w:tcMar>
            <w:vAlign w:val="center"/>
          </w:tcPr>
          <w:p>
            <w:pPr>
              <w:keepLines/>
              <w:widowControl/>
              <w:spacing w:after="0" w:line="259" w:lineRule="auto"/>
            </w:pPr>
            <w:r>
              <w:rPr>
                <w:rFonts w:ascii="DejaVu Sans" w:hAnsi="DejaVu Sans" w:eastAsia="DejaVu Sans"/>
                <w:b/>
                <w:color w:val="2F6B52"/>
                <w:sz w:val="20"/>
              </w:rPr>
              <w:t xml:space="preserve">РЕЗУЛЬТАТ ГЛАВЫ 3. </w:t>
            </w:r>
            <w:r>
              <w:rPr>
                <w:rFonts w:ascii="DejaVu Serif" w:hAnsi="DejaVu Serif" w:eastAsia="DejaVu Serif"/>
                <w:color w:val="1A2433"/>
                <w:sz w:val="20"/>
              </w:rPr>
              <w:t>T4-PO-004 закрыто как DEF-FORMAL: минимальное ядро и расширенный пакет разведены; доказана недостаточность event-only реконструкции. Утверждение не является эмпирической теорией сознания.</w:t>
            </w:r>
          </w:p>
        </w:tc>
      </w:tr>
    </w:tbl>
    <w:p>
      <w:pPr>
        <w:widowControl/>
        <w:spacing w:after="0"/>
      </w:pPr>
    </w:p>
    <w:p>
      <w:bookmarkStart w:id="110" w:name="ch4"/>
      <w:pPr>
        <w:pStyle w:val="Heading1"/>
        <w:keepNext/>
        <w:pageBreakBefore/>
        <w:widowControl/>
        <w:spacing w:before="200" w:after="100"/>
      </w:pPr>
      <w:r>
        <w:rPr>
          <w:rFonts w:ascii="DejaVu Sans" w:hAnsi="DejaVu Sans" w:eastAsia="DejaVu Sans"/>
          <w:b/>
          <w:color w:val="173A61"/>
          <w:sz w:val="35"/>
        </w:rPr>
        <w:t>Глава 4. Human_R и аксиомы Reper разворота</w:t>
      </w:r>
      <w:bookmarkEnd w:id="110"/>
    </w:p>
    <w:p>
      <w:pPr>
        <w:widowControl/>
        <w:spacing w:after="140"/>
      </w:pPr>
      <w:r>
        <w:rPr>
          <w:i/>
          <w:color w:val="8B6508"/>
        </w:rPr>
        <w:t>Если первое ядро даёт становление, а второе - сохранение, то Reper связывает их с ответственностью основания. Human_R не является математическим дублем личности. Это карта того, какие стороны человеческого события могут быть удержаны без подмены: реальность, идея, поле возможностей и достаточное основание. Математическая точность здесь служит не редукции человека к числу, а запрету безответственного вывода.</w:t>
      </w:r>
    </w:p>
    <w:p>
      <w:pPr>
        <w:widowControl/>
        <w:spacing w:after="40"/>
      </w:pPr>
      <w:r>
        <w:rPr>
          <w:b/>
          <w:color w:val="17345F"/>
        </w:rPr>
        <w:t>ФИЛОСОФСКОЕ ВВЕДЕНИЕ К ГЛАВЕ 4</w:t>
      </w:r>
    </w:p>
    <w:p>
      <w:pPr>
        <w:pStyle w:val="Heading2"/>
        <w:keepNext/>
        <w:pageBreakBefore w:val="0"/>
        <w:widowControl/>
        <w:spacing w:before="140" w:after="100"/>
      </w:pPr>
      <w:r>
        <w:rPr>
          <w:rFonts w:ascii="DejaVu Sans" w:hAnsi="DejaVu Sans" w:eastAsia="DejaVu Sans"/>
          <w:b/>
          <w:color w:val="214D7A"/>
          <w:sz w:val="26"/>
        </w:rPr>
        <w:t>4.1. Human_R как зависимая запись</w:t>
      </w:r>
    </w:p>
    <w:p>
      <w:pPr>
        <w:keepLines w:val="0"/>
        <w:widowControl/>
        <w:spacing w:after="80" w:before="0" w:line="269" w:lineRule="auto"/>
        <w:ind w:firstLine="425"/>
        <w:jc w:val="both"/>
      </w:pPr>
      <w:r>
        <w:rPr>
          <w:rFonts w:ascii="DejaVu Serif" w:hAnsi="DejaVu Serif" w:eastAsia="DejaVu Serif"/>
          <w:i w:val="0"/>
          <w:color w:val="1A2433"/>
          <w:sz w:val="21"/>
        </w:rPr>
        <w:t>Историческая формула Human_R=C@C+Rep+(Ξ,Δ,Υ)+L+λ сохраняется как авторская архитектурная мнемоника. В v0.2 знак «+» заменяется на ⊞_arch — конкатенацию типизированных полей, чтобы исключить чтение как арифметической суммы:</w:t>
      </w: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Human_R = C@C~_h ⊞_arch Rep_h ⊞_arch (Δ_h,Ξ_h,Υ_h) ⊞_arch L_h ⊞_arch λ_h ⊞_arch σ_h</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T4-F001</w:t>
              <w:br/>
              <w:t>ARCHITECTURE/MODEL</w:t>
            </w:r>
          </w:p>
        </w:tc>
      </w:tr>
    </w:tbl>
    <w:p>
      <w:pPr>
        <w:widowControl/>
        <w:spacing w:after="0"/>
      </w:pPr>
    </w:p>
    <w:p>
      <w:pPr>
        <w:keepLines w:val="0"/>
        <w:widowControl/>
        <w:spacing w:after="80" w:before="0" w:line="269" w:lineRule="auto"/>
        <w:ind w:firstLine="425"/>
        <w:jc w:val="both"/>
      </w:pPr>
      <w:r>
        <w:rPr>
          <w:rFonts w:ascii="DejaVu Serif" w:hAnsi="DejaVu Serif" w:eastAsia="DejaVu Serif"/>
          <w:i w:val="0"/>
          <w:color w:val="1A2433"/>
          <w:sz w:val="21"/>
        </w:rPr>
        <w:t>Формально Human_R является множеством зависимых записей H=(c,ρ,O,L,λ,σ), где c∈C@C~_h; ρ=(R_h,I_h,U_h;D_h) — человеческий Reper; O — типизированная операторная тройка; L — профиль пределов; λ∈K∪{⊥_λ}; σ — статусный вектор. Зависимость означает, что допустимые значения каждого поля определяются Ω_h и предыдущими полями.</w:t>
      </w: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Rep_h(c) = (R_h(c), I_h(c), U_h(c); D_h(c))</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T4-F020</w:t>
              <w:br/>
              <w:t>DEF</w:t>
            </w:r>
          </w:p>
        </w:tc>
      </w:tr>
    </w:tbl>
    <w:p>
      <w:pPr>
        <w:widowControl/>
        <w:spacing w:after="0"/>
      </w:pPr>
    </w:p>
    <w:tbl>
      <w:tblPr>
        <w:tblStyle w:val="TableGrid"/>
        <w:tblW w:type="auto" w:w="0"/>
        <w:jc w:val="center"/>
        <w:tblLayout w:type="fixed"/>
        <w:tblLook w:firstColumn="1" w:firstRow="1" w:lastColumn="0" w:lastRow="0" w:noHBand="0" w:noVBand="1" w:val="04A0"/>
      </w:tblPr>
      <w:tblGrid>
        <w:gridCol w:w="1417"/>
        <w:gridCol w:w="2494"/>
        <w:gridCol w:w="5726"/>
      </w:tblGrid>
      <w:tr>
        <w:trPr>
          <w:trHeight w:hRule="atLeast"/>
          <w:tblHeader w:val="true"/>
          <w:cantSplit/>
        </w:trPr>
        <w:tc>
          <w:tcPr>
            <w:tcW w:type="dxa" w:w="3288"/>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Компонент</w:t>
            </w:r>
          </w:p>
        </w:tc>
        <w:tc>
          <w:tcPr>
            <w:tcW w:type="dxa" w:w="3288"/>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Роль</w:t>
            </w:r>
          </w:p>
        </w:tc>
        <w:tc>
          <w:tcPr>
            <w:tcW w:type="dxa" w:w="3288"/>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Доказательная дисциплина</w:t>
            </w:r>
          </w:p>
        </w:tc>
      </w:tr>
      <w:tr>
        <w:trPr>
          <w:cantSplit/>
          <w:trHeight w:hRule="atLeast"/>
        </w:trPr>
        <w:tc>
          <w:tcPr>
            <w:tcW w:type="dxa" w:w="1417"/>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R_h</w:t>
            </w:r>
          </w:p>
        </w:tc>
        <w:tc>
          <w:tcPr>
            <w:tcW w:type="dxa" w:w="2494"/>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Установленное содержание</w:t>
            </w:r>
          </w:p>
        </w:tc>
        <w:tc>
          <w:tcPr>
            <w:tcW w:type="dxa" w:w="5726"/>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тело, действие, слово, след, документ, локатор; только с provenance</w:t>
            </w:r>
          </w:p>
        </w:tc>
      </w:tr>
      <w:tr>
        <w:trPr>
          <w:cantSplit/>
          <w:trHeight w:hRule="atLeast"/>
        </w:trPr>
        <w:tc>
          <w:tcPr>
            <w:tcW w:type="dxa" w:w="1417"/>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I_h</w:t>
            </w:r>
          </w:p>
        </w:tc>
        <w:tc>
          <w:tcPr>
            <w:tcW w:type="dxa" w:w="2494"/>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Ось смысла/идентификации</w:t>
            </w:r>
          </w:p>
        </w:tc>
        <w:tc>
          <w:tcPr>
            <w:tcW w:type="dxa" w:w="5726"/>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имя, намерение, интерпретация, идея должного; часто реконструируемо</w:t>
            </w:r>
          </w:p>
        </w:tc>
      </w:tr>
      <w:tr>
        <w:trPr>
          <w:cantSplit/>
          <w:trHeight w:hRule="atLeast"/>
        </w:trPr>
        <w:tc>
          <w:tcPr>
            <w:tcW w:type="dxa" w:w="1417"/>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U_h</w:t>
            </w:r>
          </w:p>
        </w:tc>
        <w:tc>
          <w:tcPr>
            <w:tcW w:type="dxa" w:w="2494"/>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Поле допустимых возможностей</w:t>
            </w:r>
          </w:p>
        </w:tc>
        <w:tc>
          <w:tcPr>
            <w:tcW w:type="dxa" w:w="5726"/>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альтернативы, культурные и практические возможности; зависит от horizon и limits</w:t>
            </w:r>
          </w:p>
        </w:tc>
      </w:tr>
      <w:tr>
        <w:trPr>
          <w:cantSplit/>
          <w:trHeight w:hRule="atLeast"/>
        </w:trPr>
        <w:tc>
          <w:tcPr>
            <w:tcW w:type="dxa" w:w="1417"/>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D_h</w:t>
            </w:r>
          </w:p>
        </w:tc>
        <w:tc>
          <w:tcPr>
            <w:tcW w:type="dxa" w:w="2494"/>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Достаточное основание</w:t>
            </w:r>
          </w:p>
        </w:tc>
        <w:tc>
          <w:tcPr>
            <w:tcW w:type="dxa" w:w="5726"/>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свидетельства, документы, правила, ответственность и версия реконструкции</w:t>
            </w:r>
          </w:p>
        </w:tc>
      </w:tr>
    </w:tbl>
    <w:p>
      <w:pPr>
        <w:widowControl/>
        <w:spacing w:after="20"/>
      </w:pPr>
    </w:p>
    <w:p>
      <w:pPr>
        <w:pStyle w:val="Heading2"/>
        <w:keepNext/>
        <w:pageBreakBefore w:val="0"/>
        <w:widowControl/>
        <w:spacing w:before="140" w:after="100"/>
      </w:pPr>
      <w:r>
        <w:rPr>
          <w:rFonts w:ascii="DejaVu Sans" w:hAnsi="DejaVu Sans" w:eastAsia="DejaVu Sans"/>
          <w:b/>
          <w:color w:val="214D7A"/>
          <w:sz w:val="26"/>
        </w:rPr>
        <w:t>4.2. Проективно-гармонический λ-gate</w:t>
      </w:r>
    </w:p>
    <w:p>
      <w:pPr>
        <w:keepLines w:val="0"/>
        <w:widowControl/>
        <w:spacing w:after="80" w:before="0" w:line="269" w:lineRule="auto"/>
        <w:ind w:firstLine="425"/>
        <w:jc w:val="both"/>
      </w:pPr>
      <w:r>
        <w:rPr>
          <w:rFonts w:ascii="DejaVu Serif" w:hAnsi="DejaVu Serif" w:eastAsia="DejaVu Serif"/>
          <w:i w:val="0"/>
          <w:color w:val="1A2433"/>
          <w:sz w:val="21"/>
        </w:rPr>
        <w:t>Компоненты человеческого Reper обычно являются разнородными объектами и не лежат автоматически на числовой прямой. Поэтому λ_h вводится как частичный канал. Требуется поле K и явное допустимое кодирование ι_Ω, помещающее R_h,I_h,U_h,D_h в одну проектную прямую P¹(K). В выбранной аффинной карте:</w:t>
      </w: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λ_h = ((u-r)(i-d))/((u-d)(i-r)),  r=ι(R_h), i=ι(I_h), u=ι(U_h), d=ι(D_h)</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T4-F021</w:t>
              <w:br/>
              <w:t>DEF/COND</w:t>
            </w:r>
          </w:p>
        </w:tc>
      </w:tr>
    </w:tbl>
    <w:p>
      <w:pPr>
        <w:widowControl/>
        <w:spacing w:after="0"/>
      </w:pP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Dom(λ_h) = {H : ι_Ω определено, u≠d, i≠r и типовой контракт подтверждён}</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T4-F022</w:t>
              <w:br/>
              <w:t>DEF</w:t>
            </w:r>
          </w:p>
        </w:tc>
      </w:tr>
    </w:tbl>
    <w:p>
      <w:pPr>
        <w:widowControl/>
        <w:spacing w:after="0"/>
      </w:pPr>
    </w:p>
    <w:p>
      <w:pPr>
        <w:keepNext/>
        <w:widowControl/>
        <w:jc w:val="center"/>
      </w:pPr>
      <w:r>
        <w:drawing>
          <wp:inline xmlns:a="http://schemas.openxmlformats.org/drawingml/2006/main" xmlns:pic="http://schemas.openxmlformats.org/drawingml/2006/picture">
            <wp:extent cx="6192000" cy="2967301"/>
            <wp:docPr id="2" name="Picture 2" descr="Проективный lambda-gate с допустимой ветвью и ветвью ABSTAIN-LAMBDA." title="Проективный lambda-gate с допустимой ветвью и ветвью ABSTAIN-LAMBDA."/>
            <wp:cNvGraphicFramePr>
              <a:graphicFrameLocks noChangeAspect="1"/>
            </wp:cNvGraphicFramePr>
            <a:graphic>
              <a:graphicData uri="http://schemas.openxmlformats.org/drawingml/2006/picture">
                <pic:pic>
                  <pic:nvPicPr>
                    <pic:cNvPr id="0" name="fig_03_lambda_gate.png"/>
                    <pic:cNvPicPr/>
                  </pic:nvPicPr>
                  <pic:blipFill>
                    <a:blip r:embed="rId16"/>
                    <a:stretch>
                      <a:fillRect/>
                    </a:stretch>
                  </pic:blipFill>
                  <pic:spPr>
                    <a:xfrm>
                      <a:off x="0" y="0"/>
                      <a:ext cx="6192000" cy="2967301"/>
                    </a:xfrm>
                    <a:prstGeom prst="rect"/>
                  </pic:spPr>
                </pic:pic>
              </a:graphicData>
            </a:graphic>
          </wp:inline>
        </w:drawing>
      </w:r>
    </w:p>
    <w:p>
      <w:pPr>
        <w:keepLines/>
        <w:widowControl/>
        <w:spacing w:after="120"/>
        <w:jc w:val="center"/>
      </w:pPr>
      <w:r>
        <w:rPr>
          <w:rFonts w:ascii="DejaVu Serif" w:hAnsi="DejaVu Serif" w:eastAsia="DejaVu Serif"/>
          <w:i/>
          <w:color w:val="53677D"/>
          <w:sz w:val="17"/>
        </w:rPr>
        <w:t>Рисунок 2. λ-gate: проектное кодирование, область определения и ABSTAIN-LAMBDA.</w:t>
      </w:r>
    </w:p>
    <w:p>
      <w:pPr>
        <w:keepLines w:val="0"/>
        <w:widowControl/>
        <w:spacing w:after="80" w:before="0" w:line="269" w:lineRule="auto"/>
        <w:ind w:firstLine="425"/>
        <w:jc w:val="both"/>
      </w:pPr>
      <w:r>
        <w:rPr>
          <w:rFonts w:ascii="DejaVu Serif" w:hAnsi="DejaVu Serif" w:eastAsia="DejaVu Serif"/>
          <w:i w:val="0"/>
          <w:color w:val="1A2433"/>
          <w:sz w:val="21"/>
        </w:rPr>
        <w:t>Значение λ_h=-1 означает гармоническое замыкание только внутри выбранного кодирования. Оно не доказывает историческую истинность, искренность субъекта, этическую правоту или юридическую ответственность. Эти каналы остаются в собственных координатах σ_h.</w:t>
      </w:r>
    </w:p>
    <w:p>
      <w:pPr>
        <w:pStyle w:val="Heading2"/>
        <w:keepNext/>
        <w:pageBreakBefore w:val="0"/>
        <w:widowControl/>
        <w:spacing w:before="140" w:after="100"/>
      </w:pPr>
      <w:r>
        <w:rPr>
          <w:rFonts w:ascii="DejaVu Sans" w:hAnsi="DejaVu Sans" w:eastAsia="DejaVu Sans"/>
          <w:b/>
          <w:color w:val="214D7A"/>
          <w:sz w:val="26"/>
        </w:rPr>
        <w:t>4.3. Домены и кодомены операторов</w:t>
      </w:r>
    </w:p>
    <w:p>
      <w:pPr>
        <w:keepLines w:val="0"/>
        <w:widowControl/>
        <w:spacing w:after="80" w:before="0" w:line="269" w:lineRule="auto"/>
        <w:ind w:firstLine="425"/>
        <w:jc w:val="both"/>
      </w:pPr>
      <w:r>
        <w:rPr>
          <w:rFonts w:ascii="DejaVu Serif" w:hAnsi="DejaVu Serif" w:eastAsia="DejaVu Serif"/>
          <w:i w:val="0"/>
          <w:color w:val="1A2433"/>
          <w:sz w:val="21"/>
        </w:rPr>
        <w:t>Пусть Alt_h — множество допустимых альтернатив, AAct_h — множество токенов начатого действия, Path_h — множество траекторий состояний, M_h — множество версионированных записей памяти. Определяются три частичных оператора:</w:t>
      </w: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Δ_h : S_h × Alt_h × D_h × L_h ⇀ AAct_h</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T4-F023</w:t>
              <w:br/>
              <w:t>DEF</w:t>
            </w:r>
          </w:p>
        </w:tc>
      </w:tr>
    </w:tbl>
    <w:p>
      <w:pPr>
        <w:widowControl/>
        <w:spacing w:after="0"/>
      </w:pP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Ξ_h : AAct_h × T_{≥0} ⇀ Path_h</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T4-F024</w:t>
              <w:br/>
              <w:t>DEF</w:t>
            </w:r>
          </w:p>
        </w:tc>
      </w:tr>
    </w:tbl>
    <w:p>
      <w:pPr>
        <w:widowControl/>
        <w:spacing w:after="0"/>
      </w:pP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Υ_h : Path_h × W_h^⊥ × D_h ⇀ S_h × M_h</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T4-F025</w:t>
              <w:br/>
              <w:t>DEF</w:t>
            </w:r>
          </w:p>
        </w:tc>
      </w:tr>
    </w:tbl>
    <w:p>
      <w:pPr>
        <w:widowControl/>
        <w:spacing w:after="0"/>
      </w:pPr>
    </w:p>
    <w:p>
      <w:pPr>
        <w:keepLines w:val="0"/>
        <w:widowControl/>
        <w:spacing w:after="80" w:before="0" w:line="269" w:lineRule="auto"/>
        <w:ind w:firstLine="425"/>
        <w:jc w:val="both"/>
      </w:pPr>
      <w:r>
        <w:rPr>
          <w:rFonts w:ascii="DejaVu Serif" w:hAnsi="DejaVu Serif" w:eastAsia="DejaVu Serif"/>
          <w:i w:val="0"/>
          <w:color w:val="1A2433"/>
          <w:sz w:val="21"/>
        </w:rPr>
        <w:t>Δ_h фиксирует начало действия, но не утверждает метафизическую «первопричину» или свободу воли. Ξ_h фиксирует длительность и изменение уже начатого действия. Υ_h переводит завершённую или остановленную траекторию в признанное новое состояние и запись памяти. Свидетельство может быть необязательным в феноменологическом домене, но обязательным в историческом или юридическом; это задаётся Adm_Ω.</w:t>
      </w:r>
    </w:p>
    <w:p>
      <w:pPr>
        <w:keepNext/>
        <w:widowControl/>
        <w:jc w:val="center"/>
      </w:pPr>
      <w:r>
        <w:drawing>
          <wp:inline xmlns:a="http://schemas.openxmlformats.org/drawingml/2006/main" xmlns:pic="http://schemas.openxmlformats.org/drawingml/2006/picture">
            <wp:extent cx="6192000" cy="2881241"/>
            <wp:docPr id="3" name="Picture 3" descr="Частичная композиция операторов Delta, Xi и Upsilon с blocker-safe выходом ABSTAIN." title="Частичная композиция операторов Delta, Xi и Upsilon с blocker-safe выходом ABSTAIN."/>
            <wp:cNvGraphicFramePr>
              <a:graphicFrameLocks noChangeAspect="1"/>
            </wp:cNvGraphicFramePr>
            <a:graphic>
              <a:graphicData uri="http://schemas.openxmlformats.org/drawingml/2006/picture">
                <pic:pic>
                  <pic:nvPicPr>
                    <pic:cNvPr id="0" name="fig_02_partial_chain.png"/>
                    <pic:cNvPicPr/>
                  </pic:nvPicPr>
                  <pic:blipFill>
                    <a:blip r:embed="rId17"/>
                    <a:stretch>
                      <a:fillRect/>
                    </a:stretch>
                  </pic:blipFill>
                  <pic:spPr>
                    <a:xfrm>
                      <a:off x="0" y="0"/>
                      <a:ext cx="6192000" cy="2881241"/>
                    </a:xfrm>
                    <a:prstGeom prst="rect"/>
                  </pic:spPr>
                </pic:pic>
              </a:graphicData>
            </a:graphic>
          </wp:inline>
        </w:drawing>
      </w:r>
    </w:p>
    <w:p>
      <w:pPr>
        <w:keepLines/>
        <w:widowControl/>
        <w:spacing w:after="120"/>
        <w:jc w:val="center"/>
      </w:pPr>
      <w:r>
        <w:rPr>
          <w:rFonts w:ascii="DejaVu Serif" w:hAnsi="DejaVu Serif" w:eastAsia="DejaVu Serif"/>
          <w:i/>
          <w:color w:val="53677D"/>
          <w:sz w:val="17"/>
        </w:rPr>
        <w:t>Рисунок 3. Частичная композиция Δ_h, Ξ_h, Υ_h и blocker-safe выход ABSTAIN.</w:t>
      </w:r>
    </w:p>
    <w:p>
      <w:pPr>
        <w:pStyle w:val="Heading2"/>
        <w:keepNext/>
        <w:pageBreakBefore w:val="0"/>
        <w:widowControl/>
        <w:spacing w:before="140" w:after="100"/>
      </w:pPr>
      <w:r>
        <w:rPr>
          <w:rFonts w:ascii="DejaVu Sans" w:hAnsi="DejaVu Sans" w:eastAsia="DejaVu Sans"/>
          <w:b/>
          <w:color w:val="214D7A"/>
          <w:sz w:val="26"/>
        </w:rPr>
        <w:t>4.4. Аксиомы Reper разворота</w:t>
      </w:r>
    </w:p>
    <w:tbl>
      <w:tblPr>
        <w:tblStyle w:val="TableGrid"/>
        <w:tblW w:type="auto" w:w="0"/>
        <w:jc w:val="center"/>
        <w:tblLayout w:type="fixed"/>
        <w:tblLook w:firstColumn="1" w:firstRow="1" w:lastColumn="0" w:lastRow="0" w:noHBand="0" w:noVBand="1" w:val="04A0"/>
      </w:tblPr>
      <w:tblGrid>
        <w:gridCol w:w="1814"/>
        <w:gridCol w:w="7824"/>
      </w:tblGrid>
      <w:tr>
        <w:trPr>
          <w:trHeight w:hRule="atLeast"/>
          <w:tblHeader w:val="true"/>
          <w:cantSplit/>
        </w:trPr>
        <w:tc>
          <w:tcPr>
            <w:tcW w:type="dxa" w:w="4932"/>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ID</w:t>
            </w:r>
          </w:p>
        </w:tc>
        <w:tc>
          <w:tcPr>
            <w:tcW w:type="dxa" w:w="4932"/>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Аксиома</w:t>
            </w:r>
          </w:p>
        </w:tc>
      </w:tr>
      <w:tr>
        <w:trPr>
          <w:cantSplit/>
          <w:trHeight w:hRule="atLeast"/>
        </w:trPr>
        <w:tc>
          <w:tcPr>
            <w:tcW w:type="dxa" w:w="1814"/>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H1 TYPE</w:t>
            </w:r>
          </w:p>
        </w:tc>
        <w:tc>
          <w:tcPr>
            <w:tcW w:type="dxa" w:w="7824"/>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Все входы и выходы принадлежат объявленным типам Ω_h.</w:t>
            </w:r>
          </w:p>
        </w:tc>
      </w:tr>
      <w:tr>
        <w:trPr>
          <w:cantSplit/>
          <w:trHeight w:hRule="atLeast"/>
        </w:trPr>
        <w:tc>
          <w:tcPr>
            <w:tcW w:type="dxa" w:w="1814"/>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H2 DOMAIN</w:t>
            </w:r>
          </w:p>
        </w:tc>
        <w:tc>
          <w:tcPr>
            <w:tcW w:type="dxa" w:w="7824"/>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Dom каждого оператора записан явно; молчаливое расширение запрещено.</w:t>
            </w:r>
          </w:p>
        </w:tc>
      </w:tr>
      <w:tr>
        <w:trPr>
          <w:cantSplit/>
          <w:trHeight w:hRule="atLeast"/>
        </w:trPr>
        <w:tc>
          <w:tcPr>
            <w:tcW w:type="dxa" w:w="1814"/>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H3 PROVENANCE</w:t>
            </w:r>
          </w:p>
        </w:tc>
        <w:tc>
          <w:tcPr>
            <w:tcW w:type="dxa" w:w="7824"/>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Обязательные поля R_h и D_h имеют source-card и версию.</w:t>
            </w:r>
          </w:p>
        </w:tc>
      </w:tr>
      <w:tr>
        <w:trPr>
          <w:cantSplit/>
          <w:trHeight w:hRule="atLeast"/>
        </w:trPr>
        <w:tc>
          <w:tcPr>
            <w:tcW w:type="dxa" w:w="1814"/>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H4 IDENTITY</w:t>
            </w:r>
          </w:p>
        </w:tc>
        <w:tc>
          <w:tcPr>
            <w:tcW w:type="dxa" w:w="7824"/>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Траектория сохраняет объявленное отношение идентичности события; подмена токена запрещена.</w:t>
            </w:r>
          </w:p>
        </w:tc>
      </w:tr>
      <w:tr>
        <w:trPr>
          <w:cantSplit/>
          <w:trHeight w:hRule="atLeast"/>
        </w:trPr>
        <w:tc>
          <w:tcPr>
            <w:tcW w:type="dxa" w:w="1814"/>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H5 TIME</w:t>
            </w:r>
          </w:p>
        </w:tc>
        <w:tc>
          <w:tcPr>
            <w:tcW w:type="dxa" w:w="7824"/>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Ξ_h сохраняет допустимый порядок времени/этапов, заданный T_h.</w:t>
            </w:r>
          </w:p>
        </w:tc>
      </w:tr>
      <w:tr>
        <w:trPr>
          <w:cantSplit/>
          <w:trHeight w:hRule="atLeast"/>
        </w:trPr>
        <w:tc>
          <w:tcPr>
            <w:tcW w:type="dxa" w:w="1814"/>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H6 WEAK-LINK</w:t>
            </w:r>
          </w:p>
        </w:tc>
        <w:tc>
          <w:tcPr>
            <w:tcW w:type="dxa" w:w="7824"/>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Выходной статус не сильнее meet обязательных входов и мостов.</w:t>
            </w:r>
          </w:p>
        </w:tc>
      </w:tr>
      <w:tr>
        <w:trPr>
          <w:cantSplit/>
          <w:trHeight w:hRule="atLeast"/>
        </w:trPr>
        <w:tc>
          <w:tcPr>
            <w:tcW w:type="dxa" w:w="1814"/>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H7 ABSTAIN</w:t>
            </w:r>
          </w:p>
        </w:tc>
        <w:tc>
          <w:tcPr>
            <w:tcW w:type="dxa" w:w="7824"/>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При нарушении H1-H6 композиция возвращает кодированный отказ, а не догадку.</w:t>
            </w:r>
          </w:p>
        </w:tc>
      </w:tr>
      <w:tr>
        <w:trPr>
          <w:cantSplit/>
          <w:trHeight w:hRule="atLeast"/>
        </w:trPr>
        <w:tc>
          <w:tcPr>
            <w:tcW w:type="dxa" w:w="1814"/>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H8 λ-FIREWALL</w:t>
            </w:r>
          </w:p>
        </w:tc>
        <w:tc>
          <w:tcPr>
            <w:tcW w:type="dxa" w:w="7824"/>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λ_h не вычисляется без ι_Ω и не повышает внешние статусные каналы.</w:t>
            </w:r>
          </w:p>
        </w:tc>
      </w:tr>
      <w:tr>
        <w:trPr>
          <w:cantSplit/>
          <w:trHeight w:hRule="atLeast"/>
        </w:trPr>
        <w:tc>
          <w:tcPr>
            <w:tcW w:type="dxa" w:w="1814"/>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7"/>
              </w:rPr>
              <w:t>H9 NON-REDUCTION</w:t>
            </w:r>
          </w:p>
        </w:tc>
        <w:tc>
          <w:tcPr>
            <w:tcW w:type="dxa" w:w="7824"/>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7"/>
              </w:rPr>
              <w:t>Human_R не используется как клинический, моральный или юридический классификатор без отдельного домена.</w:t>
            </w:r>
          </w:p>
        </w:tc>
      </w:tr>
    </w:tbl>
    <w:p>
      <w:pPr>
        <w:widowControl/>
        <w:spacing w:after="20"/>
      </w:pPr>
    </w:p>
    <w:p>
      <w:pPr>
        <w:pStyle w:val="Heading2"/>
        <w:keepNext/>
        <w:pageBreakBefore w:val="0"/>
        <w:widowControl/>
        <w:spacing w:before="140" w:after="100"/>
      </w:pPr>
      <w:r>
        <w:rPr>
          <w:rFonts w:ascii="DejaVu Sans" w:hAnsi="DejaVu Sans" w:eastAsia="DejaVu Sans"/>
          <w:b/>
          <w:color w:val="214D7A"/>
          <w:sz w:val="26"/>
        </w:rPr>
        <w:t>4.5. Основная формальная теорема контрольной точки</w:t>
      </w: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T_h = Υ_h ∘ Ξ_h ∘ Δ_h</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T4-F026</w:t>
              <w:br/>
              <w:t>PARTIAL COMPOSITION</w:t>
            </w:r>
          </w:p>
        </w:tc>
      </w:tr>
    </w:tbl>
    <w:p>
      <w:pPr>
        <w:widowControl/>
        <w:spacing w:after="0"/>
      </w:pPr>
    </w:p>
    <w:tbl>
      <w:tblPr>
        <w:tblW w:type="auto" w:w="0"/>
        <w:jc w:val="center"/>
        <w:tblLayout w:type="fixed"/>
        <w:tblLook w:firstColumn="1" w:firstRow="1" w:lastColumn="0" w:lastRow="0" w:noHBand="0" w:noVBand="1" w:val="04A0"/>
      </w:tblPr>
      <w:tblGrid>
        <w:gridCol w:w="9638"/>
      </w:tblGrid>
      <w:tr>
        <w:trPr>
          <w:cantSplit/>
          <w:trHeight w:hRule="atLeast"/>
          <w:tblHeader w:val="true"/>
        </w:trPr>
        <w:tc>
          <w:tcPr>
            <w:tcW w:type="dxa" w:w="9865"/>
            <w:shd w:fill="F7F0DA"/>
            <w:tcMar>
              <w:top w:w="90" w:type="dxa"/>
              <w:start w:w="100" w:type="dxa"/>
              <w:bottom w:w="90" w:type="dxa"/>
              <w:end w:w="100" w:type="dxa"/>
            </w:tcMar>
            <w:vAlign w:val="center"/>
          </w:tcPr>
          <w:p>
            <w:pPr>
              <w:keepLines/>
              <w:widowControl/>
              <w:spacing w:after="0" w:line="259" w:lineRule="auto"/>
            </w:pPr>
            <w:r>
              <w:rPr>
                <w:rFonts w:ascii="DejaVu Sans" w:hAnsi="DejaVu Sans" w:eastAsia="DejaVu Sans"/>
                <w:b/>
                <w:color w:val="A97814"/>
                <w:sz w:val="20"/>
              </w:rPr>
              <w:t xml:space="preserve">ТЕОРЕМА T4.4.1 [THM-FORMAL]. </w:t>
            </w:r>
            <w:r>
              <w:rPr>
                <w:rFonts w:ascii="DejaVu Serif" w:hAnsi="DejaVu Serif" w:eastAsia="DejaVu Serif"/>
                <w:color w:val="1A2433"/>
                <w:sz w:val="20"/>
              </w:rPr>
              <w:t>Пусть Δ_h, Ξ_h и Υ_h — частичные отображения с указанными Dom/Cod, удовлетворяющие H1-H8. Тогда T_h=Υ_h∘Ξ_h∘Δ_h является корректным частичным отображением. Если операторы status-monotone, то T_h также status-monotone. Для входа вне Dom(T_h) totalized-оператор возвращает соответствующий ABSTAIN-код.</w:t>
            </w:r>
          </w:p>
        </w:tc>
      </w:tr>
    </w:tbl>
    <w:p>
      <w:pPr>
        <w:widowControl/>
        <w:spacing w:after="0"/>
      </w:pPr>
    </w:p>
    <w:p>
      <w:pPr>
        <w:keepLines w:val="0"/>
        <w:widowControl/>
        <w:spacing w:after="80" w:before="0" w:line="269" w:lineRule="auto"/>
        <w:ind w:firstLine="425"/>
        <w:jc w:val="both"/>
      </w:pPr>
      <w:r>
        <w:rPr>
          <w:rFonts w:ascii="DejaVu Serif" w:hAnsi="DejaVu Serif" w:eastAsia="DejaVu Serif"/>
          <w:i w:val="0"/>
          <w:color w:val="1A2433"/>
          <w:sz w:val="21"/>
        </w:rPr>
        <w:t>Доказательство. Корректность композиции следует из теоремы T4.2.1 и совпадения промежуточных типов: Cod(Δ_h)=AAct_h входит в Dom(Ξ_h), а Cod(Ξ_h)=Path_h входит в первый фактор Dom(Υ_h). Область Dom(T_h) состоит из тех входов, на которых последовательно определены все три оператора и обязательные gates. Для статусов имеем σ(Δ_h(x))≼σ(x)∧σ(Δ_h); затем σ(Ξ_h(Δ_h(x)))≼σ(Δ_h(x))∧σ(Ξ_h); аналогично для Υ_h. По транзитивности итоговый статус не превосходит meet всех обязательных каналов. Если хотя бы одно условие нарушено, x∉Dom(T_h), и totalization по T4-F016 возвращает ⊥_b. □</w:t>
      </w:r>
    </w:p>
    <w:tbl>
      <w:tblPr>
        <w:tblW w:type="auto" w:w="0"/>
        <w:jc w:val="center"/>
        <w:tblLayout w:type="fixed"/>
        <w:tblLook w:firstColumn="1" w:firstRow="1" w:lastColumn="0" w:lastRow="0" w:noHBand="0" w:noVBand="1" w:val="04A0"/>
      </w:tblPr>
      <w:tblGrid>
        <w:gridCol w:w="9638"/>
      </w:tblGrid>
      <w:tr>
        <w:trPr>
          <w:cantSplit/>
          <w:trHeight w:hRule="atLeast"/>
          <w:tblHeader w:val="true"/>
        </w:trPr>
        <w:tc>
          <w:tcPr>
            <w:tcW w:type="dxa" w:w="9865"/>
            <w:shd w:fill="F8EAEA"/>
            <w:tcMar>
              <w:top w:w="90" w:type="dxa"/>
              <w:start w:w="100" w:type="dxa"/>
              <w:bottom w:w="90" w:type="dxa"/>
              <w:end w:w="100" w:type="dxa"/>
            </w:tcMar>
            <w:vAlign w:val="center"/>
          </w:tcPr>
          <w:p>
            <w:pPr>
              <w:keepLines/>
              <w:widowControl/>
              <w:spacing w:after="0" w:line="259" w:lineRule="auto"/>
            </w:pPr>
            <w:r>
              <w:rPr>
                <w:rFonts w:ascii="DejaVu Sans" w:hAnsi="DejaVu Sans" w:eastAsia="DejaVu Sans"/>
                <w:b/>
                <w:color w:val="9B3030"/>
                <w:sz w:val="20"/>
              </w:rPr>
              <w:t xml:space="preserve">ТОЧНАЯ ГРАНИЦА. </w:t>
            </w:r>
            <w:r>
              <w:rPr>
                <w:rFonts w:ascii="DejaVu Serif" w:hAnsi="DejaVu Serif" w:eastAsia="DejaVu Serif"/>
                <w:color w:val="1A2433"/>
                <w:sz w:val="20"/>
              </w:rPr>
              <w:t>Теорема доказывает композиционную корректность формальной модели. Она не доказывает, что конкретный человеческий поступок полностью описывается Δ_h, Ξ_h, Υ_h, и не устанавливает эмпирические законы поведения.</w:t>
            </w:r>
          </w:p>
        </w:tc>
      </w:tr>
    </w:tbl>
    <w:p>
      <w:pPr>
        <w:widowControl/>
        <w:spacing w:after="0"/>
      </w:pPr>
    </w:p>
    <w:p>
      <w:pPr>
        <w:pStyle w:val="Heading2"/>
        <w:keepNext/>
        <w:pageBreakBefore w:val="0"/>
        <w:widowControl/>
        <w:spacing w:before="140" w:after="100"/>
      </w:pPr>
      <w:r>
        <w:rPr>
          <w:rFonts w:ascii="DejaVu Sans" w:hAnsi="DejaVu Sans" w:eastAsia="DejaVu Sans"/>
          <w:b/>
          <w:color w:val="214D7A"/>
          <w:sz w:val="26"/>
        </w:rPr>
        <w:t>4.6. Строгие контрмодели</w:t>
      </w:r>
    </w:p>
    <w:p>
      <w:pPr>
        <w:keepLines w:val="0"/>
        <w:widowControl/>
        <w:spacing w:after="80" w:before="0" w:line="269" w:lineRule="auto"/>
        <w:ind w:firstLine="425"/>
        <w:jc w:val="both"/>
      </w:pPr>
      <w:r>
        <w:rPr>
          <w:rFonts w:ascii="DejaVu Serif" w:hAnsi="DejaVu Serif" w:eastAsia="DejaVu Serif"/>
          <w:i w:val="0"/>
          <w:color w:val="1A2433"/>
          <w:sz w:val="21"/>
        </w:rPr>
        <w:t>Контрмодели показывают не «ложность человека», а необходимость введённых ограничений.</w:t>
      </w:r>
    </w:p>
    <w:tbl>
      <w:tblPr>
        <w:tblStyle w:val="TableGrid"/>
        <w:tblW w:type="auto" w:w="0"/>
        <w:jc w:val="center"/>
        <w:tblLayout w:type="fixed"/>
        <w:tblLook w:firstColumn="1" w:firstRow="1" w:lastColumn="0" w:lastRow="0" w:noHBand="0" w:noVBand="1" w:val="04A0"/>
      </w:tblPr>
      <w:tblGrid>
        <w:gridCol w:w="1134"/>
        <w:gridCol w:w="1757"/>
        <w:gridCol w:w="3969"/>
        <w:gridCol w:w="2778"/>
      </w:tblGrid>
      <w:tr>
        <w:trPr>
          <w:trHeight w:hRule="atLeast"/>
          <w:tblHeader w:val="true"/>
          <w:cantSplit/>
        </w:trPr>
        <w:tc>
          <w:tcPr>
            <w:tcW w:type="dxa" w:w="2466"/>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ID</w:t>
            </w:r>
          </w:p>
        </w:tc>
        <w:tc>
          <w:tcPr>
            <w:tcW w:type="dxa" w:w="2466"/>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Тип</w:t>
            </w:r>
          </w:p>
        </w:tc>
        <w:tc>
          <w:tcPr>
            <w:tcW w:type="dxa" w:w="2466"/>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Конструкция</w:t>
            </w:r>
          </w:p>
        </w:tc>
        <w:tc>
          <w:tcPr>
            <w:tcW w:type="dxa" w:w="2466"/>
            <w:shd w:fill="214D7A"/>
            <w:tcMar>
              <w:top w:w="90" w:type="dxa"/>
              <w:start w:w="100" w:type="dxa"/>
              <w:bottom w:w="90" w:type="dxa"/>
              <w:end w:w="100" w:type="dxa"/>
            </w:tcMar>
            <w:vAlign w:val="center"/>
          </w:tcPr>
          <w:p>
            <w:pPr>
              <w:widowControl/>
              <w:spacing w:after="0"/>
              <w:jc w:val="center"/>
            </w:pPr>
            <w:r>
              <w:rPr>
                <w:rFonts w:ascii="DejaVu Sans" w:hAnsi="DejaVu Sans" w:eastAsia="DejaVu Sans"/>
                <w:b/>
                <w:color w:val="FFFFFF"/>
                <w:sz w:val="18"/>
              </w:rPr>
              <w:t>Следствие</w:t>
            </w:r>
          </w:p>
        </w:tc>
      </w:tr>
      <w:tr>
        <w:trPr>
          <w:cantSplit/>
          <w:trHeight w:hRule="atLeast"/>
        </w:trPr>
        <w:tc>
          <w:tcPr>
            <w:tcW w:type="dxa" w:w="1134"/>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6"/>
              </w:rPr>
              <w:t>CM-005</w:t>
            </w:r>
          </w:p>
        </w:tc>
        <w:tc>
          <w:tcPr>
            <w:tcW w:type="dxa" w:w="1757"/>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D-зависимость λ</w:t>
            </w:r>
          </w:p>
        </w:tc>
        <w:tc>
          <w:tcPr>
            <w:tcW w:type="dxa" w:w="3969"/>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В проектной карте r=0,i=1,u=2: при d=4/3 получаем λ=-1, при d=3 получаем λ=4.</w:t>
            </w:r>
          </w:p>
        </w:tc>
        <w:tc>
          <w:tcPr>
            <w:tcW w:type="dxa" w:w="277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Тройка (R,I,U) не определяет λ и Reper без D.</w:t>
            </w:r>
          </w:p>
        </w:tc>
      </w:tr>
      <w:tr>
        <w:trPr>
          <w:cantSplit/>
          <w:trHeight w:hRule="atLeast"/>
        </w:trPr>
        <w:tc>
          <w:tcPr>
            <w:tcW w:type="dxa" w:w="1134"/>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6"/>
              </w:rPr>
              <w:t>CM-006</w:t>
            </w:r>
          </w:p>
        </w:tc>
        <w:tc>
          <w:tcPr>
            <w:tcW w:type="dxa" w:w="1757"/>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Смешение операторов</w:t>
            </w:r>
          </w:p>
        </w:tc>
        <w:tc>
          <w:tcPr>
            <w:tcW w:type="dxa" w:w="3969"/>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Cod(Δ_h)=AAct_h, Cod(Ξ_h)=Path_h, Cod(Υ_h)=S_h×M_h. Равенство Δ_h=Ξ_h или Ξ_h=Υ_h ill-typed.</w:t>
            </w:r>
          </w:p>
        </w:tc>
        <w:tc>
          <w:tcPr>
            <w:tcW w:type="dxa" w:w="2778"/>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Нужны явные coercion-морфизмы; без них формула не определена.</w:t>
            </w:r>
          </w:p>
        </w:tc>
      </w:tr>
      <w:tr>
        <w:trPr>
          <w:cantSplit/>
          <w:trHeight w:hRule="atLeast"/>
        </w:trPr>
        <w:tc>
          <w:tcPr>
            <w:tcW w:type="dxa" w:w="1134"/>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6"/>
              </w:rPr>
              <w:t>CM-007</w:t>
            </w:r>
          </w:p>
        </w:tc>
        <w:tc>
          <w:tcPr>
            <w:tcW w:type="dxa" w:w="1757"/>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Отсутствие ι_Ω</w:t>
            </w:r>
          </w:p>
        </w:tc>
        <w:tc>
          <w:tcPr>
            <w:tcW w:type="dxa" w:w="3969"/>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R_h — документ, I_h — намерение, U_h — множество альтернатив, D_h — граф источников; общей P¹(K) не задано.</w:t>
            </w:r>
          </w:p>
        </w:tc>
        <w:tc>
          <w:tcPr>
            <w:tcW w:type="dxa" w:w="277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Число λ_h не существует; ABSTAIN-LAMBDA.</w:t>
            </w:r>
          </w:p>
        </w:tc>
      </w:tr>
      <w:tr>
        <w:trPr>
          <w:cantSplit/>
          <w:trHeight w:hRule="atLeast"/>
        </w:trPr>
        <w:tc>
          <w:tcPr>
            <w:tcW w:type="dxa" w:w="1134"/>
            <w:shd w:fill="F4F6F8"/>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6"/>
              </w:rPr>
              <w:t>CM-008</w:t>
            </w:r>
          </w:p>
        </w:tc>
        <w:tc>
          <w:tcPr>
            <w:tcW w:type="dxa" w:w="1757"/>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Повышение по максимуму</w:t>
            </w:r>
          </w:p>
        </w:tc>
        <w:tc>
          <w:tcPr>
            <w:tcW w:type="dxa" w:w="3969"/>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formal=THM, empirical=NONE. Скаляризация max дала бы «сильный» итог.</w:t>
            </w:r>
          </w:p>
        </w:tc>
        <w:tc>
          <w:tcPr>
            <w:tcW w:type="dxa" w:w="2778"/>
            <w:shd w:fill="F4F6F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Раздельный σ_h сохраняет empirical=NONE; scalar max запрещён.</w:t>
            </w:r>
          </w:p>
        </w:tc>
      </w:tr>
      <w:tr>
        <w:trPr>
          <w:cantSplit/>
          <w:trHeight w:hRule="atLeast"/>
        </w:trPr>
        <w:tc>
          <w:tcPr>
            <w:tcW w:type="dxa" w:w="1134"/>
            <w:tcMar>
              <w:top w:w="90" w:type="dxa"/>
              <w:start w:w="100" w:type="dxa"/>
              <w:bottom w:w="90" w:type="dxa"/>
              <w:end w:w="100" w:type="dxa"/>
            </w:tcMar>
            <w:vAlign w:val="center"/>
          </w:tcPr>
          <w:p>
            <w:pPr>
              <w:widowControl/>
              <w:spacing w:after="0" w:line="250" w:lineRule="auto"/>
              <w:jc w:val="center"/>
            </w:pPr>
            <w:r>
              <w:rPr>
                <w:rFonts w:ascii="DejaVu Serif" w:hAnsi="DejaVu Serif" w:eastAsia="DejaVu Serif"/>
                <w:color w:val="1A2433"/>
                <w:sz w:val="16"/>
              </w:rPr>
              <w:t>CM-009</w:t>
            </w:r>
          </w:p>
        </w:tc>
        <w:tc>
          <w:tcPr>
            <w:tcW w:type="dxa" w:w="1757"/>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Перепись прошлого</w:t>
            </w:r>
          </w:p>
        </w:tc>
        <w:tc>
          <w:tcPr>
            <w:tcW w:type="dxa" w:w="3969"/>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тот же event token e, новые источники меняют D и интерпретацию I.</w:t>
            </w:r>
          </w:p>
        </w:tc>
        <w:tc>
          <w:tcPr>
            <w:tcW w:type="dxa" w:w="2778"/>
            <w:tcMar>
              <w:top w:w="90" w:type="dxa"/>
              <w:start w:w="100" w:type="dxa"/>
              <w:bottom w:w="90" w:type="dxa"/>
              <w:end w:w="100" w:type="dxa"/>
            </w:tcMar>
            <w:vAlign w:val="center"/>
          </w:tcPr>
          <w:p>
            <w:pPr>
              <w:widowControl/>
              <w:spacing w:after="0" w:line="250" w:lineRule="auto"/>
              <w:jc w:val="left"/>
            </w:pPr>
            <w:r>
              <w:rPr>
                <w:rFonts w:ascii="DejaVu Serif" w:hAnsi="DejaVu Serif" w:eastAsia="DejaVu Serif"/>
                <w:color w:val="1A2433"/>
                <w:sz w:val="16"/>
              </w:rPr>
              <w:t>Data(e) стабильно, Rep(e|F₀) может отличаться от Rep(e|F₁).</w:t>
            </w:r>
          </w:p>
        </w:tc>
      </w:tr>
    </w:tbl>
    <w:p>
      <w:pPr>
        <w:widowControl/>
        <w:spacing w:after="20"/>
      </w:pP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cr(2,1;0,4/3)=-1,   cr(2,1;0,3)=4</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T4-F027</w:t>
              <w:br/>
              <w:t>EXACT COUNTERMODEL</w:t>
            </w:r>
          </w:p>
        </w:tc>
      </w:tr>
    </w:tbl>
    <w:p>
      <w:pPr>
        <w:widowControl/>
        <w:spacing w:after="0"/>
      </w:pPr>
    </w:p>
    <w:tbl>
      <w:tblPr>
        <w:tblW w:type="auto" w:w="0"/>
        <w:jc w:val="center"/>
        <w:tblLayout w:type="fixed"/>
        <w:tblLook w:firstColumn="1" w:firstRow="1" w:lastColumn="0" w:lastRow="0" w:noHBand="0" w:noVBand="1" w:val="04A0"/>
      </w:tblPr>
      <w:tblGrid>
        <w:gridCol w:w="8220"/>
        <w:gridCol w:w="1417"/>
      </w:tblGrid>
      <w:tr>
        <w:trPr>
          <w:cantSplit/>
          <w:trHeight w:hRule="atLeast"/>
          <w:tblHeader w:val="true"/>
        </w:trPr>
        <w:tc>
          <w:tcPr>
            <w:tcW w:type="dxa" w:w="4932"/>
            <w:shd w:fill="F3F5F7"/>
            <w:tcMar>
              <w:top w:w="90" w:type="dxa"/>
              <w:start w:w="100" w:type="dxa"/>
              <w:bottom w:w="90" w:type="dxa"/>
              <w:end w:w="100" w:type="dxa"/>
            </w:tcMar>
            <w:vAlign w:val="center"/>
          </w:tcPr>
          <w:p>
            <w:pPr>
              <w:widowControl/>
              <w:spacing w:after="0"/>
              <w:jc w:val="center"/>
            </w:pPr>
            <w:r>
              <w:rPr>
                <w:rFonts w:ascii="DejaVu Serif" w:hAnsi="DejaVu Serif" w:eastAsia="DejaVu Serif"/>
                <w:i/>
                <w:color w:val="173A61"/>
                <w:sz w:val="22"/>
              </w:rPr>
              <w:t>Data(e)=const;  Rep(e|F₀) ≠ Rep(e|F₁) возможно</w:t>
            </w:r>
          </w:p>
        </w:tc>
        <w:tc>
          <w:tcPr>
            <w:tcW w:type="dxa" w:w="4932"/>
            <w:shd w:fill="F3F5F7"/>
            <w:tcMar>
              <w:top w:w="90" w:type="dxa"/>
              <w:start w:w="100" w:type="dxa"/>
              <w:bottom w:w="90" w:type="dxa"/>
              <w:end w:w="100" w:type="dxa"/>
            </w:tcMar>
            <w:vAlign w:val="center"/>
          </w:tcPr>
          <w:p>
            <w:pPr>
              <w:widowControl/>
              <w:spacing w:after="0"/>
              <w:jc w:val="center"/>
            </w:pPr>
            <w:r>
              <w:rPr>
                <w:rFonts w:ascii="DejaVu Sans" w:hAnsi="DejaVu Sans" w:eastAsia="DejaVu Sans"/>
                <w:b/>
                <w:color w:val="53677D"/>
                <w:sz w:val="17"/>
              </w:rPr>
              <w:t>T4-F028</w:t>
              <w:br/>
              <w:t>METHODOLOGICAL MODEL</w:t>
            </w:r>
          </w:p>
        </w:tc>
      </w:tr>
    </w:tbl>
    <w:p>
      <w:pPr>
        <w:widowControl/>
        <w:spacing w:after="0"/>
      </w:pPr>
    </w:p>
    <w:p>
      <w:pPr>
        <w:pStyle w:val="Heading2"/>
        <w:keepNext/>
        <w:pageBreakBefore w:val="0"/>
        <w:widowControl/>
        <w:spacing w:before="140" w:after="100"/>
      </w:pPr>
      <w:r>
        <w:rPr>
          <w:rFonts w:ascii="DejaVu Sans" w:hAnsi="DejaVu Sans" w:eastAsia="DejaVu Sans"/>
          <w:b/>
          <w:color w:val="214D7A"/>
          <w:sz w:val="26"/>
        </w:rPr>
        <w:t>4.7. Первая условная связность Human_R</w:t>
      </w:r>
    </w:p>
    <w:tbl>
      <w:tblPr>
        <w:tblW w:type="auto" w:w="0"/>
        <w:jc w:val="center"/>
        <w:tblLayout w:type="fixed"/>
        <w:tblLook w:firstColumn="1" w:firstRow="1" w:lastColumn="0" w:lastRow="0" w:noHBand="0" w:noVBand="1" w:val="04A0"/>
      </w:tblPr>
      <w:tblGrid>
        <w:gridCol w:w="9638"/>
      </w:tblGrid>
      <w:tr>
        <w:trPr>
          <w:cantSplit/>
          <w:trHeight w:hRule="atLeast"/>
          <w:tblHeader w:val="true"/>
        </w:trPr>
        <w:tc>
          <w:tcPr>
            <w:tcW w:type="dxa" w:w="9865"/>
            <w:shd w:fill="F7F0DA"/>
            <w:tcMar>
              <w:top w:w="90" w:type="dxa"/>
              <w:start w:w="100" w:type="dxa"/>
              <w:bottom w:w="90" w:type="dxa"/>
              <w:end w:w="100" w:type="dxa"/>
            </w:tcMar>
            <w:vAlign w:val="center"/>
          </w:tcPr>
          <w:p>
            <w:pPr>
              <w:keepLines/>
              <w:widowControl/>
              <w:spacing w:after="0" w:line="259" w:lineRule="auto"/>
            </w:pPr>
            <w:r>
              <w:rPr>
                <w:rFonts w:ascii="DejaVu Sans" w:hAnsi="DejaVu Sans" w:eastAsia="DejaVu Sans"/>
                <w:b/>
                <w:color w:val="A97814"/>
                <w:sz w:val="20"/>
              </w:rPr>
              <w:t xml:space="preserve">СЛЕДСТВИЕ T4.4.2 [COND]. </w:t>
            </w:r>
            <w:r>
              <w:rPr>
                <w:rFonts w:ascii="DejaVu Serif" w:hAnsi="DejaVu Serif" w:eastAsia="DejaVu Serif"/>
                <w:color w:val="1A2433"/>
                <w:sz w:val="20"/>
              </w:rPr>
              <w:t>Если T_h определён, provenance трассируется, статусные каналы сравнимы, λ_h либо корректно вычислена, либо явно равна ⊥_λ, то результат (s_new,m) может быть включён в новую запись Human_R без повышения исходных каналов статуса.</w:t>
            </w:r>
          </w:p>
        </w:tc>
      </w:tr>
    </w:tbl>
    <w:p>
      <w:pPr>
        <w:widowControl/>
        <w:spacing w:after="0"/>
      </w:pPr>
    </w:p>
    <w:p>
      <w:pPr>
        <w:keepLines w:val="0"/>
        <w:widowControl/>
        <w:spacing w:after="80" w:before="0" w:line="269" w:lineRule="auto"/>
        <w:ind w:firstLine="425"/>
        <w:jc w:val="both"/>
      </w:pPr>
      <w:r>
        <w:rPr>
          <w:rFonts w:ascii="DejaVu Serif" w:hAnsi="DejaVu Serif" w:eastAsia="DejaVu Serif"/>
          <w:i w:val="0"/>
          <w:color w:val="1A2433"/>
          <w:sz w:val="21"/>
        </w:rPr>
        <w:t>Следствие не требует λ_h для существования Human_R: λ является частичным полем. Это принципиально. Отсутствие projective encoding не уничтожает человеческое событие, но запрещает именно λ-авторизацию.</w:t>
      </w:r>
    </w:p>
    <w:tbl>
      <w:tblPr>
        <w:tblW w:type="auto" w:w="0"/>
        <w:jc w:val="center"/>
        <w:tblLayout w:type="fixed"/>
        <w:tblLook w:firstColumn="1" w:firstRow="1" w:lastColumn="0" w:lastRow="0" w:noHBand="0" w:noVBand="1" w:val="04A0"/>
      </w:tblPr>
      <w:tblGrid>
        <w:gridCol w:w="9638"/>
      </w:tblGrid>
      <w:tr>
        <w:trPr>
          <w:cantSplit/>
          <w:trHeight w:hRule="atLeast"/>
          <w:tblHeader w:val="true"/>
        </w:trPr>
        <w:tc>
          <w:tcPr>
            <w:tcW w:type="dxa" w:w="9865"/>
            <w:shd w:fill="EAF4EF"/>
            <w:tcMar>
              <w:top w:w="90" w:type="dxa"/>
              <w:start w:w="100" w:type="dxa"/>
              <w:bottom w:w="90" w:type="dxa"/>
              <w:end w:w="100" w:type="dxa"/>
            </w:tcMar>
            <w:vAlign w:val="center"/>
          </w:tcPr>
          <w:p>
            <w:pPr>
              <w:keepLines/>
              <w:widowControl/>
              <w:spacing w:after="0" w:line="259" w:lineRule="auto"/>
            </w:pPr>
            <w:r>
              <w:rPr>
                <w:rFonts w:ascii="DejaVu Sans" w:hAnsi="DejaVu Sans" w:eastAsia="DejaVu Sans"/>
                <w:b/>
                <w:color w:val="2F6B52"/>
                <w:sz w:val="20"/>
              </w:rPr>
              <w:t xml:space="preserve">РЕЗУЛЬТАТ ГЛАВЫ 4. </w:t>
            </w:r>
            <w:r>
              <w:rPr>
                <w:rFonts w:ascii="DejaVu Serif" w:hAnsi="DejaVu Serif" w:eastAsia="DejaVu Serif"/>
                <w:color w:val="1A2433"/>
                <w:sz w:val="20"/>
              </w:rPr>
              <w:t>T4-PO-006 и T4-PO-007 закрыты на уровне DEF-FORMAL; формальная часть T4-PO-008 закрыта теоремой T4.4.1. Антропологическая универсальность, эмпирическая применимость и нормативная интерпретация остаются OPEN/COND.</w:t>
            </w:r>
          </w:p>
        </w:tc>
      </w:tr>
    </w:tbl>
    <w:p>
      <w:pPr>
        <w:widowControl/>
        <w:spacing w:after="0"/>
      </w:pPr>
    </w:p>
    <w:p>
      <w:pPr>
        <w:pStyle w:val="Heading1"/>
        <w:keepNext/>
        <w:widowControl/>
      </w:pPr>
      <w:r>
        <w:rPr>
          <w:rFonts w:ascii="DejaVu Sans" w:hAnsi="DejaVu Sans" w:eastAsia="DejaVu Sans"/>
          <w:i w:val="0"/>
          <w:color w:val="1A2433"/>
          <w:sz w:val="24"/>
        </w:rPr>
        <w:t>ЧАСТЬ II. ДЕЙСТВИЕ, СВОБОДА И РАЗВОРОТ</w:t>
      </w:r>
    </w:p>
    <w:p>
      <w:pPr>
        <w:pStyle w:val="Heading1"/>
        <w:keepNext/>
        <w:widowControl/>
      </w:pPr>
      <w:r>
        <w:rPr>
          <w:rFonts w:ascii="DejaVu Sans" w:hAnsi="DejaVu Sans" w:eastAsia="DejaVu Sans"/>
          <w:i w:val="0"/>
          <w:color w:val="1A2433"/>
          <w:sz w:val="24"/>
        </w:rPr>
        <w:t>Глава 5. Тело как ориентационная структура</w:t>
      </w:r>
    </w:p>
    <w:tbl>
      <w:tblPr>
        <w:tblW w:type="auto" w:w="0"/>
        <w:jc w:val="center"/>
        <w:tblLayout w:type="fixed"/>
        <w:tblLook w:firstColumn="1" w:firstRow="1" w:lastColumn="0" w:lastRow="0" w:noHBand="0" w:noVBand="1" w:val="04A0"/>
      </w:tblPr>
      <w:tblGrid>
        <w:gridCol w:w="9865"/>
      </w:tblGrid>
      <w:tr>
        <w:trPr>
          <w:cantSplit/>
          <w:trHeight w:hRule="atLeast"/>
          <w:tblHeader w:val="true"/>
        </w:trPr>
        <w:tc>
          <w:tcPr>
            <w:tcW w:type="dxa" w:w="9000"/>
            <w:shd w:fill="EAF1F8"/>
            <w:tcMar>
              <w:top w:w="90" w:type="dxa"/>
              <w:start w:w="100" w:type="dxa"/>
              <w:bottom w:w="90" w:type="dxa"/>
              <w:end w:w="100" w:type="dxa"/>
            </w:tcMar>
            <w:tcBorders>
              <w:top w:sz="14" w:val="single" w:color="173A61"/>
              <w:left w:sz="14" w:val="single" w:color="173A61"/>
              <w:bottom w:sz="14" w:val="single" w:color="173A61"/>
              <w:right w:sz="14" w:val="single" w:color="173A61"/>
            </w:tcBorders>
            <w:vAlign w:val="center"/>
          </w:tcPr>
          <w:p>
            <w:pPr>
              <w:widowControl/>
              <w:spacing w:after="0" w:line="259" w:lineRule="auto"/>
            </w:pPr>
            <w:r>
              <w:rPr>
                <w:rFonts w:ascii="DejaVu Sans" w:hAnsi="DejaVu Sans" w:eastAsia="DejaVu Sans"/>
                <w:b/>
                <w:color w:val="173A61"/>
                <w:sz w:val="18"/>
              </w:rPr>
              <w:t xml:space="preserve">РАМКА ГЛАВЫ 5. </w:t>
            </w:r>
            <w:r>
              <w:rPr>
                <w:rFonts w:ascii="DejaVu Serif" w:hAnsi="DejaVu Serif" w:eastAsia="DejaVu Serif"/>
                <w:i w:val="0"/>
                <w:color w:val="1A2433"/>
                <w:sz w:val="18"/>
              </w:rPr>
              <w:t>ОНТОЛОГИЯ. Человеческое действие начинается не из абстрактной точки выбора, а из телесно расположенного события@состояния. ГНОСЕОЛОГИЯ. Доступное действие известно только через сенсомоторные, ресурсные, инструментальные и предел-ориентированные данные. ФЕНОМЕНОЛОГИЯ. Тело проявляется как «здесь», направление, усилие, досягаемость и сопротивление. ОГРАНИЧЕНИЕ. Модель не сводит личность к телу и не делает клинических выводов. АВТОРСКАЯ НОВИЗНА. Телесная рамка включается в Human_R как gate области Dom(Δ_h).</w:t>
            </w:r>
          </w:p>
        </w:tc>
      </w:tr>
    </w:tbl>
    <w:p>
      <w:pPr>
        <w:pStyle w:val="Heading2"/>
        <w:keepNext/>
        <w:widowControl/>
      </w:pPr>
      <w:r>
        <w:rPr>
          <w:rFonts w:ascii="DejaVu Sans" w:hAnsi="DejaVu Sans" w:eastAsia="DejaVu Sans"/>
          <w:i w:val="0"/>
          <w:color w:val="1A2433"/>
          <w:sz w:val="21"/>
        </w:rPr>
        <w:t>5.1. От абстрактного агента к телесно расположенной записи</w:t>
      </w:r>
    </w:p>
    <w:p>
      <w:pPr>
        <w:widowControl/>
      </w:pPr>
      <w:r>
        <w:rPr>
          <w:rFonts w:ascii="DejaVu Serif" w:hAnsi="DejaVu Serif" w:eastAsia="DejaVu Serif"/>
          <w:b w:val="0"/>
          <w:i w:val="0"/>
          <w:color w:val="1A2433"/>
          <w:sz w:val="21"/>
        </w:rPr>
        <w:t>В T4-CORE-v0.2 агент A_h был только идентификатором роли. Для анализа действия этого недостаточно: один и тот же словесный вариант может быть физически доступен одному телу, недоступен другому или доступен лишь через технический посредник. Поэтому вводится телесная ориентационная рамка. Она не является полным описанием организма; это минимальный контракт, который связывает локальное положение, допустимые направления, ресурсы и сенсорную доступность.</w:t>
      </w:r>
    </w:p>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B_h(s) = (T_sM_h, g_s, F_s, C_body(s), E_res(s), S_sens(s))</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T4-F029</w:t>
              <w:br/>
              <w:t>DEF</w:t>
            </w:r>
          </w:p>
        </w:tc>
      </w:tr>
    </w:tbl>
    <w:p>
      <w:pPr>
        <w:widowControl/>
      </w:pPr>
      <w:r>
        <w:rPr>
          <w:rFonts w:ascii="DejaVu Serif" w:hAnsi="DejaVu Serif" w:eastAsia="DejaVu Serif"/>
          <w:b w:val="0"/>
          <w:i w:val="0"/>
          <w:color w:val="1A2433"/>
          <w:sz w:val="21"/>
        </w:rPr>
        <w:t>Здесь T_sM_h — локальное пространство возможных изменений состояния; g_s — выбранная метрика усилия или различимости; F_s — локальная система ориентации; C_body(s) — конус телесно допустимых начальных направлений; E_res(s) — ресурсный бюджет; S_sens(s) — сенсорный интерфейс. Смена домена может изменить каждое из этих полей, поэтому B_h не переносится между задачами молча.</w:t>
      </w:r>
    </w:p>
    <w:p>
      <w:pPr>
        <w:pStyle w:val="Heading2"/>
        <w:keepNext/>
        <w:widowControl/>
      </w:pPr>
      <w:r>
        <w:rPr>
          <w:rFonts w:ascii="DejaVu Sans" w:hAnsi="DejaVu Sans" w:eastAsia="DejaVu Sans"/>
          <w:i w:val="0"/>
          <w:color w:val="1A2433"/>
          <w:sz w:val="21"/>
        </w:rPr>
        <w:t>5.2. Область допустимого действия</w:t>
      </w:r>
    </w:p>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AdmAct_h(O,s) = C_body(s) ∩ C_L(s) ∩ C_D(s) ∩ C_access(O,s)</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T4-F030</w:t>
              <w:br/>
              <w:t>DEF</w:t>
            </w:r>
          </w:p>
        </w:tc>
      </w:tr>
    </w:tbl>
    <w:p>
      <w:pPr>
        <w:widowControl/>
      </w:pPr>
      <w:r>
        <w:rPr>
          <w:rFonts w:ascii="DejaVu Serif" w:hAnsi="DejaVu Serif" w:eastAsia="DejaVu Serif"/>
          <w:b w:val="0"/>
          <w:i w:val="0"/>
          <w:color w:val="1A2433"/>
          <w:sz w:val="21"/>
        </w:rPr>
        <w:t>C_L(s) выражает пределы L, C_D(s) — направления, для которых существует достаточное основание и разрешённый причинный мост, а C_access(O,s) — фактический доступ наблюдателя к средствам действия. Тем самым «административный допуск» из авторской заметки получает строгую локальную форму: это не мистическая власть над природой, а объявленное множество управляемых входов.</w:t>
      </w:r>
    </w:p>
    <w:p>
      <w:pPr>
        <w:widowControl/>
        <w:spacing w:after="60"/>
        <w:jc w:val="center"/>
      </w:pPr>
      <w:r>
        <w:drawing>
          <wp:inline xmlns:a="http://schemas.openxmlformats.org/drawingml/2006/main" xmlns:pic="http://schemas.openxmlformats.org/drawingml/2006/picture">
            <wp:extent cx="5715000" cy="2568303"/>
            <wp:docPr id="4" name="Picture 4" descr="Телесная рамка, пределы и техническое расширение области допустимых действий." title="Телесная рамка, пределы и техническое расширение области допустимых действий."/>
            <wp:cNvGraphicFramePr>
              <a:graphicFrameLocks noChangeAspect="1"/>
            </wp:cNvGraphicFramePr>
            <a:graphic>
              <a:graphicData uri="http://schemas.openxmlformats.org/drawingml/2006/picture">
                <pic:pic>
                  <pic:nvPicPr>
                    <pic:cNvPr id="0" name="fig04_body_orientation.png"/>
                    <pic:cNvPicPr/>
                  </pic:nvPicPr>
                  <pic:blipFill>
                    <a:blip r:embed="rId18"/>
                    <a:stretch>
                      <a:fillRect/>
                    </a:stretch>
                  </pic:blipFill>
                  <pic:spPr>
                    <a:xfrm>
                      <a:off x="0" y="0"/>
                      <a:ext cx="5715000" cy="2568303"/>
                    </a:xfrm>
                    <a:prstGeom prst="rect"/>
                  </pic:spPr>
                </pic:pic>
              </a:graphicData>
            </a:graphic>
          </wp:inline>
        </w:drawing>
      </w:r>
    </w:p>
    <w:p>
      <w:pPr>
        <w:pStyle w:val="Caption"/>
        <w:keepNext w:val="0"/>
        <w:keepLines/>
        <w:widowControl/>
        <w:jc w:val="center"/>
      </w:pPr>
      <w:r>
        <w:rPr>
          <w:rFonts w:ascii="DejaVu Serif" w:hAnsi="DejaVu Serif" w:eastAsia="DejaVu Serif"/>
          <w:b/>
          <w:color w:val="4F81BD"/>
          <w:sz w:val="17"/>
        </w:rPr>
        <w:t>Рисунок 4. Телесная рамка, пределы и техническое расширение области Dom(Δ_h).</w:t>
      </w:r>
    </w:p>
    <w:p>
      <w:pPr>
        <w:pStyle w:val="Heading2"/>
        <w:keepNext/>
        <w:widowControl/>
      </w:pPr>
      <w:r>
        <w:rPr>
          <w:rFonts w:ascii="DejaVu Sans" w:hAnsi="DejaVu Sans" w:eastAsia="DejaVu Sans"/>
          <w:i w:val="0"/>
          <w:color w:val="1A2433"/>
          <w:sz w:val="21"/>
        </w:rPr>
        <w:t>5.3. Технология как морфизм расширения доступа</w:t>
      </w:r>
    </w:p>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τ_T : AdmAct_h(O,s) → AdmAct_h(O⊕T,s),    Dom(Δ_h^O) ⊆ Dom(Δ_h^{O⊕T})</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T4-F031</w:t>
              <w:br/>
              <w:t>COND/DEF</w:t>
            </w:r>
          </w:p>
        </w:tc>
      </w:tr>
    </w:tbl>
    <w:p>
      <w:pPr>
        <w:widowControl/>
      </w:pPr>
      <w:r>
        <w:rPr>
          <w:rFonts w:ascii="DejaVu Serif" w:hAnsi="DejaVu Serif" w:eastAsia="DejaVu Serif"/>
          <w:b w:val="0"/>
          <w:i w:val="0"/>
          <w:color w:val="1A2433"/>
          <w:sz w:val="21"/>
        </w:rPr>
        <w:t>Техническая система T может расширить доступные направления: рычаг, судно, реактор, вычислительная машина или космический аппарат реализуют действия, недоступные невооружённому телу. Но τ_T не отменяет Разворот: новая область действия приобретает собственные контуры обслуживания, безопасности, снабжения и отказа. Атомная энергетика, управляемый термоядерный эксперимент и космический полёт рассматриваются здесь только как иллюстрации длинных поддерживаемых причинных цепей, а не как эмпирические доказательства KLT.</w:t>
      </w:r>
    </w:p>
    <w:p>
      <w:pPr>
        <w:pStyle w:val="Heading2"/>
        <w:keepNext/>
        <w:widowControl/>
      </w:pPr>
      <w:r>
        <w:rPr>
          <w:rFonts w:ascii="DejaVu Sans" w:hAnsi="DejaVu Sans" w:eastAsia="DejaVu Sans"/>
          <w:i w:val="0"/>
          <w:color w:val="1A2433"/>
          <w:sz w:val="21"/>
        </w:rPr>
        <w:t>5.4. Пропозиция о телесной неэквивалентности альтернатив</w:t>
      </w:r>
    </w:p>
    <w:tbl>
      <w:tblPr>
        <w:tblW w:type="auto" w:w="0"/>
        <w:jc w:val="center"/>
        <w:tblLayout w:type="fixed"/>
        <w:tblLook w:firstColumn="1" w:firstRow="1" w:lastColumn="0" w:lastRow="0" w:noHBand="0" w:noVBand="1" w:val="04A0"/>
      </w:tblPr>
      <w:tblGrid>
        <w:gridCol w:w="9865"/>
      </w:tblGrid>
      <w:tr>
        <w:trPr>
          <w:cantSplit/>
          <w:trHeight w:hRule="atLeast"/>
          <w:tblHeader w:val="true"/>
        </w:trPr>
        <w:tc>
          <w:tcPr>
            <w:tcW w:type="dxa" w:w="9000"/>
            <w:shd w:fill="EEF6F0"/>
            <w:tcMar>
              <w:top w:w="90" w:type="dxa"/>
              <w:start w:w="100" w:type="dxa"/>
              <w:bottom w:w="90" w:type="dxa"/>
              <w:end w:w="100" w:type="dxa"/>
            </w:tcMar>
            <w:tcBorders>
              <w:top w:sz="14" w:val="single" w:color="4D7A62"/>
              <w:left w:sz="14" w:val="single" w:color="4D7A62"/>
              <w:bottom w:sz="14" w:val="single" w:color="4D7A62"/>
              <w:right w:sz="14" w:val="single" w:color="4D7A62"/>
            </w:tcBorders>
            <w:vAlign w:val="center"/>
          </w:tcPr>
          <w:p>
            <w:pPr>
              <w:widowControl/>
              <w:spacing w:after="0" w:line="259" w:lineRule="auto"/>
            </w:pPr>
            <w:r>
              <w:rPr>
                <w:rFonts w:ascii="DejaVu Sans" w:hAnsi="DejaVu Sans" w:eastAsia="DejaVu Sans"/>
                <w:b/>
                <w:color w:val="4D7A62"/>
                <w:sz w:val="18"/>
              </w:rPr>
              <w:t xml:space="preserve">РЕЗУЛЬТАТ. </w:t>
            </w:r>
            <w:r>
              <w:rPr>
                <w:rFonts w:ascii="DejaVu Serif" w:hAnsi="DejaVu Serif" w:eastAsia="DejaVu Serif"/>
                <w:i w:val="0"/>
                <w:color w:val="1A2433"/>
                <w:sz w:val="18"/>
              </w:rPr>
              <w:t>ПРОПОЗИЦИЯ T4.5.1 [PROP-FORMAL]. Если для двух состояний s₁ и s₂ множества абстрактно именованных альтернатив совпадают, но C_body(s₁)≠C_body(s₂), то Dom(Δ_h|s₁) и Dom(Δ_h|s₂) в общем случае различаются. Следовательно, словесное «могу выбрать a» не устанавливает физическую или операционную доступность a.</w:t>
            </w:r>
          </w:p>
        </w:tc>
      </w:tr>
    </w:tbl>
    <w:p>
      <w:pPr>
        <w:widowControl/>
      </w:pPr>
      <w:r>
        <w:rPr>
          <w:rFonts w:ascii="DejaVu Serif" w:hAnsi="DejaVu Serif" w:eastAsia="DejaVu Serif"/>
          <w:b w:val="0"/>
          <w:i w:val="0"/>
          <w:color w:val="1A2433"/>
          <w:sz w:val="21"/>
        </w:rPr>
        <w:t>Доказательство. Возьмём направление v, принадлежащее C_body(s₁), но не принадлежащее C_body(s₂). При совпадении остальных gate-условий v допустимо в первом домене и недопустимо во втором. Значит, области Δ_h различны. □</w:t>
      </w:r>
    </w:p>
    <w:p>
      <w:pPr>
        <w:pStyle w:val="Heading2"/>
        <w:keepNext/>
        <w:widowControl/>
      </w:pPr>
      <w:r>
        <w:rPr>
          <w:rFonts w:ascii="DejaVu Sans" w:hAnsi="DejaVu Sans" w:eastAsia="DejaVu Sans"/>
          <w:i w:val="0"/>
          <w:color w:val="1A2433"/>
          <w:sz w:val="21"/>
        </w:rPr>
        <w:t>5.5. Контрмодель: оценка без возможности действия</w:t>
      </w:r>
    </w:p>
    <w:tbl>
      <w:tblPr>
        <w:tblW w:type="auto" w:w="0"/>
        <w:jc w:val="center"/>
        <w:tblLayout w:type="fixed"/>
        <w:tblLook w:firstColumn="1" w:firstRow="1" w:lastColumn="0" w:lastRow="0" w:noHBand="0" w:noVBand="1" w:val="04A0"/>
      </w:tblPr>
      <w:tblGrid>
        <w:gridCol w:w="3288"/>
        <w:gridCol w:w="3288"/>
        <w:gridCol w:w="3288"/>
      </w:tblGrid>
      <w:tr>
        <w:trPr>
          <w:cantSplit/>
          <w:trHeight w:hRule="atLeast"/>
          <w:tblHeader w:val="true"/>
        </w:trPr>
        <w:tc>
          <w:tcPr>
            <w:tcW w:type="dxa" w:w="11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7"/>
              </w:rPr>
              <w:t>ID</w:t>
            </w:r>
          </w:p>
        </w:tc>
        <w:tc>
          <w:tcPr>
            <w:tcW w:type="dxa" w:w="47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7"/>
              </w:rPr>
              <w:t>Конструкция</w:t>
            </w:r>
          </w:p>
        </w:tc>
        <w:tc>
          <w:tcPr>
            <w:tcW w:type="dxa" w:w="324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7"/>
              </w:rPr>
              <w:t>Вывод</w:t>
            </w:r>
          </w:p>
        </w:tc>
      </w:tr>
      <w:tr>
        <w:trPr>
          <w:cantSplit/>
          <w:trHeight w:hRule="atLeast"/>
        </w:trPr>
        <w:tc>
          <w:tcPr>
            <w:tcW w:type="dxa" w:w="11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center"/>
            </w:pPr>
            <w:r>
              <w:rPr>
                <w:rFonts w:ascii="DejaVu Serif" w:hAnsi="DejaVu Serif" w:eastAsia="DejaVu Serif"/>
                <w:b w:val="0"/>
                <w:color w:val="1A2433"/>
                <w:sz w:val="17"/>
              </w:rPr>
              <w:t>CM-010</w:t>
            </w:r>
          </w:p>
        </w:tc>
        <w:tc>
          <w:tcPr>
            <w:tcW w:type="dxa" w:w="47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7"/>
              </w:rPr>
              <w:t>Агент корректно ранжирует a₁≻a₂, но a₁∉C_body(s) или не имеет C_access.</w:t>
            </w:r>
          </w:p>
        </w:tc>
        <w:tc>
          <w:tcPr>
            <w:tcW w:type="dxa" w:w="324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7"/>
              </w:rPr>
              <w:t>Eval_h и Sel_h определены, Δ_h(a₁) — нет. Оценка не равна свободе действия.</w:t>
            </w:r>
          </w:p>
        </w:tc>
      </w:tr>
      <w:tr>
        <w:trPr>
          <w:cantSplit/>
          <w:trHeight w:hRule="atLeast"/>
        </w:trPr>
        <w:tc>
          <w:tcPr>
            <w:tcW w:type="dxa" w:w="11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center"/>
            </w:pPr>
            <w:r>
              <w:rPr>
                <w:rFonts w:ascii="DejaVu Serif" w:hAnsi="DejaVu Serif" w:eastAsia="DejaVu Serif"/>
                <w:b w:val="0"/>
                <w:color w:val="1A2433"/>
                <w:sz w:val="17"/>
              </w:rPr>
              <w:t>CM-011</w:t>
            </w:r>
          </w:p>
        </w:tc>
        <w:tc>
          <w:tcPr>
            <w:tcW w:type="dxa" w:w="47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7"/>
              </w:rPr>
              <w:t>Технология расширяет Dom(Δ), но обслуживание прекращено и ресурс E_res падает ниже порога.</w:t>
            </w:r>
          </w:p>
        </w:tc>
        <w:tc>
          <w:tcPr>
            <w:tcW w:type="dxa" w:w="324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7"/>
              </w:rPr>
              <w:t>Расширенный доступ не гарантирует долговечность причинной цепи.</w:t>
            </w:r>
          </w:p>
        </w:tc>
      </w:tr>
    </w:tbl>
    <w:tbl>
      <w:tblPr>
        <w:tblW w:type="auto" w:w="0"/>
        <w:jc w:val="center"/>
        <w:tblLayout w:type="fixed"/>
        <w:tblLook w:firstColumn="1" w:firstRow="1" w:lastColumn="0" w:lastRow="0" w:noHBand="0" w:noVBand="1" w:val="04A0"/>
      </w:tblPr>
      <w:tblGrid>
        <w:gridCol w:w="9865"/>
      </w:tblGrid>
      <w:tr>
        <w:trPr>
          <w:cantSplit/>
          <w:trHeight w:hRule="atLeast"/>
          <w:tblHeader w:val="true"/>
        </w:trPr>
        <w:tc>
          <w:tcPr>
            <w:tcW w:type="dxa" w:w="9000"/>
            <w:shd w:fill="EEF6F0"/>
            <w:tcMar>
              <w:top w:w="90" w:type="dxa"/>
              <w:start w:w="100" w:type="dxa"/>
              <w:bottom w:w="90" w:type="dxa"/>
              <w:end w:w="100" w:type="dxa"/>
            </w:tcMar>
            <w:tcBorders>
              <w:top w:sz="14" w:val="single" w:color="4D7A62"/>
              <w:left w:sz="14" w:val="single" w:color="4D7A62"/>
              <w:bottom w:sz="14" w:val="single" w:color="4D7A62"/>
              <w:right w:sz="14" w:val="single" w:color="4D7A62"/>
            </w:tcBorders>
            <w:vAlign w:val="center"/>
          </w:tcPr>
          <w:p>
            <w:pPr>
              <w:widowControl/>
              <w:spacing w:after="0" w:line="259" w:lineRule="auto"/>
            </w:pPr>
            <w:r>
              <w:rPr>
                <w:rFonts w:ascii="DejaVu Sans" w:hAnsi="DejaVu Sans" w:eastAsia="DejaVu Sans"/>
                <w:b/>
                <w:color w:val="4D7A62"/>
                <w:sz w:val="18"/>
              </w:rPr>
              <w:t xml:space="preserve">STATUS. </w:t>
            </w:r>
            <w:r>
              <w:rPr>
                <w:rFonts w:ascii="DejaVu Serif" w:hAnsi="DejaVu Serif" w:eastAsia="DejaVu Serif"/>
                <w:i w:val="0"/>
                <w:color w:val="1A2433"/>
                <w:sz w:val="18"/>
              </w:rPr>
              <w:t>РЕЗУЛЬТАТ ГЛАВЫ 5. Тело включено в модель не как метафизическая сущность, а как типизированная рамка начала действия. Закрыта формальная часть T4-ACT-PO-001 и T4-ACT-PO-002; биологическая полнота остаётся OPEN.</w:t>
            </w:r>
          </w:p>
        </w:tc>
      </w:tr>
    </w:tbl>
    <w:p>
      <w:pPr>
        <w:widowControl/>
      </w:pPr>
      <w:r>
        <w:br w:type="page"/>
      </w:r>
    </w:p>
    <w:p>
      <w:pPr>
        <w:pStyle w:val="Heading1"/>
        <w:keepNext/>
        <w:widowControl/>
      </w:pPr>
      <w:r>
        <w:rPr>
          <w:rFonts w:ascii="DejaVu Sans" w:hAnsi="DejaVu Sans" w:eastAsia="DejaVu Sans"/>
          <w:i w:val="0"/>
          <w:color w:val="1A2433"/>
          <w:sz w:val="24"/>
        </w:rPr>
        <w:t>Глава 6. Свобода воли как свобода начинания и генератор причинной ветви</w:t>
      </w:r>
    </w:p>
    <w:tbl>
      <w:tblPr>
        <w:tblW w:type="auto" w:w="0"/>
        <w:jc w:val="center"/>
        <w:tblLayout w:type="fixed"/>
        <w:tblLook w:firstColumn="1" w:firstRow="1" w:lastColumn="0" w:lastRow="0" w:noHBand="0" w:noVBand="1" w:val="04A0"/>
      </w:tblPr>
      <w:tblGrid>
        <w:gridCol w:w="9865"/>
      </w:tblGrid>
      <w:tr>
        <w:trPr>
          <w:cantSplit/>
          <w:trHeight w:hRule="atLeast"/>
          <w:tblHeader w:val="true"/>
        </w:trPr>
        <w:tc>
          <w:tcPr>
            <w:tcW w:type="dxa" w:w="9000"/>
            <w:shd w:fill="F7F4EA"/>
            <w:tcMar>
              <w:top w:w="90" w:type="dxa"/>
              <w:start w:w="100" w:type="dxa"/>
              <w:bottom w:w="90" w:type="dxa"/>
              <w:end w:w="100" w:type="dxa"/>
            </w:tcMar>
            <w:tcBorders>
              <w:top w:sz="14" w:val="single" w:color="A97825"/>
              <w:left w:sz="14" w:val="single" w:color="A97825"/>
              <w:bottom w:sz="14" w:val="single" w:color="A97825"/>
              <w:right w:sz="14" w:val="single" w:color="A97825"/>
            </w:tcBorders>
            <w:vAlign w:val="center"/>
          </w:tcPr>
          <w:p>
            <w:pPr>
              <w:widowControl/>
              <w:spacing w:after="0" w:line="259" w:lineRule="auto"/>
            </w:pPr>
            <w:r>
              <w:rPr>
                <w:rFonts w:ascii="DejaVu Sans" w:hAnsi="DejaVu Sans" w:eastAsia="DejaVu Sans"/>
                <w:b/>
                <w:color w:val="A97825"/>
                <w:sz w:val="18"/>
              </w:rPr>
              <w:t xml:space="preserve">РАМКА ГЛАВЫ 6. </w:t>
            </w:r>
            <w:r>
              <w:rPr>
                <w:rFonts w:ascii="DejaVu Serif" w:hAnsi="DejaVu Serif" w:eastAsia="DejaVu Serif"/>
                <w:i w:val="0"/>
                <w:color w:val="1A2433"/>
                <w:sz w:val="18"/>
              </w:rPr>
              <w:t>ОНТОЛОГИЯ. Свобода воли моделируется как возможность поставить начало Движа в реальном настоящем наблюдателя. ГНОСЕОЛОГИЯ. Утверждение о свободном начале требует различить оценивание, выбор, действие и внешнюю причинную среду. ФЕНОМЕНОЛОГИЯ. Свобода проявляется не в абстрактном праве оценить, а в факте начала и удержания новой линии действия. ОГРАНИЧЕНИЕ. Формализация не доказывает абсолютную беспричинность, человеческую исключительность или моральную правоту. АВТОРСКАЯ НОВИЗНА. Волевая инициатива представляется проектной апертурой и корневым узлом антропогенной причинности.</w:t>
            </w:r>
          </w:p>
        </w:tc>
      </w:tr>
    </w:tbl>
    <w:p>
      <w:pPr>
        <w:pStyle w:val="Heading2"/>
        <w:keepNext/>
        <w:widowControl/>
      </w:pPr>
      <w:r>
        <w:rPr>
          <w:rFonts w:ascii="DejaVu Sans" w:hAnsi="DejaVu Sans" w:eastAsia="DejaVu Sans"/>
          <w:i w:val="0"/>
          <w:color w:val="1A2433"/>
          <w:sz w:val="21"/>
        </w:rPr>
        <w:t>6.1. Авторский тезис и его статус</w:t>
      </w:r>
    </w:p>
    <w:tbl>
      <w:tblPr>
        <w:tblW w:type="auto" w:w="0"/>
        <w:jc w:val="center"/>
        <w:tblLayout w:type="fixed"/>
        <w:tblLook w:firstColumn="1" w:firstRow="1" w:lastColumn="0" w:lastRow="0" w:noHBand="0" w:noVBand="1" w:val="04A0"/>
      </w:tblPr>
      <w:tblGrid>
        <w:gridCol w:w="9865"/>
      </w:tblGrid>
      <w:tr>
        <w:trPr>
          <w:cantSplit/>
          <w:trHeight w:hRule="atLeast"/>
          <w:tblHeader w:val="true"/>
        </w:trPr>
        <w:tc>
          <w:tcPr>
            <w:tcW w:type="dxa" w:w="9000"/>
            <w:shd w:fill="F7F4EA"/>
            <w:tcMar>
              <w:top w:w="90" w:type="dxa"/>
              <w:start w:w="100" w:type="dxa"/>
              <w:bottom w:w="90" w:type="dxa"/>
              <w:end w:w="100" w:type="dxa"/>
            </w:tcMar>
            <w:tcBorders>
              <w:top w:sz="14" w:val="single" w:color="A97825"/>
              <w:left w:sz="14" w:val="single" w:color="A97825"/>
              <w:bottom w:sz="14" w:val="single" w:color="A97825"/>
              <w:right w:sz="14" w:val="single" w:color="A97825"/>
            </w:tcBorders>
            <w:vAlign w:val="center"/>
          </w:tcPr>
          <w:p>
            <w:pPr>
              <w:widowControl/>
              <w:spacing w:after="0" w:line="259" w:lineRule="auto"/>
            </w:pPr>
            <w:r>
              <w:rPr>
                <w:rFonts w:ascii="DejaVu Sans" w:hAnsi="DejaVu Sans" w:eastAsia="DejaVu Sans"/>
                <w:b/>
                <w:color w:val="A97825"/>
                <w:sz w:val="18"/>
              </w:rPr>
              <w:t xml:space="preserve">ИСХОДНАЯ ФОРМУЛИРОВКА КУРПИШЕВА. </w:t>
            </w:r>
            <w:r>
              <w:rPr>
                <w:rFonts w:ascii="DejaVu Serif" w:hAnsi="DejaVu Serif" w:eastAsia="DejaVu Serif"/>
                <w:i/>
                <w:color w:val="1A2433"/>
                <w:sz w:val="18"/>
              </w:rPr>
              <w:t>«Свобода воли — это свобода начинать Движи»; действие ставит в Мире Изменений несобственную проектную точку-направление, после чего возникает собственная, хотя и дырчатая, причинная цепь.</w:t>
            </w:r>
          </w:p>
        </w:tc>
      </w:tr>
    </w:tbl>
    <w:p>
      <w:pPr>
        <w:widowControl/>
      </w:pPr>
      <w:r>
        <w:rPr>
          <w:rFonts w:ascii="DejaVu Serif" w:hAnsi="DejaVu Serif" w:eastAsia="DejaVu Serif"/>
          <w:b w:val="0"/>
          <w:i w:val="0"/>
          <w:color w:val="1A2433"/>
          <w:sz w:val="21"/>
        </w:rPr>
        <w:t>Эта формулировка принимается как AUTHORIAL MODEL / PHIL-HYP. Слово «несомненно» из исходной заметки отражает авторскую феноменологическую убеждённость, но в доказательном реестре не заменяет EMP-OBS. Строгий вопрос формулируется уже: можно ли построить непротиворечивую модель, в которой агентное начало создаёт новую причинную ветвь, не разрушая законов распространения причинных изменений?</w:t>
      </w:r>
    </w:p>
    <w:p>
      <w:pPr>
        <w:pStyle w:val="Heading2"/>
        <w:keepNext/>
        <w:widowControl/>
      </w:pPr>
      <w:r>
        <w:rPr>
          <w:rFonts w:ascii="DejaVu Sans" w:hAnsi="DejaVu Sans" w:eastAsia="DejaVu Sans"/>
          <w:i w:val="0"/>
          <w:color w:val="1A2433"/>
          <w:sz w:val="21"/>
        </w:rPr>
        <w:t>6.2. Оценка, выбор и начало — разные операторы</w:t>
      </w:r>
    </w:p>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Eval_{q,c}: A_h ⇀ V_{q,c};    Sel_{q,c}: P_fin(A_h) ⇀ P_fin(A_h);    Δ_h: (O,s,a,D,L) ⇀ AAct_h</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T4-F032</w:t>
              <w:br/>
              <w:t>DEF</w:t>
            </w:r>
          </w:p>
        </w:tc>
      </w:tr>
    </w:tbl>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Eval_h ≠ Sel_h ≠ Δ_h</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T4-F033</w:t>
              <w:br/>
              <w:t>TYPE SEPARATION</w:t>
            </w:r>
          </w:p>
        </w:tc>
      </w:tr>
    </w:tbl>
    <w:p>
      <w:pPr>
        <w:widowControl/>
      </w:pPr>
      <w:r>
        <w:rPr>
          <w:rFonts w:ascii="DejaVu Serif" w:hAnsi="DejaVu Serif" w:eastAsia="DejaVu Serif"/>
          <w:b w:val="0"/>
          <w:i w:val="0"/>
          <w:color w:val="1A2433"/>
          <w:sz w:val="21"/>
        </w:rPr>
        <w:t>Eval присваивает альтернативе значение в контекстной шкале; Sel оставляет подмножество предпочтительных вариантов; Δ создаёт токен начатого действия. Живое или техническое существо может оценивать среду, не обладать доступом к выбранному действию, а может действовать спонтанно при неполной явной оценке. Поэтому свобода оценивать не тождественна свободе начинать.</w:t>
      </w:r>
    </w:p>
    <w:p>
      <w:pPr>
        <w:pStyle w:val="Heading2"/>
        <w:keepNext/>
        <w:widowControl/>
      </w:pPr>
      <w:r>
        <w:rPr>
          <w:rFonts w:ascii="DejaVu Sans" w:hAnsi="DejaVu Sans" w:eastAsia="DejaVu Sans"/>
          <w:i w:val="0"/>
          <w:color w:val="1A2433"/>
          <w:sz w:val="21"/>
        </w:rPr>
        <w:t>6.3. Мир Изменений и проектное завершение</w:t>
      </w:r>
    </w:p>
    <w:p>
      <w:pPr>
        <w:widowControl/>
      </w:pPr>
      <w:r>
        <w:rPr>
          <w:rFonts w:ascii="DejaVu Serif" w:hAnsi="DejaVu Serif" w:eastAsia="DejaVu Serif"/>
          <w:b w:val="0"/>
          <w:i w:val="0"/>
          <w:color w:val="1A2433"/>
          <w:sz w:val="21"/>
        </w:rPr>
        <w:t>Пусть M_Ξ — локальное пространство состояний Мира Изменений, а C_Ξ(s)⊂T_sM_Ξ — конус направлений, которые порождаются объявленным эндогенным полем изменения без нового агентного входа. Чтобы строго выразить авторский образ несобственной точки, рассматривается проектное завершение локального аффинного пространства.</w:t>
      </w:r>
    </w:p>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P(T_sM_Ξ ⊕ R) = (T_sM_Ξ × {1}) ∪ H_∞(s)</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T4-F034</w:t>
              <w:br/>
              <w:t>CLASSICAL/DEF</w:t>
            </w:r>
          </w:p>
        </w:tc>
      </w:tr>
    </w:tbl>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p_Δ^∞ = [v_Δ : 0] ∈ H_∞(s₀),    ℓ_Δ = closure{[s₀+τv_Δ : 1] : τ≥0}</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T4-F035</w:t>
              <w:br/>
              <w:t>MODEL DEF</w:t>
            </w:r>
          </w:p>
        </w:tc>
      </w:tr>
    </w:tbl>
    <w:p>
      <w:pPr>
        <w:widowControl/>
      </w:pPr>
      <w:r>
        <w:rPr>
          <w:rFonts w:ascii="DejaVu Serif" w:hAnsi="DejaVu Serif" w:eastAsia="DejaVu Serif"/>
          <w:b w:val="0"/>
          <w:i w:val="0"/>
          <w:color w:val="1A2433"/>
          <w:sz w:val="21"/>
        </w:rPr>
        <w:t>Строго говоря, начальное состояние s₀ остаётся собственной конечной точкой; несобственная точка p_Δ^∞ кодирует выбранное направление линии. Так устраняется нотационная опасность: «дырка» не объявляется буквальной топологической пустотой в материи. Она означает новый направленный канал, который не выводится из зафиксированного локального конуса Ξ.</w:t>
      </w:r>
    </w:p>
    <w:p>
      <w:pPr>
        <w:widowControl/>
        <w:spacing w:after="60"/>
        <w:jc w:val="center"/>
      </w:pPr>
      <w:r>
        <w:drawing>
          <wp:inline xmlns:a="http://schemas.openxmlformats.org/drawingml/2006/main" xmlns:pic="http://schemas.openxmlformats.org/drawingml/2006/picture">
            <wp:extent cx="5715000" cy="2951739"/>
            <wp:docPr id="5" name="Picture 5" descr="Проективная модель свободы начинания: конечное начало s0 и несобственная точка направления." title="Проективная модель свободы начинания: конечное начало s0 и несобственная точка направления."/>
            <wp:cNvGraphicFramePr>
              <a:graphicFrameLocks noChangeAspect="1"/>
            </wp:cNvGraphicFramePr>
            <a:graphic>
              <a:graphicData uri="http://schemas.openxmlformats.org/drawingml/2006/picture">
                <pic:pic>
                  <pic:nvPicPr>
                    <pic:cNvPr id="0" name="fig05_projective_initiation.png"/>
                    <pic:cNvPicPr/>
                  </pic:nvPicPr>
                  <pic:blipFill>
                    <a:blip r:embed="rId19"/>
                    <a:stretch>
                      <a:fillRect/>
                    </a:stretch>
                  </pic:blipFill>
                  <pic:spPr>
                    <a:xfrm>
                      <a:off x="0" y="0"/>
                      <a:ext cx="5715000" cy="2951739"/>
                    </a:xfrm>
                    <a:prstGeom prst="rect"/>
                  </pic:spPr>
                </pic:pic>
              </a:graphicData>
            </a:graphic>
          </wp:inline>
        </w:drawing>
      </w:r>
    </w:p>
    <w:p>
      <w:pPr>
        <w:pStyle w:val="Caption"/>
        <w:keepNext w:val="0"/>
        <w:keepLines/>
        <w:widowControl/>
        <w:jc w:val="center"/>
      </w:pPr>
      <w:r>
        <w:rPr>
          <w:rFonts w:ascii="DejaVu Serif" w:hAnsi="DejaVu Serif" w:eastAsia="DejaVu Serif"/>
          <w:b/>
          <w:color w:val="4F81BD"/>
          <w:sz w:val="17"/>
        </w:rPr>
        <w:t>Рисунок 5. Проективная апертура действия: конечное начало s₀ и несобственная точка направления p∞_Δ.</w:t>
      </w:r>
    </w:p>
    <w:p>
      <w:pPr>
        <w:pStyle w:val="Heading2"/>
        <w:keepNext/>
        <w:widowControl/>
      </w:pPr>
      <w:r>
        <w:rPr>
          <w:rFonts w:ascii="DejaVu Sans" w:hAnsi="DejaVu Sans" w:eastAsia="DejaVu Sans"/>
          <w:i w:val="0"/>
          <w:color w:val="1A2433"/>
          <w:sz w:val="21"/>
        </w:rPr>
        <w:t>6.4. Проективная «дырка» и Движ</w:t>
      </w:r>
    </w:p>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h_Δ(O,s₀,a) = dist_P([v_Δ], P(C_Ξ(s₀)))</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T4-F036</w:t>
              <w:br/>
              <w:t>MODEL DEF</w:t>
            </w:r>
          </w:p>
        </w:tc>
      </w:tr>
    </w:tbl>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Dvizh_Δ = (O,s₀,a,p_Δ^∞,ℓ_Δ,D_Δ,L,σ)</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T4-F037</w:t>
              <w:br/>
              <w:t>AUTHORIAL DEF</w:t>
            </w:r>
          </w:p>
        </w:tc>
      </w:tr>
    </w:tbl>
    <w:p>
      <w:pPr>
        <w:widowControl/>
      </w:pPr>
      <w:r>
        <w:rPr>
          <w:rFonts w:ascii="DejaVu Serif" w:hAnsi="DejaVu Serif" w:eastAsia="DejaVu Serif"/>
          <w:b w:val="0"/>
          <w:i w:val="0"/>
          <w:color w:val="1A2433"/>
          <w:sz w:val="21"/>
        </w:rPr>
        <w:t>Величина h_Δ измеряет отклонение нового направления от семейства направлений, уже доступных эндогенной динамике. Если h_Δ&gt;0, возникает сильная проектная апертура. Если h_Δ=0, действие всё ещё может быть агентно инициировано, но оно не создаёт нового проектного направления. Поэтому вводятся слабая и сильная формы свободы начинания.</w:t>
      </w:r>
    </w:p>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FreeInit⁰_Ω ⇔ Defined(Δ_h) ∧ AgentAuth ∧ Prov(a,D_Δ)</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T4-F038</w:t>
              <w:br/>
              <w:t>MODEL DEF</w:t>
            </w:r>
          </w:p>
        </w:tc>
      </w:tr>
    </w:tbl>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FreeInit⁺_Ω ⇔ FreeInit⁰_Ω ∧ h_Δ&gt;0</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T4-F039</w:t>
              <w:br/>
              <w:t>MODEL DEF</w:t>
            </w:r>
          </w:p>
        </w:tc>
      </w:tr>
    </w:tbl>
    <w:p>
      <w:pPr>
        <w:pStyle w:val="Heading2"/>
        <w:keepNext/>
        <w:widowControl/>
      </w:pPr>
      <w:r>
        <w:rPr>
          <w:rFonts w:ascii="DejaVu Sans" w:hAnsi="DejaVu Sans" w:eastAsia="DejaVu Sans"/>
          <w:i w:val="0"/>
          <w:color w:val="1A2433"/>
          <w:sz w:val="21"/>
        </w:rPr>
        <w:t>6.5. Свобода как генератор локальной причинности</w:t>
      </w:r>
    </w:p>
    <w:p>
      <w:pPr>
        <w:widowControl/>
      </w:pPr>
      <w:r>
        <w:rPr>
          <w:rFonts w:ascii="DejaVu Serif" w:hAnsi="DejaVu Serif" w:eastAsia="DejaVu Serif"/>
          <w:b w:val="0"/>
          <w:i w:val="0"/>
          <w:color w:val="1A2433"/>
          <w:sz w:val="21"/>
        </w:rPr>
        <w:t>Пусть G_Ξ=(V,E,≺_T) — ориентированный причинный граф текущего домена. Агентное действие добавляет новый узел a_Δ и направленные рёбра к его последствиям. Узел называется корневым относительно Ω, если входящие причины не представлены внутри данного домена; это не равнозначно утверждению об абсолютной беспричинности.</w:t>
      </w:r>
    </w:p>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G⁺ = G_Ξ ⊕ a_Δ = (V∪{a_Δ}, E∪E_Δ, ≺_T)</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T4-F040</w:t>
              <w:br/>
              <w:t>DEF</w:t>
            </w:r>
          </w:p>
        </w:tc>
      </w:tr>
    </w:tbl>
    <w:tbl>
      <w:tblPr>
        <w:tblW w:type="auto" w:w="0"/>
        <w:jc w:val="center"/>
        <w:tblLayout w:type="fixed"/>
        <w:tblLook w:firstColumn="1" w:firstRow="1" w:lastColumn="0" w:lastRow="0" w:noHBand="0" w:noVBand="1" w:val="04A0"/>
      </w:tblPr>
      <w:tblGrid>
        <w:gridCol w:w="9865"/>
      </w:tblGrid>
      <w:tr>
        <w:trPr>
          <w:cantSplit/>
          <w:trHeight w:hRule="atLeast"/>
          <w:tblHeader w:val="true"/>
        </w:trPr>
        <w:tc>
          <w:tcPr>
            <w:tcW w:type="dxa" w:w="9000"/>
            <w:shd w:fill="EEF6F0"/>
            <w:tcMar>
              <w:top w:w="90" w:type="dxa"/>
              <w:start w:w="100" w:type="dxa"/>
              <w:bottom w:w="90" w:type="dxa"/>
              <w:end w:w="100" w:type="dxa"/>
            </w:tcMar>
            <w:tcBorders>
              <w:top w:sz="14" w:val="single" w:color="4D7A62"/>
              <w:left w:sz="14" w:val="single" w:color="4D7A62"/>
              <w:bottom w:sz="14" w:val="single" w:color="4D7A62"/>
              <w:right w:sz="14" w:val="single" w:color="4D7A62"/>
            </w:tcBorders>
            <w:vAlign w:val="center"/>
          </w:tcPr>
          <w:p>
            <w:pPr>
              <w:widowControl/>
              <w:spacing w:after="0" w:line="259" w:lineRule="auto"/>
            </w:pPr>
            <w:r>
              <w:rPr>
                <w:rFonts w:ascii="DejaVu Sans" w:hAnsi="DejaVu Sans" w:eastAsia="DejaVu Sans"/>
                <w:b/>
                <w:color w:val="4D7A62"/>
                <w:sz w:val="18"/>
              </w:rPr>
              <w:t xml:space="preserve">СОВМЕСТИМОСТЬ. </w:t>
            </w:r>
            <w:r>
              <w:rPr>
                <w:rFonts w:ascii="DejaVu Serif" w:hAnsi="DejaVu Serif" w:eastAsia="DejaVu Serif"/>
                <w:i w:val="0"/>
                <w:color w:val="1A2433"/>
                <w:sz w:val="18"/>
              </w:rPr>
              <w:t>ТЕОРЕМА T4.6.1 [THM-FORMAL]. Если G_Ξ ацикличен, a_Δ является новым временно-корневым узлом, а каждое ребро из E_Δ направлено от a_Δ к более позднему узлу, то G⁺ также ацикличен. При E_Δ≠∅ действие порождает ненулевую причинную ветвь. Следовательно, свобода начинания в этой модели не противоречит причинности: она добавляет её локальный источник.</w:t>
            </w:r>
          </w:p>
        </w:tc>
      </w:tr>
    </w:tbl>
    <w:p>
      <w:pPr>
        <w:widowControl/>
      </w:pPr>
      <w:r>
        <w:rPr>
          <w:rFonts w:ascii="DejaVu Serif" w:hAnsi="DejaVu Serif" w:eastAsia="DejaVu Serif"/>
          <w:b w:val="0"/>
          <w:i w:val="0"/>
          <w:color w:val="1A2433"/>
          <w:sz w:val="21"/>
        </w:rPr>
        <w:t>Доказательство. Любой ориентированный цикл в G⁺ либо целиком содержался бы в G_Ξ, что невозможно, либо включал бы a_Δ. Но в a_Δ нет входящих рёбер из более поздних узлов, поэтому возвращение к нему по направлению времени невозможно. □</w:t>
      </w:r>
    </w:p>
    <w:p>
      <w:pPr>
        <w:pStyle w:val="Heading2"/>
        <w:keepNext/>
        <w:widowControl/>
      </w:pPr>
      <w:r>
        <w:rPr>
          <w:rFonts w:ascii="DejaVu Sans" w:hAnsi="DejaVu Sans" w:eastAsia="DejaVu Sans"/>
          <w:i w:val="0"/>
          <w:color w:val="1A2433"/>
          <w:sz w:val="21"/>
        </w:rPr>
        <w:t>6.6. Граница антропологической исключительности</w:t>
      </w:r>
    </w:p>
    <w:tbl>
      <w:tblPr>
        <w:tblW w:type="auto" w:w="0"/>
        <w:jc w:val="center"/>
        <w:tblLayout w:type="fixed"/>
        <w:tblLook w:firstColumn="1" w:firstRow="1" w:lastColumn="0" w:lastRow="0" w:noHBand="0" w:noVBand="1" w:val="04A0"/>
      </w:tblPr>
      <w:tblGrid>
        <w:gridCol w:w="9865"/>
      </w:tblGrid>
      <w:tr>
        <w:trPr>
          <w:cantSplit/>
          <w:trHeight w:hRule="atLeast"/>
          <w:tblHeader w:val="true"/>
        </w:trPr>
        <w:tc>
          <w:tcPr>
            <w:tcW w:type="dxa" w:w="9000"/>
            <w:shd w:fill="FDEFEA"/>
            <w:tcMar>
              <w:top w:w="90" w:type="dxa"/>
              <w:start w:w="100" w:type="dxa"/>
              <w:bottom w:w="90" w:type="dxa"/>
              <w:end w:w="100" w:type="dxa"/>
            </w:tcMar>
            <w:tcBorders>
              <w:top w:sz="14" w:val="single" w:color="B5534B"/>
              <w:left w:sz="14" w:val="single" w:color="B5534B"/>
              <w:bottom w:sz="14" w:val="single" w:color="B5534B"/>
              <w:right w:sz="14" w:val="single" w:color="B5534B"/>
            </w:tcBorders>
            <w:vAlign w:val="center"/>
          </w:tcPr>
          <w:p>
            <w:pPr>
              <w:widowControl/>
              <w:spacing w:after="0" w:line="259" w:lineRule="auto"/>
            </w:pPr>
            <w:r>
              <w:rPr>
                <w:rFonts w:ascii="DejaVu Sans" w:hAnsi="DejaVu Sans" w:eastAsia="DejaVu Sans"/>
                <w:b/>
                <w:color w:val="B5534B"/>
                <w:sz w:val="18"/>
              </w:rPr>
              <w:t xml:space="preserve">ГРАНИЦА. </w:t>
            </w:r>
            <w:r>
              <w:rPr>
                <w:rFonts w:ascii="DejaVu Serif" w:hAnsi="DejaVu Serif" w:eastAsia="DejaVu Serif"/>
                <w:i w:val="0"/>
                <w:color w:val="1A2433"/>
                <w:sz w:val="18"/>
              </w:rPr>
              <w:t>ПОЛОЖЕНИЕ T4.6.A [PHIL-HYP]. Авторская доктрина приписывает сильную свободу начинания человеку как особую способность строить долговременные цепи Движей. Текущая формальная модель не доказывает, что аналогичные корневые действия невозможны у животных, коллективов, автономных машин или иных агентов. Для такого различения нужен отдельный эмпирический Dom и критерий идентификации.</w:t>
            </w:r>
          </w:p>
        </w:tc>
      </w:tr>
    </w:tbl>
    <w:tbl>
      <w:tblPr>
        <w:tblW w:type="auto" w:w="0"/>
        <w:jc w:val="center"/>
        <w:tblLayout w:type="fixed"/>
        <w:tblLook w:firstColumn="1" w:firstRow="1" w:lastColumn="0" w:lastRow="0" w:noHBand="0" w:noVBand="1" w:val="04A0"/>
      </w:tblPr>
      <w:tblGrid>
        <w:gridCol w:w="3288"/>
        <w:gridCol w:w="3288"/>
        <w:gridCol w:w="3288"/>
      </w:tblGrid>
      <w:tr>
        <w:trPr>
          <w:cantSplit/>
          <w:trHeight w:hRule="atLeast"/>
          <w:tblHeader w:val="true"/>
        </w:trPr>
        <w:tc>
          <w:tcPr>
            <w:tcW w:type="dxa" w:w="194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7"/>
              </w:rPr>
              <w:t>Режим начала</w:t>
            </w:r>
          </w:p>
        </w:tc>
        <w:tc>
          <w:tcPr>
            <w:tcW w:type="dxa" w:w="180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7"/>
              </w:rPr>
              <w:t>Метка</w:t>
            </w:r>
          </w:p>
        </w:tc>
        <w:tc>
          <w:tcPr>
            <w:tcW w:type="dxa" w:w="561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7"/>
              </w:rPr>
              <w:t>Что разрешено утверждать</w:t>
            </w:r>
          </w:p>
        </w:tc>
      </w:tr>
      <w:tr>
        <w:trPr>
          <w:cantSplit/>
          <w:trHeight w:hRule="atLeast"/>
        </w:trPr>
        <w:tc>
          <w:tcPr>
            <w:tcW w:type="dxa" w:w="194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7"/>
              </w:rPr>
              <w:t>осознанный</w:t>
            </w:r>
          </w:p>
        </w:tc>
        <w:tc>
          <w:tcPr>
            <w:tcW w:type="dxa" w:w="180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7"/>
              </w:rPr>
              <w:t>AWARE</w:t>
            </w:r>
          </w:p>
        </w:tc>
        <w:tc>
          <w:tcPr>
            <w:tcW w:type="dxa" w:w="561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7"/>
              </w:rPr>
              <w:t>агент сообщает цель; достоверность сообщения требует witness/D</w:t>
            </w:r>
          </w:p>
        </w:tc>
      </w:tr>
      <w:tr>
        <w:trPr>
          <w:cantSplit/>
          <w:trHeight w:hRule="atLeast"/>
        </w:trPr>
        <w:tc>
          <w:tcPr>
            <w:tcW w:type="dxa" w:w="194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7"/>
              </w:rPr>
              <w:t>неосознанный</w:t>
            </w:r>
          </w:p>
        </w:tc>
        <w:tc>
          <w:tcPr>
            <w:tcW w:type="dxa" w:w="180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7"/>
              </w:rPr>
              <w:t>NONCONSCIOUS</w:t>
            </w:r>
          </w:p>
        </w:tc>
        <w:tc>
          <w:tcPr>
            <w:tcW w:type="dxa" w:w="561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7"/>
              </w:rPr>
              <w:t>начало фиксируется, но явная цель не установлена</w:t>
            </w:r>
          </w:p>
        </w:tc>
      </w:tr>
      <w:tr>
        <w:trPr>
          <w:cantSplit/>
          <w:trHeight w:hRule="atLeast"/>
        </w:trPr>
        <w:tc>
          <w:tcPr>
            <w:tcW w:type="dxa" w:w="194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7"/>
              </w:rPr>
              <w:t>спонтанный</w:t>
            </w:r>
          </w:p>
        </w:tc>
        <w:tc>
          <w:tcPr>
            <w:tcW w:type="dxa" w:w="180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7"/>
              </w:rPr>
              <w:t>SPONTANEOUS</w:t>
            </w:r>
          </w:p>
        </w:tc>
        <w:tc>
          <w:tcPr>
            <w:tcW w:type="dxa" w:w="561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7"/>
              </w:rPr>
              <w:t>в домене не найдено предшествующего плана; абсолютная беспричинность не следует</w:t>
            </w:r>
          </w:p>
        </w:tc>
      </w:tr>
      <w:tr>
        <w:trPr>
          <w:cantSplit/>
          <w:trHeight w:hRule="atLeast"/>
        </w:trPr>
        <w:tc>
          <w:tcPr>
            <w:tcW w:type="dxa" w:w="194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7"/>
              </w:rPr>
              <w:t>неопределённый</w:t>
            </w:r>
          </w:p>
        </w:tc>
        <w:tc>
          <w:tcPr>
            <w:tcW w:type="dxa" w:w="1800"/>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7"/>
              </w:rPr>
              <w:t>UNKNOWN</w:t>
            </w:r>
          </w:p>
        </w:tc>
        <w:tc>
          <w:tcPr>
            <w:tcW w:type="dxa" w:w="561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7"/>
              </w:rPr>
              <w:t>начало наблюдается, режим не идентифицирован</w:t>
            </w:r>
          </w:p>
        </w:tc>
      </w:tr>
    </w:tbl>
    <w:tbl>
      <w:tblPr>
        <w:tblW w:type="auto" w:w="0"/>
        <w:jc w:val="center"/>
        <w:tblLayout w:type="fixed"/>
        <w:tblLook w:firstColumn="1" w:firstRow="1" w:lastColumn="0" w:lastRow="0" w:noHBand="0" w:noVBand="1" w:val="04A0"/>
      </w:tblPr>
      <w:tblGrid>
        <w:gridCol w:w="9865"/>
      </w:tblGrid>
      <w:tr>
        <w:trPr>
          <w:cantSplit/>
          <w:trHeight w:hRule="atLeast"/>
          <w:tblHeader w:val="true"/>
        </w:trPr>
        <w:tc>
          <w:tcPr>
            <w:tcW w:type="dxa" w:w="9000"/>
            <w:shd w:fill="EEF6F0"/>
            <w:tcMar>
              <w:top w:w="90" w:type="dxa"/>
              <w:start w:w="100" w:type="dxa"/>
              <w:bottom w:w="90" w:type="dxa"/>
              <w:end w:w="100" w:type="dxa"/>
            </w:tcMar>
            <w:tcBorders>
              <w:top w:sz="14" w:val="single" w:color="4D7A62"/>
              <w:left w:sz="14" w:val="single" w:color="4D7A62"/>
              <w:bottom w:sz="14" w:val="single" w:color="4D7A62"/>
              <w:right w:sz="14" w:val="single" w:color="4D7A62"/>
            </w:tcBorders>
            <w:vAlign w:val="center"/>
          </w:tcPr>
          <w:p>
            <w:pPr>
              <w:widowControl/>
              <w:spacing w:after="0" w:line="259" w:lineRule="auto"/>
            </w:pPr>
            <w:r>
              <w:rPr>
                <w:rFonts w:ascii="DejaVu Sans" w:hAnsi="DejaVu Sans" w:eastAsia="DejaVu Sans"/>
                <w:b/>
                <w:color w:val="4D7A62"/>
                <w:sz w:val="18"/>
              </w:rPr>
              <w:t xml:space="preserve">STATUS. </w:t>
            </w:r>
            <w:r>
              <w:rPr>
                <w:rFonts w:ascii="DejaVu Serif" w:hAnsi="DejaVu Serif" w:eastAsia="DejaVu Serif"/>
                <w:i w:val="0"/>
                <w:color w:val="1A2433"/>
                <w:sz w:val="18"/>
              </w:rPr>
              <w:t>РЕЗУЛЬТАТ ГЛАВЫ 6. Центральный авторский тезис принят и типизирован. Формально доказана совместимость корневого действия с причинной структурой, но не метафизическое происхождение воли. Закрыты T4-ACT-PO-003-006 на уровне DEF/THM-FORMAL.</w:t>
            </w:r>
          </w:p>
        </w:tc>
      </w:tr>
    </w:tbl>
    <w:p>
      <w:pPr>
        <w:widowControl/>
      </w:pPr>
      <w:r>
        <w:br w:type="page"/>
      </w:r>
    </w:p>
    <w:p>
      <w:pPr>
        <w:pStyle w:val="Heading1"/>
        <w:keepNext/>
        <w:widowControl/>
      </w:pPr>
      <w:r>
        <w:rPr>
          <w:rFonts w:ascii="DejaVu Sans" w:hAnsi="DejaVu Sans" w:eastAsia="DejaVu Sans"/>
          <w:i w:val="0"/>
          <w:color w:val="1A2433"/>
          <w:sz w:val="24"/>
        </w:rPr>
        <w:t>Глава 7. Оператор Разворота, затухание следа и поддерживаемая причинность</w:t>
      </w:r>
    </w:p>
    <w:tbl>
      <w:tblPr>
        <w:tblW w:type="auto" w:w="0"/>
        <w:jc w:val="center"/>
        <w:tblLayout w:type="fixed"/>
        <w:tblLook w:firstColumn="1" w:firstRow="1" w:lastColumn="0" w:lastRow="0" w:noHBand="0" w:noVBand="1" w:val="04A0"/>
      </w:tblPr>
      <w:tblGrid>
        <w:gridCol w:w="9865"/>
      </w:tblGrid>
      <w:tr>
        <w:trPr>
          <w:cantSplit/>
          <w:trHeight w:hRule="atLeast"/>
          <w:tblHeader w:val="true"/>
        </w:trPr>
        <w:tc>
          <w:tcPr>
            <w:tcW w:type="dxa" w:w="9000"/>
            <w:shd w:fill="EAF1F8"/>
            <w:tcMar>
              <w:top w:w="90" w:type="dxa"/>
              <w:start w:w="100" w:type="dxa"/>
              <w:bottom w:w="90" w:type="dxa"/>
              <w:end w:w="100" w:type="dxa"/>
            </w:tcMar>
            <w:tcBorders>
              <w:top w:sz="14" w:val="single" w:color="173A61"/>
              <w:left w:sz="14" w:val="single" w:color="173A61"/>
              <w:bottom w:sz="14" w:val="single" w:color="173A61"/>
              <w:right w:sz="14" w:val="single" w:color="173A61"/>
            </w:tcBorders>
            <w:vAlign w:val="center"/>
          </w:tcPr>
          <w:p>
            <w:pPr>
              <w:widowControl/>
              <w:spacing w:after="0" w:line="259" w:lineRule="auto"/>
            </w:pPr>
            <w:r>
              <w:rPr>
                <w:rFonts w:ascii="DejaVu Sans" w:hAnsi="DejaVu Sans" w:eastAsia="DejaVu Sans"/>
                <w:b/>
                <w:color w:val="173A61"/>
                <w:sz w:val="18"/>
              </w:rPr>
              <w:t xml:space="preserve">РАМКА ГЛАВЫ 7. </w:t>
            </w:r>
            <w:r>
              <w:rPr>
                <w:rFonts w:ascii="DejaVu Serif" w:hAnsi="DejaVu Serif" w:eastAsia="DejaVu Serif"/>
                <w:i w:val="0"/>
                <w:color w:val="1A2433"/>
                <w:sz w:val="18"/>
              </w:rPr>
              <w:t>ОНТОЛОГИЯ. Разворот Υ — не отрицание действия, а семейство механизмов, переводящих траекторию в новое состояние, возвращающих её к фону или меняющих ветвь. ГНОСЕОЛОГИЯ. Затухание устанавливается только относительно базовой траектории и выбранной метрики. ФЕНОМЕНОЛОГИЯ. Действие оставляет след, который может исчезать, поддерживаться или превращаться в инфраструктуру. ОГРАНИЧЕНИЕ. Υ не объявляется универсальной физической силой; инерциальные и консервативные домены дают контрпримеры простому затуханию. АВТОРСКАЯ НОВИЗНА. «След ножа на воде», дырчатая цепь и AK-6 объединяются в единую blocker-safe модель.</w:t>
            </w:r>
          </w:p>
        </w:tc>
      </w:tr>
    </w:tbl>
    <w:p>
      <w:pPr>
        <w:pStyle w:val="Heading2"/>
        <w:keepNext/>
        <w:widowControl/>
      </w:pPr>
      <w:r>
        <w:rPr>
          <w:rFonts w:ascii="DejaVu Sans" w:hAnsi="DejaVu Sans" w:eastAsia="DejaVu Sans"/>
          <w:i w:val="0"/>
          <w:color w:val="1A2433"/>
          <w:sz w:val="21"/>
        </w:rPr>
        <w:t>7.1. След действия как расстояние между траекториями</w:t>
      </w:r>
    </w:p>
    <w:p>
      <w:pPr>
        <w:widowControl/>
      </w:pPr>
      <w:r>
        <w:rPr>
          <w:rFonts w:ascii="DejaVu Serif" w:hAnsi="DejaVu Serif" w:eastAsia="DejaVu Serif"/>
          <w:b w:val="0"/>
          <w:i w:val="0"/>
          <w:color w:val="1A2433"/>
          <w:sz w:val="21"/>
        </w:rPr>
        <w:t>Пусть x⁰(t) — базовая траектория Мира Изменений без рассматриваемого действия, а x^Δ(t) — траектория после вмешательства. След действия определяется не абсолютной «дырой», а различием этих траекторий в объявленной метрике d.</w:t>
      </w:r>
    </w:p>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H_Δ(t) = d(x^Δ(t), x⁰(t))</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T4-F041</w:t>
              <w:br/>
              <w:t>MODEL DEF</w:t>
            </w:r>
          </w:p>
        </w:tc>
      </w:tr>
    </w:tbl>
    <w:p>
      <w:pPr>
        <w:widowControl/>
      </w:pPr>
      <w:r>
        <w:rPr>
          <w:rFonts w:ascii="DejaVu Serif" w:hAnsi="DejaVu Serif" w:eastAsia="DejaVu Serif"/>
          <w:b w:val="0"/>
          <w:i w:val="0"/>
          <w:color w:val="1A2433"/>
          <w:sz w:val="21"/>
        </w:rPr>
        <w:t>Образ «следа ножа на воде» означает режим, в котором H_Δ быстро уменьшается. Но это свойство должно выводиться из динамического неравенства, а не приниматься безусловно.</w:t>
      </w:r>
    </w:p>
    <w:p>
      <w:pPr>
        <w:pStyle w:val="Heading2"/>
        <w:keepNext/>
        <w:widowControl/>
      </w:pPr>
      <w:r>
        <w:rPr>
          <w:rFonts w:ascii="DejaVu Sans" w:hAnsi="DejaVu Sans" w:eastAsia="DejaVu Sans"/>
          <w:i w:val="0"/>
          <w:color w:val="1A2433"/>
          <w:sz w:val="21"/>
        </w:rPr>
        <w:t>7.2. Условная теорема затухания</w:t>
      </w:r>
    </w:p>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dH_Δ/dt ≤ -γ(t)H_Δ(t) + u(t),    γ(t)≥0</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T4-F042</w:t>
              <w:br/>
              <w:t>COND MODEL</w:t>
            </w:r>
          </w:p>
        </w:tc>
      </w:tr>
    </w:tbl>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H_Δ(t) ≤ H₀e^{-Γ(t)} + ∫_{t₀}^t e^{-(Γ(t)-Γ(s))}u(s)ds,    Γ(t)=∫_{t₀}^tγ(r)dr</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T4-F043</w:t>
              <w:br/>
              <w:t>GRONWALL BOUND</w:t>
            </w:r>
          </w:p>
        </w:tc>
      </w:tr>
    </w:tbl>
    <w:tbl>
      <w:tblPr>
        <w:tblW w:type="auto" w:w="0"/>
        <w:jc w:val="center"/>
        <w:tblLayout w:type="fixed"/>
        <w:tblLook w:firstColumn="1" w:firstRow="1" w:lastColumn="0" w:lastRow="0" w:noHBand="0" w:noVBand="1" w:val="04A0"/>
      </w:tblPr>
      <w:tblGrid>
        <w:gridCol w:w="9865"/>
      </w:tblGrid>
      <w:tr>
        <w:trPr>
          <w:cantSplit/>
          <w:trHeight w:hRule="atLeast"/>
          <w:tblHeader w:val="true"/>
        </w:trPr>
        <w:tc>
          <w:tcPr>
            <w:tcW w:type="dxa" w:w="9000"/>
            <w:shd w:fill="EEF6F0"/>
            <w:tcMar>
              <w:top w:w="90" w:type="dxa"/>
              <w:start w:w="100" w:type="dxa"/>
              <w:bottom w:w="90" w:type="dxa"/>
              <w:end w:w="100" w:type="dxa"/>
            </w:tcMar>
            <w:tcBorders>
              <w:top w:sz="14" w:val="single" w:color="4D7A62"/>
              <w:left w:sz="14" w:val="single" w:color="4D7A62"/>
              <w:bottom w:sz="14" w:val="single" w:color="4D7A62"/>
              <w:right w:sz="14" w:val="single" w:color="4D7A62"/>
            </w:tcBorders>
            <w:vAlign w:val="center"/>
          </w:tcPr>
          <w:p>
            <w:pPr>
              <w:widowControl/>
              <w:spacing w:after="0" w:line="259" w:lineRule="auto"/>
            </w:pPr>
            <w:r>
              <w:rPr>
                <w:rFonts w:ascii="DejaVu Sans" w:hAnsi="DejaVu Sans" w:eastAsia="DejaVu Sans"/>
                <w:b/>
                <w:color w:val="4D7A62"/>
                <w:sz w:val="18"/>
              </w:rPr>
              <w:t xml:space="preserve">ТЕОРЕМА ЗАТУХАНИЯ. </w:t>
            </w:r>
            <w:r>
              <w:rPr>
                <w:rFonts w:ascii="DejaVu Serif" w:hAnsi="DejaVu Serif" w:eastAsia="DejaVu Serif"/>
                <w:i w:val="0"/>
                <w:color w:val="1A2433"/>
                <w:sz w:val="18"/>
              </w:rPr>
              <w:t>ТЕОРЕМА T4.7.1 [THM-COND]. Если γ(t)≥γ₀&gt;0 для t≥t₀ и u(t)=0, то H_Δ(t)≤H_Δ(t₀)e^{-γ₀(t-t₀)} и H_Δ(t)→0. Следовательно, в положительно-разворотном домене неподдерживаемый след действия гаснет.</w:t>
            </w:r>
          </w:p>
        </w:tc>
      </w:tr>
    </w:tbl>
    <w:p>
      <w:pPr>
        <w:widowControl/>
      </w:pPr>
      <w:r>
        <w:rPr>
          <w:rFonts w:ascii="DejaVu Serif" w:hAnsi="DejaVu Serif" w:eastAsia="DejaVu Serif"/>
          <w:b w:val="0"/>
          <w:i w:val="0"/>
          <w:color w:val="1A2433"/>
          <w:sz w:val="21"/>
        </w:rPr>
        <w:t>Доказательство следует из интегральной оценки Гронуолла. Граница существенна: при γ=0 действие может сохранять различимость, а при отрицательном эффективном γ — усиливаться. Поэтому фраза «нет вечного действия без подпитки» является теоремой только для объявленного диссипативного режима и не должна смешиваться с законом инерции или консервативной динамикой.</w:t>
      </w:r>
    </w:p>
    <w:p>
      <w:pPr>
        <w:widowControl/>
        <w:spacing w:after="60"/>
        <w:jc w:val="center"/>
      </w:pPr>
      <w:r>
        <w:drawing>
          <wp:inline xmlns:a="http://schemas.openxmlformats.org/drawingml/2006/main" xmlns:pic="http://schemas.openxmlformats.org/drawingml/2006/picture">
            <wp:extent cx="5577840" cy="3266419"/>
            <wp:docPr id="6" name="Picture 6" descr="График затухания следа действия без поддержки и при периодической поддержке." title="График затухания следа действия без поддержки и при периодической поддержке."/>
            <wp:cNvGraphicFramePr>
              <a:graphicFrameLocks noChangeAspect="1"/>
            </wp:cNvGraphicFramePr>
            <a:graphic>
              <a:graphicData uri="http://schemas.openxmlformats.org/drawingml/2006/picture">
                <pic:pic>
                  <pic:nvPicPr>
                    <pic:cNvPr id="0" name="fig06_action_trace_decay.png"/>
                    <pic:cNvPicPr/>
                  </pic:nvPicPr>
                  <pic:blipFill>
                    <a:blip r:embed="rId20"/>
                    <a:stretch>
                      <a:fillRect/>
                    </a:stretch>
                  </pic:blipFill>
                  <pic:spPr>
                    <a:xfrm>
                      <a:off x="0" y="0"/>
                      <a:ext cx="5577840" cy="3266419"/>
                    </a:xfrm>
                    <a:prstGeom prst="rect"/>
                  </pic:spPr>
                </pic:pic>
              </a:graphicData>
            </a:graphic>
          </wp:inline>
        </w:drawing>
      </w:r>
    </w:p>
    <w:p>
      <w:pPr>
        <w:pStyle w:val="Caption"/>
        <w:keepNext w:val="0"/>
        <w:keepLines/>
        <w:widowControl/>
        <w:jc w:val="center"/>
      </w:pPr>
      <w:r>
        <w:rPr>
          <w:rFonts w:ascii="DejaVu Serif" w:hAnsi="DejaVu Serif" w:eastAsia="DejaVu Serif"/>
          <w:b/>
          <w:color w:val="4F81BD"/>
          <w:sz w:val="17"/>
        </w:rPr>
        <w:t>Рисунок 6. Затухающий след и его поддержание повторными действиями.</w:t>
      </w:r>
    </w:p>
    <w:p>
      <w:pPr>
        <w:pStyle w:val="Heading2"/>
        <w:keepNext/>
        <w:widowControl/>
      </w:pPr>
      <w:r>
        <w:rPr>
          <w:rFonts w:ascii="DejaVu Sans" w:hAnsi="DejaVu Sans" w:eastAsia="DejaVu Sans"/>
          <w:i w:val="0"/>
          <w:color w:val="1A2433"/>
          <w:sz w:val="21"/>
        </w:rPr>
        <w:t>7.3. Длинная причинная цепь и логистика поддержки</w:t>
      </w:r>
    </w:p>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dw_e/dt = -γ_e(t)w_e(t) + m_e(t),    V_C(t)=min_{e∈E_C} w_e(t)</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T4-F044</w:t>
              <w:br/>
              <w:t>MODEL DEF</w:t>
            </w:r>
          </w:p>
        </w:tc>
      </w:tr>
    </w:tbl>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ChainAlive_C(t) ⇔ V_C(t) ≥ θ_C</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T4-F045</w:t>
              <w:br/>
              <w:t>DEF</w:t>
            </w:r>
          </w:p>
        </w:tc>
      </w:tr>
    </w:tbl>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LagGap_e = max(0, t_support(e)-t_crit(e))</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T4-F046</w:t>
              <w:br/>
              <w:t>DEF</w:t>
            </w:r>
          </w:p>
        </w:tc>
      </w:tr>
    </w:tbl>
    <w:p>
      <w:pPr>
        <w:widowControl/>
      </w:pPr>
      <w:r>
        <w:rPr>
          <w:rFonts w:ascii="DejaVu Serif" w:hAnsi="DejaVu Serif" w:eastAsia="DejaVu Serif"/>
          <w:b w:val="0"/>
          <w:i w:val="0"/>
          <w:color w:val="1A2433"/>
          <w:sz w:val="21"/>
        </w:rPr>
        <w:t>Каждое ребро причинной цепи получает вес w_e — степень действующей связности. m_e описывает обслуживание, повторное решение, снабжение, обучение или документарное подтверждение. Цепь жизнеспособна по слабейшему ребру. Если поддержка прибывает позже момента t_crit, возникает логистическая дырка: остальные элементы могут оставаться исправными, но композиция уже не определена.</w:t>
      </w:r>
    </w:p>
    <w:p>
      <w:pPr>
        <w:widowControl/>
        <w:spacing w:after="60"/>
        <w:jc w:val="center"/>
      </w:pPr>
      <w:r>
        <w:drawing>
          <wp:inline xmlns:a="http://schemas.openxmlformats.org/drawingml/2006/main" xmlns:pic="http://schemas.openxmlformats.org/drawingml/2006/picture">
            <wp:extent cx="5715000" cy="2325872"/>
            <wp:docPr id="7" name="Picture 7" descr="Поддерживаемая причинная цепь, weakest-edge criterion и логистический разрыв." title="Поддерживаемая причинная цепь, weakest-edge criterion и логистический разрыв."/>
            <wp:cNvGraphicFramePr>
              <a:graphicFrameLocks noChangeAspect="1"/>
            </wp:cNvGraphicFramePr>
            <a:graphic>
              <a:graphicData uri="http://schemas.openxmlformats.org/drawingml/2006/picture">
                <pic:pic>
                  <pic:nvPicPr>
                    <pic:cNvPr id="0" name="fig07_causal_chain_logistics.png"/>
                    <pic:cNvPicPr/>
                  </pic:nvPicPr>
                  <pic:blipFill>
                    <a:blip r:embed="rId21"/>
                    <a:stretch>
                      <a:fillRect/>
                    </a:stretch>
                  </pic:blipFill>
                  <pic:spPr>
                    <a:xfrm>
                      <a:off x="0" y="0"/>
                      <a:ext cx="5715000" cy="2325872"/>
                    </a:xfrm>
                    <a:prstGeom prst="rect"/>
                  </pic:spPr>
                </pic:pic>
              </a:graphicData>
            </a:graphic>
          </wp:inline>
        </w:drawing>
      </w:r>
    </w:p>
    <w:p>
      <w:pPr>
        <w:pStyle w:val="Caption"/>
        <w:keepNext w:val="0"/>
        <w:keepLines/>
        <w:widowControl/>
        <w:jc w:val="center"/>
      </w:pPr>
      <w:r>
        <w:rPr>
          <w:rFonts w:ascii="DejaVu Serif" w:hAnsi="DejaVu Serif" w:eastAsia="DejaVu Serif"/>
          <w:b/>
          <w:color w:val="4F81BD"/>
          <w:sz w:val="17"/>
        </w:rPr>
        <w:t>Рисунок 7. Поддерживаемая причинная цепь и разрыв из-за опоздания логистики.</w:t>
      </w:r>
    </w:p>
    <w:p>
      <w:pPr>
        <w:pStyle w:val="Heading2"/>
        <w:keepNext/>
        <w:widowControl/>
      </w:pPr>
      <w:r>
        <w:rPr>
          <w:rFonts w:ascii="DejaVu Sans" w:hAnsi="DejaVu Sans" w:eastAsia="DejaVu Sans"/>
          <w:i w:val="0"/>
          <w:color w:val="1A2433"/>
          <w:sz w:val="21"/>
        </w:rPr>
        <w:t>7.4. Оседлание Разворота: управляемый дрейф</w:t>
      </w:r>
    </w:p>
    <w:p>
      <w:pPr>
        <w:widowControl/>
      </w:pPr>
      <w:r>
        <w:rPr>
          <w:rFonts w:ascii="DejaVu Serif" w:hAnsi="DejaVu Serif" w:eastAsia="DejaVu Serif"/>
          <w:b w:val="0"/>
          <w:i w:val="0"/>
          <w:color w:val="1A2433"/>
          <w:sz w:val="21"/>
        </w:rPr>
        <w:t>Авторский образ паруса против ветра переводится в язык управляемых систем. Не требуется уничтожить фоновое поле f_Υ; можно чередовать допустимые управления так, чтобы их композиция создала эффективное направление, отсутствующее у каждого управления по отдельности.</w:t>
      </w:r>
    </w:p>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ẋ = f_Υ(x) + Σ_j u_j(t)g_j(x)</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T4-F047</w:t>
              <w:br/>
              <w:t>CONTROL MODEL</w:t>
            </w:r>
          </w:p>
        </w:tc>
      </w:tr>
    </w:tbl>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Φ_ε^{g₁}Φ_ε^{g₂}Φ_{-ε}^{g₁}Φ_{-ε}^{g₂} = exp(ε²[g₁,g₂] + O(ε³))</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T4-F048</w:t>
              <w:br/>
              <w:t>PRIOR ART/COND</w:t>
            </w:r>
          </w:p>
        </w:tc>
      </w:tr>
    </w:tbl>
    <w:p>
      <w:pPr>
        <w:widowControl/>
      </w:pPr>
      <w:r>
        <w:rPr>
          <w:rFonts w:ascii="DejaVu Serif" w:hAnsi="DejaVu Serif" w:eastAsia="DejaVu Serif"/>
          <w:b w:val="0"/>
          <w:i w:val="0"/>
          <w:color w:val="1A2433"/>
          <w:sz w:val="21"/>
        </w:rPr>
        <w:t>Коммутаторное смещение — классический механизм геометрического управления. В KLT оно интерпретируется как «оседлание» Разворота: система использует собственную структуру и последовательность малых действий, а не прямое движение против каждого локального ограничения. Доступность цели требует bracket-generating или иной явно заявленной управляемости; без неё вывод — ABSTAIN-CONTROL.</w:t>
      </w:r>
    </w:p>
    <w:p>
      <w:pPr>
        <w:pStyle w:val="Heading2"/>
        <w:keepNext/>
        <w:widowControl/>
      </w:pPr>
      <w:r>
        <w:rPr>
          <w:rFonts w:ascii="DejaVu Sans" w:hAnsi="DejaVu Sans" w:eastAsia="DejaVu Sans"/>
          <w:i w:val="0"/>
          <w:color w:val="1A2433"/>
          <w:sz w:val="21"/>
        </w:rPr>
        <w:t>7.5. Шестипунктный профиль AK-6</w:t>
      </w:r>
    </w:p>
    <w:p>
      <w:pPr>
        <w:widowControl/>
      </w:pPr>
      <w:r>
        <w:rPr>
          <w:rFonts w:ascii="DejaVu Serif" w:hAnsi="DejaVu Serif" w:eastAsia="DejaVu Serif"/>
          <w:b w:val="0"/>
          <w:i w:val="0"/>
          <w:color w:val="1A2433"/>
          <w:sz w:val="21"/>
        </w:rPr>
        <w:t>Авторские заметки фиксируют шесть положений, сопоставленных с именем В. И. Арнольда. Источниковый аудит локализовал их в книге «Теория катастроф» (М.: Наука, 1990, с. 98-102): начальное ухудшение, рост сопротивления, максимум сопротивления до худшего состояния, последующее исчезновение сопротивления, сопоставимость предварительного ухудшения с итоговым улучшением и скачок в окрестность лучшего устойчивого состояния. В Томе IV эти шесть качественных выводов обозначаются A6_Arnold. Профиль AK-6 получается после их перевода на язык оператора Υ и добавления двух отдельных расширений Курпишева: строгой амплитудной симметрии как гипотезы и «лавирования» как модели управления.</w:t>
      </w:r>
    </w:p>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Q′(t₀)&lt;0;  ρ′_Υ(t)&gt;0 on (t₀,t_ρ);  t_ρ&lt;t_minQ;  ρ_Υ(t)→0 after t_minQ+τ</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T4-F049</w:t>
              <w:br/>
              <w:t>AK-6 CONDITIONS</w:t>
            </w:r>
          </w:p>
        </w:tc>
      </w:tr>
    </w:tbl>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A_- = Q(t₀)-Q_min;    A_+ = Q(T)-Q(t₀);    AK5: A_-=A_+</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T4-F050</w:t>
              <w:br/>
              <w:t>SYMMETRY HYP</w:t>
            </w:r>
          </w:p>
        </w:tc>
      </w:tr>
    </w:tbl>
    <w:tbl>
      <w:tblPr>
        <w:tblW w:type="auto" w:w="0"/>
        <w:jc w:val="center"/>
        <w:tblLayout w:type="fixed"/>
        <w:tblLook w:firstColumn="1" w:firstRow="1" w:lastColumn="0" w:lastRow="0" w:noHBand="0" w:noVBand="1" w:val="04A0"/>
      </w:tblPr>
      <w:tblGrid>
        <w:gridCol w:w="3288"/>
        <w:gridCol w:w="3288"/>
        <w:gridCol w:w="3288"/>
      </w:tblGrid>
      <w:tr>
        <w:trPr>
          <w:cantSplit/>
          <w:trHeight w:hRule="atLeast"/>
          <w:tblHeader w:val="true"/>
        </w:trPr>
        <w:tc>
          <w:tcPr>
            <w:tcW w:type="dxa" w:w="64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6"/>
              </w:rPr>
              <w:t>№</w:t>
            </w:r>
          </w:p>
        </w:tc>
        <w:tc>
          <w:tcPr>
            <w:tcW w:type="dxa" w:w="51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6"/>
              </w:rPr>
              <w:t>Условие AK-6</w:t>
            </w:r>
          </w:p>
        </w:tc>
        <w:tc>
          <w:tcPr>
            <w:tcW w:type="dxa" w:w="352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6"/>
              </w:rPr>
              <w:t>Статус в Томе IV</w:t>
            </w:r>
          </w:p>
        </w:tc>
      </w:tr>
      <w:tr>
        <w:trPr>
          <w:cantSplit/>
          <w:trHeight w:hRule="atLeast"/>
        </w:trPr>
        <w:tc>
          <w:tcPr>
            <w:tcW w:type="dxa" w:w="64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center"/>
            </w:pPr>
            <w:r>
              <w:rPr>
                <w:rFonts w:ascii="DejaVu Serif" w:hAnsi="DejaVu Serif" w:eastAsia="DejaVu Serif"/>
                <w:b w:val="0"/>
                <w:color w:val="1A2433"/>
                <w:sz w:val="16"/>
              </w:rPr>
              <w:t>1</w:t>
            </w:r>
          </w:p>
        </w:tc>
        <w:tc>
          <w:tcPr>
            <w:tcW w:type="dxa" w:w="51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6"/>
              </w:rPr>
              <w:t>При начале пути к целевому улучшению Q сначала уменьшается.</w:t>
            </w:r>
          </w:p>
        </w:tc>
        <w:tc>
          <w:tcPr>
            <w:tcW w:type="dxa" w:w="352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6"/>
              </w:rPr>
              <w:t>COND; зависит от пути и метрики Q.</w:t>
            </w:r>
          </w:p>
        </w:tc>
      </w:tr>
      <w:tr>
        <w:trPr>
          <w:cantSplit/>
          <w:trHeight w:hRule="atLeast"/>
        </w:trPr>
        <w:tc>
          <w:tcPr>
            <w:tcW w:type="dxa" w:w="64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center"/>
            </w:pPr>
            <w:r>
              <w:rPr>
                <w:rFonts w:ascii="DejaVu Serif" w:hAnsi="DejaVu Serif" w:eastAsia="DejaVu Serif"/>
                <w:b w:val="0"/>
                <w:color w:val="1A2433"/>
                <w:sz w:val="16"/>
              </w:rPr>
              <w:t>2</w:t>
            </w:r>
          </w:p>
        </w:tc>
        <w:tc>
          <w:tcPr>
            <w:tcW w:type="dxa" w:w="51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6"/>
              </w:rPr>
              <w:t>Сопротивление ρ_Υ растёт на начальном участке.</w:t>
            </w:r>
          </w:p>
        </w:tc>
        <w:tc>
          <w:tcPr>
            <w:tcW w:type="dxa" w:w="352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6"/>
              </w:rPr>
              <w:t>COND; требует определения ρ_Υ.</w:t>
            </w:r>
          </w:p>
        </w:tc>
      </w:tr>
      <w:tr>
        <w:trPr>
          <w:cantSplit/>
          <w:trHeight w:hRule="atLeast"/>
        </w:trPr>
        <w:tc>
          <w:tcPr>
            <w:tcW w:type="dxa" w:w="64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center"/>
            </w:pPr>
            <w:r>
              <w:rPr>
                <w:rFonts w:ascii="DejaVu Serif" w:hAnsi="DejaVu Serif" w:eastAsia="DejaVu Serif"/>
                <w:b w:val="0"/>
                <w:color w:val="1A2433"/>
                <w:sz w:val="16"/>
              </w:rPr>
              <w:t>3</w:t>
            </w:r>
          </w:p>
        </w:tc>
        <w:tc>
          <w:tcPr>
            <w:tcW w:type="dxa" w:w="51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6"/>
              </w:rPr>
              <w:t>Максимум сопротивления наступает раньше минимума Q.</w:t>
            </w:r>
          </w:p>
        </w:tc>
        <w:tc>
          <w:tcPr>
            <w:tcW w:type="dxa" w:w="352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6"/>
              </w:rPr>
              <w:t>MODEL timing condition t_ρ&lt;t_minQ.</w:t>
            </w:r>
          </w:p>
        </w:tc>
      </w:tr>
      <w:tr>
        <w:trPr>
          <w:cantSplit/>
          <w:trHeight w:hRule="atLeast"/>
        </w:trPr>
        <w:tc>
          <w:tcPr>
            <w:tcW w:type="dxa" w:w="64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center"/>
            </w:pPr>
            <w:r>
              <w:rPr>
                <w:rFonts w:ascii="DejaVu Serif" w:hAnsi="DejaVu Serif" w:eastAsia="DejaVu Serif"/>
                <w:b w:val="0"/>
                <w:color w:val="1A2433"/>
                <w:sz w:val="16"/>
              </w:rPr>
              <w:t>4</w:t>
            </w:r>
          </w:p>
        </w:tc>
        <w:tc>
          <w:tcPr>
            <w:tcW w:type="dxa" w:w="51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6"/>
              </w:rPr>
              <w:t>После прохождения минимума сопротивление исчезает с лагом τ.</w:t>
            </w:r>
          </w:p>
        </w:tc>
        <w:tc>
          <w:tcPr>
            <w:tcW w:type="dxa" w:w="352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6"/>
              </w:rPr>
              <w:t>COND relaxation law.</w:t>
            </w:r>
          </w:p>
        </w:tc>
      </w:tr>
      <w:tr>
        <w:trPr>
          <w:cantSplit/>
          <w:trHeight w:hRule="atLeast"/>
        </w:trPr>
        <w:tc>
          <w:tcPr>
            <w:tcW w:type="dxa" w:w="64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center"/>
            </w:pPr>
            <w:r>
              <w:rPr>
                <w:rFonts w:ascii="DejaVu Serif" w:hAnsi="DejaVu Serif" w:eastAsia="DejaVu Serif"/>
                <w:b w:val="0"/>
                <w:color w:val="1A2433"/>
                <w:sz w:val="16"/>
              </w:rPr>
              <w:t>5</w:t>
            </w:r>
          </w:p>
        </w:tc>
        <w:tc>
          <w:tcPr>
            <w:tcW w:type="dxa" w:w="51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6"/>
              </w:rPr>
              <w:t>Ухудшение сопоставимо с итоговым улучшением и растёт с устойчивостью/развитостью системы.</w:t>
            </w:r>
          </w:p>
        </w:tc>
        <w:tc>
          <w:tcPr>
            <w:tcW w:type="dxa" w:w="352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6"/>
              </w:rPr>
              <w:t>A6_Arnold QUALITATIVE; равенство A_-=A_+ — отдельная KLT SYMMETRY HYP.</w:t>
            </w:r>
          </w:p>
        </w:tc>
      </w:tr>
      <w:tr>
        <w:trPr>
          <w:cantSplit/>
          <w:trHeight w:hRule="atLeast"/>
        </w:trPr>
        <w:tc>
          <w:tcPr>
            <w:tcW w:type="dxa" w:w="64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center"/>
            </w:pPr>
            <w:r>
              <w:rPr>
                <w:rFonts w:ascii="DejaVu Serif" w:hAnsi="DejaVu Serif" w:eastAsia="DejaVu Serif"/>
                <w:b w:val="0"/>
                <w:color w:val="1A2433"/>
                <w:sz w:val="16"/>
              </w:rPr>
              <w:t>6</w:t>
            </w:r>
          </w:p>
        </w:tc>
        <w:tc>
          <w:tcPr>
            <w:tcW w:type="dxa" w:w="51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6"/>
              </w:rPr>
              <w:t>Скачок достаточно близко к лучшему устойчивому состоянию меняет дальнейшую эволюцию.</w:t>
            </w:r>
          </w:p>
        </w:tc>
        <w:tc>
          <w:tcPr>
            <w:tcW w:type="dxa" w:w="352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6"/>
              </w:rPr>
              <w:t>A6_Arnold QUALITATIVE; «лавирование» — отдельное KLT CONTROL EXTENSION.</w:t>
            </w:r>
          </w:p>
        </w:tc>
      </w:tr>
    </w:tbl>
    <w:p>
      <w:pPr>
        <w:widowControl/>
        <w:spacing w:after="60"/>
        <w:jc w:val="center"/>
      </w:pPr>
      <w:r>
        <w:drawing>
          <wp:inline xmlns:a="http://schemas.openxmlformats.org/drawingml/2006/main" xmlns:pic="http://schemas.openxmlformats.org/drawingml/2006/picture">
            <wp:extent cx="5623560" cy="3393691"/>
            <wp:docPr id="8" name="Picture 8" descr="Шестипунктный профиль A6 Arnold с отдельными KLT-расширениями амплитудной симметрии и лавирования." title="Шестипунктный профиль A6 Arnold с отдельными KLT-расширениями амплитудной симметрии и лавирования."/>
            <wp:cNvGraphicFramePr>
              <a:graphicFrameLocks noChangeAspect="1"/>
            </wp:cNvGraphicFramePr>
            <a:graphic>
              <a:graphicData uri="http://schemas.openxmlformats.org/drawingml/2006/picture">
                <pic:pic>
                  <pic:nvPicPr>
                    <pic:cNvPr id="0" name="fig08_ak6_profile.png"/>
                    <pic:cNvPicPr/>
                  </pic:nvPicPr>
                  <pic:blipFill>
                    <a:blip r:embed="rId22"/>
                    <a:stretch>
                      <a:fillRect/>
                    </a:stretch>
                  </pic:blipFill>
                  <pic:spPr>
                    <a:xfrm>
                      <a:off x="0" y="0"/>
                      <a:ext cx="5623560" cy="3393691"/>
                    </a:xfrm>
                    <a:prstGeom prst="rect"/>
                  </pic:spPr>
                </pic:pic>
              </a:graphicData>
            </a:graphic>
          </wp:inline>
        </w:drawing>
      </w:r>
    </w:p>
    <w:p>
      <w:pPr>
        <w:pStyle w:val="Caption"/>
        <w:keepNext w:val="0"/>
        <w:keepLines/>
        <w:widowControl/>
        <w:jc w:val="center"/>
      </w:pPr>
      <w:r>
        <w:rPr>
          <w:rFonts w:ascii="DejaVu Serif" w:hAnsi="DejaVu Serif" w:eastAsia="DejaVu Serif"/>
          <w:b/>
          <w:color w:val="4F81BD"/>
          <w:sz w:val="17"/>
        </w:rPr>
        <w:t>Рисунок 8. KLT-профиль AK-6 на основе A6_Arnold: равенство амплитуд и лавирование показаны только как отдельные расширения.</w:t>
      </w:r>
    </w:p>
    <w:tbl>
      <w:tblPr>
        <w:tblW w:type="auto" w:w="0"/>
        <w:jc w:val="center"/>
        <w:tblLayout w:type="fixed"/>
        <w:tblLook w:firstColumn="1" w:firstRow="1" w:lastColumn="0" w:lastRow="0" w:noHBand="0" w:noVBand="1" w:val="04A0"/>
      </w:tblPr>
      <w:tblGrid>
        <w:gridCol w:w="9865"/>
      </w:tblGrid>
      <w:tr>
        <w:trPr>
          <w:cantSplit/>
          <w:trHeight w:hRule="atLeast"/>
          <w:tblHeader w:val="true"/>
        </w:trPr>
        <w:tc>
          <w:tcPr>
            <w:tcW w:type="dxa" w:w="9000"/>
            <w:shd w:fill="FDEFEA"/>
            <w:tcMar>
              <w:top w:w="90" w:type="dxa"/>
              <w:start w:w="100" w:type="dxa"/>
              <w:bottom w:w="90" w:type="dxa"/>
              <w:end w:w="100" w:type="dxa"/>
            </w:tcMar>
            <w:tcBorders>
              <w:top w:sz="14" w:val="single" w:color="B5534B"/>
              <w:left w:sz="14" w:val="single" w:color="B5534B"/>
              <w:bottom w:sz="14" w:val="single" w:color="B5534B"/>
              <w:right w:sz="14" w:val="single" w:color="B5534B"/>
            </w:tcBorders>
            <w:vAlign w:val="center"/>
          </w:tcPr>
          <w:p>
            <w:pPr>
              <w:widowControl/>
              <w:spacing w:after="0" w:line="259" w:lineRule="auto"/>
            </w:pPr>
            <w:r>
              <w:rPr>
                <w:rFonts w:ascii="DejaVu Sans" w:hAnsi="DejaVu Sans" w:eastAsia="DejaVu Sans"/>
                <w:b/>
                <w:color w:val="B5534B"/>
                <w:sz w:val="18"/>
              </w:rPr>
              <w:t xml:space="preserve">БЛОКЕР. </w:t>
            </w:r>
            <w:r>
              <w:rPr>
                <w:rFonts w:ascii="DejaVu Serif" w:hAnsi="DejaVu Serif" w:eastAsia="DejaVu Serif"/>
                <w:i w:val="0"/>
                <w:color w:val="1A2433"/>
                <w:sz w:val="18"/>
              </w:rPr>
              <w:t>SOURCE AUDIT. Библиографический указатель найден: В. И. Арнольд, «Теория катастроф», М.: Наука, 1990, с. 98-102. Доступная републикация воспроизводит шесть качественных выводов. Однако первичный скан указанных страниц в текущий пакет не включён, поэтому T4-BLK-ARNOLD-001 имеет статус PARTIAL: A6_Arnold можно цитировать с точным указателем, но текстологическая и побайтовая сверка остаётся обязательной. Равенство амплитуд и лавирование автору книги не приписываются.</w:t>
            </w:r>
          </w:p>
        </w:tc>
      </w:tr>
    </w:tbl>
    <w:p>
      <w:pPr>
        <w:pStyle w:val="Heading2"/>
        <w:keepNext/>
        <w:widowControl/>
      </w:pPr>
      <w:r>
        <w:rPr>
          <w:rFonts w:ascii="DejaVu Sans" w:hAnsi="DejaVu Sans" w:eastAsia="DejaVu Sans"/>
          <w:i w:val="0"/>
          <w:color w:val="1A2433"/>
          <w:sz w:val="21"/>
        </w:rPr>
        <w:t>7.6. Контрмодели границ Разворота</w:t>
      </w:r>
    </w:p>
    <w:tbl>
      <w:tblPr>
        <w:tblW w:type="auto" w:w="0"/>
        <w:jc w:val="center"/>
        <w:tblLayout w:type="fixed"/>
        <w:tblLook w:firstColumn="1" w:firstRow="1" w:lastColumn="0" w:lastRow="0" w:noHBand="0" w:noVBand="1" w:val="04A0"/>
      </w:tblPr>
      <w:tblGrid>
        <w:gridCol w:w="3288"/>
        <w:gridCol w:w="3288"/>
        <w:gridCol w:w="3288"/>
      </w:tblGrid>
      <w:tr>
        <w:trPr>
          <w:cantSplit/>
          <w:trHeight w:hRule="atLeast"/>
          <w:tblHeader w:val="true"/>
        </w:trPr>
        <w:tc>
          <w:tcPr>
            <w:tcW w:type="dxa" w:w="11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6"/>
              </w:rPr>
              <w:t>ID</w:t>
            </w:r>
          </w:p>
        </w:tc>
        <w:tc>
          <w:tcPr>
            <w:tcW w:type="dxa" w:w="460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6"/>
              </w:rPr>
              <w:t>Конструкция</w:t>
            </w:r>
          </w:p>
        </w:tc>
        <w:tc>
          <w:tcPr>
            <w:tcW w:type="dxa" w:w="33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6"/>
              </w:rPr>
              <w:t>Что опровергает</w:t>
            </w:r>
          </w:p>
        </w:tc>
      </w:tr>
      <w:tr>
        <w:trPr>
          <w:cantSplit/>
          <w:trHeight w:hRule="atLeast"/>
        </w:trPr>
        <w:tc>
          <w:tcPr>
            <w:tcW w:type="dxa" w:w="11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center"/>
            </w:pPr>
            <w:r>
              <w:rPr>
                <w:rFonts w:ascii="DejaVu Serif" w:hAnsi="DejaVu Serif" w:eastAsia="DejaVu Serif"/>
                <w:b w:val="0"/>
                <w:color w:val="1A2433"/>
                <w:sz w:val="16"/>
              </w:rPr>
              <w:t>CM-012</w:t>
            </w:r>
          </w:p>
        </w:tc>
        <w:tc>
          <w:tcPr>
            <w:tcW w:type="dxa" w:w="460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6"/>
              </w:rPr>
              <w:t>γ(t)=0, u=0, H_Δ(t)=H₀.</w:t>
            </w:r>
          </w:p>
        </w:tc>
        <w:tc>
          <w:tcPr>
            <w:tcW w:type="dxa" w:w="33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6"/>
              </w:rPr>
              <w:t>Нельзя утверждать универсальное затухание без положительного Разворота.</w:t>
            </w:r>
          </w:p>
        </w:tc>
      </w:tr>
      <w:tr>
        <w:trPr>
          <w:cantSplit/>
          <w:trHeight w:hRule="atLeast"/>
        </w:trPr>
        <w:tc>
          <w:tcPr>
            <w:tcW w:type="dxa" w:w="11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center"/>
            </w:pPr>
            <w:r>
              <w:rPr>
                <w:rFonts w:ascii="DejaVu Serif" w:hAnsi="DejaVu Serif" w:eastAsia="DejaVu Serif"/>
                <w:b w:val="0"/>
                <w:color w:val="1A2433"/>
                <w:sz w:val="16"/>
              </w:rPr>
              <w:t>CM-013</w:t>
            </w:r>
          </w:p>
        </w:tc>
        <w:tc>
          <w:tcPr>
            <w:tcW w:type="dxa" w:w="460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6"/>
              </w:rPr>
              <w:t>Q_min=-2, Q(T)-Q(t₀)=1.</w:t>
            </w:r>
          </w:p>
        </w:tc>
        <w:tc>
          <w:tcPr>
            <w:tcW w:type="dxa" w:w="33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6"/>
              </w:rPr>
              <w:t>Амплитудное равенство AK5 не следует из остальных условий.</w:t>
            </w:r>
          </w:p>
        </w:tc>
      </w:tr>
      <w:tr>
        <w:trPr>
          <w:cantSplit/>
          <w:trHeight w:hRule="atLeast"/>
        </w:trPr>
        <w:tc>
          <w:tcPr>
            <w:tcW w:type="dxa" w:w="11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center"/>
            </w:pPr>
            <w:r>
              <w:rPr>
                <w:rFonts w:ascii="DejaVu Serif" w:hAnsi="DejaVu Serif" w:eastAsia="DejaVu Serif"/>
                <w:b w:val="0"/>
                <w:color w:val="1A2433"/>
                <w:sz w:val="16"/>
              </w:rPr>
              <w:t>CM-014</w:t>
            </w:r>
          </w:p>
        </w:tc>
        <w:tc>
          <w:tcPr>
            <w:tcW w:type="dxa" w:w="460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6"/>
              </w:rPr>
              <w:t>Поддержка m_e приходит после t_crit, хотя все узлы V сохранны.</w:t>
            </w:r>
          </w:p>
        </w:tc>
        <w:tc>
          <w:tcPr>
            <w:tcW w:type="dxa" w:w="33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6"/>
              </w:rPr>
              <w:t>Сохранность узлов не гарантирует связность цепи.</w:t>
            </w:r>
          </w:p>
        </w:tc>
      </w:tr>
      <w:tr>
        <w:trPr>
          <w:cantSplit/>
          <w:trHeight w:hRule="atLeast"/>
        </w:trPr>
        <w:tc>
          <w:tcPr>
            <w:tcW w:type="dxa" w:w="11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center"/>
            </w:pPr>
            <w:r>
              <w:rPr>
                <w:rFonts w:ascii="DejaVu Serif" w:hAnsi="DejaVu Serif" w:eastAsia="DejaVu Serif"/>
                <w:b w:val="0"/>
                <w:color w:val="1A2433"/>
                <w:sz w:val="16"/>
              </w:rPr>
              <w:t>CM-015</w:t>
            </w:r>
          </w:p>
        </w:tc>
        <w:tc>
          <w:tcPr>
            <w:tcW w:type="dxa" w:w="460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6"/>
              </w:rPr>
              <w:t>Управления g₁,g₂ не порождают требуемое направление даже с коммутаторами.</w:t>
            </w:r>
          </w:p>
        </w:tc>
        <w:tc>
          <w:tcPr>
            <w:tcW w:type="dxa" w:w="33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6"/>
              </w:rPr>
              <w:t>«Лавирование» требует явного критерия управляемости.</w:t>
            </w:r>
          </w:p>
        </w:tc>
      </w:tr>
    </w:tbl>
    <w:tbl>
      <w:tblPr>
        <w:tblW w:type="auto" w:w="0"/>
        <w:jc w:val="center"/>
        <w:tblLayout w:type="fixed"/>
        <w:tblLook w:firstColumn="1" w:firstRow="1" w:lastColumn="0" w:lastRow="0" w:noHBand="0" w:noVBand="1" w:val="04A0"/>
      </w:tblPr>
      <w:tblGrid>
        <w:gridCol w:w="9865"/>
      </w:tblGrid>
      <w:tr>
        <w:trPr>
          <w:cantSplit/>
          <w:trHeight w:hRule="atLeast"/>
          <w:tblHeader w:val="true"/>
        </w:trPr>
        <w:tc>
          <w:tcPr>
            <w:tcW w:type="dxa" w:w="9000"/>
            <w:shd w:fill="EEF6F0"/>
            <w:tcMar>
              <w:top w:w="90" w:type="dxa"/>
              <w:start w:w="100" w:type="dxa"/>
              <w:bottom w:w="90" w:type="dxa"/>
              <w:end w:w="100" w:type="dxa"/>
            </w:tcMar>
            <w:tcBorders>
              <w:top w:sz="14" w:val="single" w:color="4D7A62"/>
              <w:left w:sz="14" w:val="single" w:color="4D7A62"/>
              <w:bottom w:sz="14" w:val="single" w:color="4D7A62"/>
              <w:right w:sz="14" w:val="single" w:color="4D7A62"/>
            </w:tcBorders>
            <w:vAlign w:val="center"/>
          </w:tcPr>
          <w:p>
            <w:pPr>
              <w:widowControl/>
              <w:spacing w:after="0" w:line="259" w:lineRule="auto"/>
            </w:pPr>
            <w:r>
              <w:rPr>
                <w:rFonts w:ascii="DejaVu Sans" w:hAnsi="DejaVu Sans" w:eastAsia="DejaVu Sans"/>
                <w:b/>
                <w:color w:val="4D7A62"/>
                <w:sz w:val="18"/>
              </w:rPr>
              <w:t xml:space="preserve">STATUS. </w:t>
            </w:r>
            <w:r>
              <w:rPr>
                <w:rFonts w:ascii="DejaVu Serif" w:hAnsi="DejaVu Serif" w:eastAsia="DejaVu Serif"/>
                <w:i w:val="0"/>
                <w:color w:val="1A2433"/>
                <w:sz w:val="18"/>
              </w:rPr>
              <w:t>РЕЗУЛЬТАТ ГЛАВЫ 7. Образ зарастающей дырки получил условную динамическую теорему; длинная причинность — weakest-edge контракт; «оседлание» Разворота — control prior art; AK-6 сохранён без ложной атрибуции. Закрыты T4-ACT-PO-007-010, кроме источникового блокера.</w:t>
            </w:r>
          </w:p>
        </w:tc>
      </w:tr>
    </w:tbl>
    <w:p>
      <w:pPr>
        <w:widowControl/>
      </w:pPr>
      <w:r>
        <w:br w:type="page"/>
      </w:r>
    </w:p>
    <w:p>
      <w:pPr>
        <w:pStyle w:val="Heading1"/>
        <w:keepNext/>
        <w:widowControl/>
      </w:pPr>
      <w:r>
        <w:rPr>
          <w:rFonts w:ascii="DejaVu Sans" w:hAnsi="DejaVu Sans" w:eastAsia="DejaVu Sans"/>
          <w:i w:val="0"/>
          <w:color w:val="1A2433"/>
          <w:sz w:val="24"/>
        </w:rPr>
        <w:t>Глава 8. Память, ответственность и оценочные «часы»</w:t>
      </w:r>
    </w:p>
    <w:tbl>
      <w:tblPr>
        <w:tblW w:type="auto" w:w="0"/>
        <w:jc w:val="center"/>
        <w:tblLayout w:type="fixed"/>
        <w:tblLook w:firstColumn="1" w:firstRow="1" w:lastColumn="0" w:lastRow="0" w:noHBand="0" w:noVBand="1" w:val="04A0"/>
      </w:tblPr>
      <w:tblGrid>
        <w:gridCol w:w="9865"/>
      </w:tblGrid>
      <w:tr>
        <w:trPr>
          <w:cantSplit/>
          <w:trHeight w:hRule="atLeast"/>
          <w:tblHeader w:val="true"/>
        </w:trPr>
        <w:tc>
          <w:tcPr>
            <w:tcW w:type="dxa" w:w="9000"/>
            <w:shd w:fill="EAF1F8"/>
            <w:tcMar>
              <w:top w:w="90" w:type="dxa"/>
              <w:start w:w="100" w:type="dxa"/>
              <w:bottom w:w="90" w:type="dxa"/>
              <w:end w:w="100" w:type="dxa"/>
            </w:tcMar>
            <w:tcBorders>
              <w:top w:sz="14" w:val="single" w:color="173A61"/>
              <w:left w:sz="14" w:val="single" w:color="173A61"/>
              <w:bottom w:sz="14" w:val="single" w:color="173A61"/>
              <w:right w:sz="14" w:val="single" w:color="173A61"/>
            </w:tcBorders>
            <w:vAlign w:val="center"/>
          </w:tcPr>
          <w:p>
            <w:pPr>
              <w:widowControl/>
              <w:spacing w:after="0" w:line="259" w:lineRule="auto"/>
            </w:pPr>
            <w:r>
              <w:rPr>
                <w:rFonts w:ascii="DejaVu Sans" w:hAnsi="DejaVu Sans" w:eastAsia="DejaVu Sans"/>
                <w:b/>
                <w:color w:val="173A61"/>
                <w:sz w:val="18"/>
              </w:rPr>
              <w:t xml:space="preserve">РАМКА ГЛАВЫ 8. </w:t>
            </w:r>
            <w:r>
              <w:rPr>
                <w:rFonts w:ascii="DejaVu Serif" w:hAnsi="DejaVu Serif" w:eastAsia="DejaVu Serif"/>
                <w:i w:val="0"/>
                <w:color w:val="1A2433"/>
                <w:sz w:val="18"/>
              </w:rPr>
              <w:t>ОНТОЛОГИЯ. Память хранит не одну картинку прошлого, а версионированные Reper-реконструкции неизменного исходного события. ГНОСЕОЛОГИЯ. Ответственность устанавливается отдельным D_resp-графом: авторство, осведомлённость, способность, контроль, предвидимость и трассируемость. ФЕНОМЕНОЛОГИЯ. Добро и зло работают как ориентирующие оценки конкретного предмета, но не создают само действие. ОГРАНИЧЕНИЕ. Том IV не выносит моральных, клинических или юридических вердиктов. АВТОРСКАЯ НОВИЗНА. Свобода начинания, память и ответственность связываются без их скалярного отождествления.</w:t>
            </w:r>
          </w:p>
        </w:tc>
      </w:tr>
    </w:tbl>
    <w:p>
      <w:pPr>
        <w:pStyle w:val="Heading2"/>
        <w:keepNext/>
        <w:widowControl/>
      </w:pPr>
      <w:r>
        <w:rPr>
          <w:rFonts w:ascii="DejaVu Sans" w:hAnsi="DejaVu Sans" w:eastAsia="DejaVu Sans"/>
          <w:i w:val="0"/>
          <w:color w:val="1A2433"/>
          <w:sz w:val="21"/>
        </w:rPr>
        <w:t>8.1. Ретро-Reperная память</w:t>
      </w:r>
    </w:p>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M_e = {(F_k,D_k,Rep(e|F_k),σ_k)}_{k=0}^n,    Data(e)=const</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T4-F051</w:t>
              <w:br/>
              <w:t>DEF</w:t>
            </w:r>
          </w:p>
        </w:tc>
      </w:tr>
    </w:tbl>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Retro_T(e,D_T) = Rep(e|F_T,D_T)</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T4-F052</w:t>
              <w:br/>
              <w:t>PARTIAL RECONSTRUCTION</w:t>
            </w:r>
          </w:p>
        </w:tc>
      </w:tr>
    </w:tbl>
    <w:p>
      <w:pPr>
        <w:widowControl/>
      </w:pPr>
      <w:r>
        <w:rPr>
          <w:rFonts w:ascii="DejaVu Serif" w:hAnsi="DejaVu Serif" w:eastAsia="DejaVu Serif"/>
          <w:b w:val="0"/>
          <w:i w:val="0"/>
          <w:color w:val="1A2433"/>
          <w:sz w:val="21"/>
        </w:rPr>
        <w:t>F_k — доступный к моменту k корпус источников. Новые документы могут изменить I, U и D прошлого Reper, но не исходные байты события. Так память допускает пересборку понимания, не превращая её в переписывание прошлого.</w:t>
      </w:r>
    </w:p>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Inv_event = (event_id, raw_source_hash, acquisition_time)</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T4-F053</w:t>
              <w:br/>
              <w:t>PROVENANCE INVARIANT</w:t>
            </w:r>
          </w:p>
        </w:tc>
      </w:tr>
    </w:tbl>
    <w:tbl>
      <w:tblPr>
        <w:tblW w:type="auto" w:w="0"/>
        <w:jc w:val="center"/>
        <w:tblLayout w:type="fixed"/>
        <w:tblLook w:firstColumn="1" w:firstRow="1" w:lastColumn="0" w:lastRow="0" w:noHBand="0" w:noVBand="1" w:val="04A0"/>
      </w:tblPr>
      <w:tblGrid>
        <w:gridCol w:w="9865"/>
      </w:tblGrid>
      <w:tr>
        <w:trPr>
          <w:cantSplit/>
          <w:trHeight w:hRule="atLeast"/>
          <w:tblHeader w:val="true"/>
        </w:trPr>
        <w:tc>
          <w:tcPr>
            <w:tcW w:type="dxa" w:w="9000"/>
            <w:shd w:fill="EEF6F0"/>
            <w:tcMar>
              <w:top w:w="90" w:type="dxa"/>
              <w:start w:w="100" w:type="dxa"/>
              <w:bottom w:w="90" w:type="dxa"/>
              <w:end w:w="100" w:type="dxa"/>
            </w:tcMar>
            <w:tcBorders>
              <w:top w:sz="14" w:val="single" w:color="4D7A62"/>
              <w:left w:sz="14" w:val="single" w:color="4D7A62"/>
              <w:bottom w:sz="14" w:val="single" w:color="4D7A62"/>
              <w:right w:sz="14" w:val="single" w:color="4D7A62"/>
            </w:tcBorders>
            <w:vAlign w:val="center"/>
          </w:tcPr>
          <w:p>
            <w:pPr>
              <w:widowControl/>
              <w:spacing w:after="0" w:line="259" w:lineRule="auto"/>
            </w:pPr>
            <w:r>
              <w:rPr>
                <w:rFonts w:ascii="DejaVu Sans" w:hAnsi="DejaVu Sans" w:eastAsia="DejaVu Sans"/>
                <w:b/>
                <w:color w:val="4D7A62"/>
                <w:sz w:val="18"/>
              </w:rPr>
              <w:t xml:space="preserve">ПАМЯТЬ БЕЗ ПЕРЕПИСИ. </w:t>
            </w:r>
            <w:r>
              <w:rPr>
                <w:rFonts w:ascii="DejaVu Serif" w:hAnsi="DejaVu Serif" w:eastAsia="DejaVu Serif"/>
                <w:i w:val="0"/>
                <w:color w:val="1A2433"/>
                <w:sz w:val="18"/>
              </w:rPr>
              <w:t>ТЕОРЕМА T4.8.1 [THM-FORMAL]. Если каждая ретро-Reperная версия сохраняет Inv_event и добавляет новый version_id без изменения исходного объекта Data(e), то последовательность реконструкций образует трассируемое версионированное семейство. Различие Rep(e|F_i) и Rep(e|F_j) не влечёт различия исходного события.</w:t>
            </w:r>
          </w:p>
        </w:tc>
      </w:tr>
    </w:tbl>
    <w:p>
      <w:pPr>
        <w:pStyle w:val="Heading2"/>
        <w:keepNext/>
        <w:widowControl/>
      </w:pPr>
      <w:r>
        <w:rPr>
          <w:rFonts w:ascii="DejaVu Sans" w:hAnsi="DejaVu Sans" w:eastAsia="DejaVu Sans"/>
          <w:i w:val="0"/>
          <w:color w:val="1A2433"/>
          <w:sz w:val="21"/>
        </w:rPr>
        <w:t>8.2. Ответственность как D-связность</w:t>
      </w:r>
    </w:p>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D_resp = (Authorship, Awareness, Capacity, Control, Foreseeability, Traceability, Dom_resp)</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T4-F054</w:t>
              <w:br/>
              <w:t>MODEL DEF</w:t>
            </w:r>
          </w:p>
        </w:tc>
      </w:tr>
    </w:tbl>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RespProfile(a) = Meet_{j∈J_resp} Evidence_j(a),   else ABSTAIN-RESP</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T4-F055</w:t>
              <w:br/>
              <w:t>COND/GATE</w:t>
            </w:r>
          </w:p>
        </w:tc>
      </w:tr>
    </w:tbl>
    <w:p>
      <w:pPr>
        <w:widowControl/>
      </w:pPr>
      <w:r>
        <w:rPr>
          <w:rFonts w:ascii="DejaVu Serif" w:hAnsi="DejaVu Serif" w:eastAsia="DejaVu Serif"/>
          <w:b w:val="0"/>
          <w:i w:val="0"/>
          <w:color w:val="1A2433"/>
          <w:sz w:val="21"/>
        </w:rPr>
        <w:t>Факт свободного или спонтанного начала не создаёт автоматически ответственность. В разных доменах набор J_resp различен; юридическое авторство, моральная вменяемость и техническая подотчётность не сводятся к одной шкале. Если обязательный мост не закрыт, результатом является профиль неизвестности или ABSTAIN-RESP, а не оправдание и не обвинение.</w:t>
      </w:r>
    </w:p>
    <w:p>
      <w:pPr>
        <w:widowControl/>
        <w:spacing w:after="60"/>
        <w:jc w:val="center"/>
      </w:pPr>
      <w:r>
        <w:drawing>
          <wp:inline xmlns:a="http://schemas.openxmlformats.org/drawingml/2006/main" xmlns:pic="http://schemas.openxmlformats.org/drawingml/2006/picture">
            <wp:extent cx="5715000" cy="2631786"/>
            <wp:docPr id="9" name="Picture 9" descr="Версионированная память, неизменяемое исходное событие и отдельный D_resp gate ответственности." title="Версионированная память, неизменяемое исходное событие и отдельный D_resp gate ответственности."/>
            <wp:cNvGraphicFramePr>
              <a:graphicFrameLocks noChangeAspect="1"/>
            </wp:cNvGraphicFramePr>
            <a:graphic>
              <a:graphicData uri="http://schemas.openxmlformats.org/drawingml/2006/picture">
                <pic:pic>
                  <pic:nvPicPr>
                    <pic:cNvPr id="0" name="fig09_memory_responsibility.png"/>
                    <pic:cNvPicPr/>
                  </pic:nvPicPr>
                  <pic:blipFill>
                    <a:blip r:embed="rId23"/>
                    <a:stretch>
                      <a:fillRect/>
                    </a:stretch>
                  </pic:blipFill>
                  <pic:spPr>
                    <a:xfrm>
                      <a:off x="0" y="0"/>
                      <a:ext cx="5715000" cy="2631786"/>
                    </a:xfrm>
                    <a:prstGeom prst="rect"/>
                  </pic:spPr>
                </pic:pic>
              </a:graphicData>
            </a:graphic>
          </wp:inline>
        </w:drawing>
      </w:r>
    </w:p>
    <w:p>
      <w:pPr>
        <w:pStyle w:val="Caption"/>
        <w:keepNext w:val="0"/>
        <w:keepLines/>
        <w:widowControl/>
        <w:jc w:val="center"/>
      </w:pPr>
      <w:r>
        <w:rPr>
          <w:rFonts w:ascii="DejaVu Serif" w:hAnsi="DejaVu Serif" w:eastAsia="DejaVu Serif"/>
          <w:b/>
          <w:color w:val="4F81BD"/>
          <w:sz w:val="17"/>
        </w:rPr>
        <w:t>Рисунок 9. Версионированная память и отдельный D_resp-gate ответственности.</w:t>
      </w:r>
    </w:p>
    <w:p>
      <w:pPr>
        <w:pStyle w:val="Heading2"/>
        <w:keepNext/>
        <w:widowControl/>
      </w:pPr>
      <w:r>
        <w:rPr>
          <w:rFonts w:ascii="DejaVu Sans" w:hAnsi="DejaVu Sans" w:eastAsia="DejaVu Sans"/>
          <w:i w:val="0"/>
          <w:color w:val="1A2433"/>
          <w:sz w:val="21"/>
        </w:rPr>
        <w:t>8.3. Добро и зло как предметные оценочные «часы»</w:t>
      </w:r>
    </w:p>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Clock_q = (Obj_q, Criterion_q, V_q, ≼_q, D_q, Dom_q)</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T4-F056</w:t>
              <w:br/>
              <w:t>DEF</w:t>
            </w:r>
          </w:p>
        </w:tc>
      </w:tr>
    </w:tbl>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Mono" w:hAnsi="DejaVu Sans Mono" w:eastAsia="DejaVu Sans Mono"/>
                <w:color w:val="1A2433"/>
                <w:sz w:val="18"/>
              </w:rPr>
              <w:t>Good_q(a|c) ⇔ Eval_q(a,c)∈G_q;    Evil_q(a|c) ⇔ Eval_q(a,c)∈B_q</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after="0" w:line="240" w:lineRule="auto"/>
              <w:jc w:val="center"/>
            </w:pPr>
            <w:r>
              <w:rPr>
                <w:rFonts w:ascii="DejaVu Sans" w:hAnsi="DejaVu Sans" w:eastAsia="DejaVu Sans"/>
                <w:b/>
                <w:color w:val="173A61"/>
                <w:sz w:val="15"/>
              </w:rPr>
              <w:t>T4-F057</w:t>
              <w:br/>
              <w:t>CONTEXTUAL MODEL</w:t>
            </w:r>
          </w:p>
        </w:tc>
      </w:tr>
    </w:tbl>
    <w:p>
      <w:pPr>
        <w:widowControl/>
      </w:pPr>
      <w:r>
        <w:rPr>
          <w:rFonts w:ascii="DejaVu Serif" w:hAnsi="DejaVu Serif" w:eastAsia="DejaVu Serif"/>
          <w:b w:val="0"/>
          <w:i w:val="0"/>
          <w:color w:val="1A2433"/>
          <w:sz w:val="21"/>
        </w:rPr>
        <w:t>Оценка без предмета Obj_q, критерия, порядка и достаточного основания является ill-typed. В этом смысле «добро» и «зло» не пустые числа, но и не самодостаточные генераторы действия. Они действуют как часы и компасы ориентации: позволяют сравнивать направления внутри домена, не создавая Δ_h и не доказывая происхождение воли.</w:t>
      </w:r>
    </w:p>
    <w:tbl>
      <w:tblPr>
        <w:tblW w:type="auto" w:w="0"/>
        <w:jc w:val="center"/>
        <w:tblLayout w:type="fixed"/>
        <w:tblLook w:firstColumn="1" w:firstRow="1" w:lastColumn="0" w:lastRow="0" w:noHBand="0" w:noVBand="1" w:val="04A0"/>
      </w:tblPr>
      <w:tblGrid>
        <w:gridCol w:w="9865"/>
      </w:tblGrid>
      <w:tr>
        <w:trPr>
          <w:cantSplit/>
          <w:trHeight w:hRule="atLeast"/>
          <w:tblHeader w:val="true"/>
        </w:trPr>
        <w:tc>
          <w:tcPr>
            <w:tcW w:type="dxa" w:w="9000"/>
            <w:shd w:fill="EEF6F0"/>
            <w:tcMar>
              <w:top w:w="90" w:type="dxa"/>
              <w:start w:w="100" w:type="dxa"/>
              <w:bottom w:w="90" w:type="dxa"/>
              <w:end w:w="100" w:type="dxa"/>
            </w:tcMar>
            <w:tcBorders>
              <w:top w:sz="14" w:val="single" w:color="4D7A62"/>
              <w:left w:sz="14" w:val="single" w:color="4D7A62"/>
              <w:bottom w:sz="14" w:val="single" w:color="4D7A62"/>
              <w:right w:sz="14" w:val="single" w:color="4D7A62"/>
            </w:tcBorders>
            <w:vAlign w:val="center"/>
          </w:tcPr>
          <w:p>
            <w:pPr>
              <w:widowControl/>
              <w:spacing w:after="0" w:line="259" w:lineRule="auto"/>
            </w:pPr>
            <w:r>
              <w:rPr>
                <w:rFonts w:ascii="DejaVu Sans" w:hAnsi="DejaVu Sans" w:eastAsia="DejaVu Sans"/>
                <w:b/>
                <w:color w:val="4D7A62"/>
                <w:sz w:val="18"/>
              </w:rPr>
              <w:t xml:space="preserve">НЕСВОДИМОСТЬ. </w:t>
            </w:r>
            <w:r>
              <w:rPr>
                <w:rFonts w:ascii="DejaVu Serif" w:hAnsi="DejaVu Serif" w:eastAsia="DejaVu Serif"/>
                <w:i w:val="0"/>
                <w:color w:val="1A2433"/>
                <w:sz w:val="18"/>
              </w:rPr>
              <w:t>ПРОПОЗИЦИЯ T4.8.2 [PROP-FORMAL]. Существуют модели, в которых Eval_q определён, а Δ_h не определён; и модели, в которых Δ_h определён, а Eval_q остаётся частичным. Поэтому оценочная ориентированность и свобода начинания логически независимы при фиксированной типовой сигнатуре.</w:t>
            </w:r>
          </w:p>
        </w:tc>
      </w:tr>
    </w:tbl>
    <w:p>
      <w:pPr>
        <w:pStyle w:val="Heading2"/>
        <w:keepNext/>
        <w:widowControl/>
      </w:pPr>
      <w:r>
        <w:rPr>
          <w:rFonts w:ascii="DejaVu Sans" w:hAnsi="DejaVu Sans" w:eastAsia="DejaVu Sans"/>
          <w:i w:val="0"/>
          <w:color w:val="1A2433"/>
          <w:sz w:val="21"/>
        </w:rPr>
        <w:t>8.4. Долгие антропогенные причинные цепи</w:t>
      </w:r>
    </w:p>
    <w:tbl>
      <w:tblPr>
        <w:tblW w:type="auto" w:w="0"/>
        <w:jc w:val="center"/>
        <w:tblLayout w:type="fixed"/>
        <w:tblLook w:firstColumn="1" w:firstRow="1" w:lastColumn="0" w:lastRow="0" w:noHBand="0" w:noVBand="1" w:val="04A0"/>
      </w:tblPr>
      <w:tblGrid>
        <w:gridCol w:w="2466"/>
        <w:gridCol w:w="2466"/>
        <w:gridCol w:w="2466"/>
        <w:gridCol w:w="2466"/>
      </w:tblGrid>
      <w:tr>
        <w:trPr>
          <w:cantSplit/>
          <w:trHeight w:hRule="atLeast"/>
          <w:tblHeader w:val="true"/>
        </w:trPr>
        <w:tc>
          <w:tcPr>
            <w:tcW w:type="dxa" w:w="187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5"/>
              </w:rPr>
              <w:t>Иллюстрация</w:t>
            </w:r>
          </w:p>
        </w:tc>
        <w:tc>
          <w:tcPr>
            <w:tcW w:type="dxa" w:w="208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5"/>
              </w:rPr>
              <w:t>Корневое действие</w:t>
            </w:r>
          </w:p>
        </w:tc>
        <w:tc>
          <w:tcPr>
            <w:tcW w:type="dxa" w:w="33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5"/>
              </w:rPr>
              <w:t>Поддерживающие слои</w:t>
            </w:r>
          </w:p>
        </w:tc>
        <w:tc>
          <w:tcPr>
            <w:tcW w:type="dxa" w:w="194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5"/>
              </w:rPr>
              <w:t>Режим коллапса</w:t>
            </w:r>
          </w:p>
        </w:tc>
      </w:tr>
      <w:tr>
        <w:trPr>
          <w:cantSplit/>
          <w:trHeight w:hRule="atLeast"/>
        </w:trPr>
        <w:tc>
          <w:tcPr>
            <w:tcW w:type="dxa" w:w="187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Атомная энергетическая система</w:t>
            </w:r>
          </w:p>
        </w:tc>
        <w:tc>
          <w:tcPr>
            <w:tcW w:type="dxa" w:w="208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проектирование и запуск</w:t>
            </w:r>
          </w:p>
        </w:tc>
        <w:tc>
          <w:tcPr>
            <w:tcW w:type="dxa" w:w="33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топливо, персонал, регулирование, безопасность, ремонт</w:t>
            </w:r>
          </w:p>
        </w:tc>
        <w:tc>
          <w:tcPr>
            <w:tcW w:type="dxa" w:w="194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утрата критического звена или статуса допуска</w:t>
            </w:r>
          </w:p>
        </w:tc>
      </w:tr>
      <w:tr>
        <w:trPr>
          <w:cantSplit/>
          <w:trHeight w:hRule="atLeast"/>
        </w:trPr>
        <w:tc>
          <w:tcPr>
            <w:tcW w:type="dxa" w:w="187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Термоядерный исследовательский комплекс</w:t>
            </w:r>
          </w:p>
        </w:tc>
        <w:tc>
          <w:tcPr>
            <w:tcW w:type="dxa" w:w="208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серия научно-инженерных решений</w:t>
            </w:r>
          </w:p>
        </w:tc>
        <w:tc>
          <w:tcPr>
            <w:tcW w:type="dxa" w:w="33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энергия, материалы, диагностика, управление плазмой, финансирование</w:t>
            </w:r>
          </w:p>
        </w:tc>
        <w:tc>
          <w:tcPr>
            <w:tcW w:type="dxa" w:w="194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неподдерживаемая экспериментальная и институциональная цепь</w:t>
            </w:r>
          </w:p>
        </w:tc>
      </w:tr>
      <w:tr>
        <w:trPr>
          <w:cantSplit/>
          <w:trHeight w:hRule="atLeast"/>
        </w:trPr>
        <w:tc>
          <w:tcPr>
            <w:tcW w:type="dxa" w:w="187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Космический полёт</w:t>
            </w:r>
          </w:p>
        </w:tc>
        <w:tc>
          <w:tcPr>
            <w:tcW w:type="dxa" w:w="208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решение о миссии и старт</w:t>
            </w:r>
          </w:p>
        </w:tc>
        <w:tc>
          <w:tcPr>
            <w:tcW w:type="dxa" w:w="33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навигация, связь, коррекции, наземный контур, снабжение</w:t>
            </w:r>
          </w:p>
        </w:tc>
        <w:tc>
          <w:tcPr>
            <w:tcW w:type="dxa" w:w="194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разрыв связи, энергии, траектории или управления</w:t>
            </w:r>
          </w:p>
        </w:tc>
      </w:tr>
    </w:tbl>
    <w:p>
      <w:pPr>
        <w:widowControl/>
      </w:pPr>
      <w:r>
        <w:rPr>
          <w:rFonts w:ascii="DejaVu Serif" w:hAnsi="DejaVu Serif" w:eastAsia="DejaVu Serif"/>
          <w:b w:val="0"/>
          <w:i w:val="0"/>
          <w:color w:val="1A2433"/>
          <w:sz w:val="21"/>
        </w:rPr>
        <w:t>Эти примеры подтверждают лишь структурную правдоподобность модели поддерживаемой причинности: человеческое действие способно строить длинные цепи, но их устойчивость зависит от повторных действий и инфраструктуры. Они не являются независимой проверкой универсального закона Υ.</w:t>
      </w:r>
    </w:p>
    <w:p>
      <w:pPr>
        <w:pStyle w:val="Heading2"/>
        <w:keepNext/>
        <w:widowControl/>
      </w:pPr>
      <w:r>
        <w:rPr>
          <w:rFonts w:ascii="DejaVu Sans" w:hAnsi="DejaVu Sans" w:eastAsia="DejaVu Sans"/>
          <w:i w:val="0"/>
          <w:color w:val="1A2433"/>
          <w:sz w:val="21"/>
        </w:rPr>
        <w:t>8.5. Контрмодели ответственности и оценки</w:t>
      </w:r>
    </w:p>
    <w:tbl>
      <w:tblPr>
        <w:tblW w:type="auto" w:w="0"/>
        <w:jc w:val="center"/>
        <w:tblLayout w:type="fixed"/>
        <w:tblLook w:firstColumn="1" w:firstRow="1" w:lastColumn="0" w:lastRow="0" w:noHBand="0" w:noVBand="1" w:val="04A0"/>
      </w:tblPr>
      <w:tblGrid>
        <w:gridCol w:w="3288"/>
        <w:gridCol w:w="3288"/>
        <w:gridCol w:w="3288"/>
      </w:tblGrid>
      <w:tr>
        <w:trPr>
          <w:cantSplit/>
          <w:trHeight w:hRule="atLeast"/>
          <w:tblHeader w:val="true"/>
        </w:trPr>
        <w:tc>
          <w:tcPr>
            <w:tcW w:type="dxa" w:w="11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6"/>
              </w:rPr>
              <w:t>ID</w:t>
            </w:r>
          </w:p>
        </w:tc>
        <w:tc>
          <w:tcPr>
            <w:tcW w:type="dxa" w:w="446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6"/>
              </w:rPr>
              <w:t>Конструкция</w:t>
            </w:r>
          </w:p>
        </w:tc>
        <w:tc>
          <w:tcPr>
            <w:tcW w:type="dxa" w:w="352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6"/>
              </w:rPr>
              <w:t>Вывод</w:t>
            </w:r>
          </w:p>
        </w:tc>
      </w:tr>
      <w:tr>
        <w:trPr>
          <w:cantSplit/>
          <w:trHeight w:hRule="atLeast"/>
        </w:trPr>
        <w:tc>
          <w:tcPr>
            <w:tcW w:type="dxa" w:w="11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center"/>
            </w:pPr>
            <w:r>
              <w:rPr>
                <w:rFonts w:ascii="DejaVu Serif" w:hAnsi="DejaVu Serif" w:eastAsia="DejaVu Serif"/>
                <w:b w:val="0"/>
                <w:color w:val="1A2433"/>
                <w:sz w:val="16"/>
              </w:rPr>
              <w:t>CM-016</w:t>
            </w:r>
          </w:p>
        </w:tc>
        <w:tc>
          <w:tcPr>
            <w:tcW w:type="dxa" w:w="446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6"/>
              </w:rPr>
              <w:t>Действие начато, но Authorship не установлено.</w:t>
            </w:r>
          </w:p>
        </w:tc>
        <w:tc>
          <w:tcPr>
            <w:tcW w:type="dxa" w:w="352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6"/>
              </w:rPr>
              <w:t>Нельзя строить RespProfile по одному факту последствия.</w:t>
            </w:r>
          </w:p>
        </w:tc>
      </w:tr>
      <w:tr>
        <w:trPr>
          <w:cantSplit/>
          <w:trHeight w:hRule="atLeast"/>
        </w:trPr>
        <w:tc>
          <w:tcPr>
            <w:tcW w:type="dxa" w:w="11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center"/>
            </w:pPr>
            <w:r>
              <w:rPr>
                <w:rFonts w:ascii="DejaVu Serif" w:hAnsi="DejaVu Serif" w:eastAsia="DejaVu Serif"/>
                <w:b w:val="0"/>
                <w:color w:val="1A2433"/>
                <w:sz w:val="16"/>
              </w:rPr>
              <w:t>CM-017</w:t>
            </w:r>
          </w:p>
        </w:tc>
        <w:tc>
          <w:tcPr>
            <w:tcW w:type="dxa" w:w="446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6"/>
              </w:rPr>
              <w:t>Агент имел возможность действия, но не имел Foreseeability в объявленном Dom.</w:t>
            </w:r>
          </w:p>
        </w:tc>
        <w:tc>
          <w:tcPr>
            <w:tcW w:type="dxa" w:w="352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6"/>
              </w:rPr>
              <w:t>Свобода начинания не тождественна полной ответственности.</w:t>
            </w:r>
          </w:p>
        </w:tc>
      </w:tr>
      <w:tr>
        <w:trPr>
          <w:cantSplit/>
          <w:trHeight w:hRule="atLeast"/>
        </w:trPr>
        <w:tc>
          <w:tcPr>
            <w:tcW w:type="dxa" w:w="11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center"/>
            </w:pPr>
            <w:r>
              <w:rPr>
                <w:rFonts w:ascii="DejaVu Serif" w:hAnsi="DejaVu Serif" w:eastAsia="DejaVu Serif"/>
                <w:b w:val="0"/>
                <w:color w:val="1A2433"/>
                <w:sz w:val="16"/>
              </w:rPr>
              <w:t>CM-018</w:t>
            </w:r>
          </w:p>
        </w:tc>
        <w:tc>
          <w:tcPr>
            <w:tcW w:type="dxa" w:w="446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6"/>
              </w:rPr>
              <w:t>Одна и та же альтернатива оценивается разными Clock_q с несравнимыми порядками.</w:t>
            </w:r>
          </w:p>
        </w:tc>
        <w:tc>
          <w:tcPr>
            <w:tcW w:type="dxa" w:w="352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6"/>
              </w:rPr>
              <w:t>Нет универсального scalar Good/Evil без bridge.</w:t>
            </w:r>
          </w:p>
        </w:tc>
      </w:tr>
      <w:tr>
        <w:trPr>
          <w:cantSplit/>
          <w:trHeight w:hRule="atLeast"/>
        </w:trPr>
        <w:tc>
          <w:tcPr>
            <w:tcW w:type="dxa" w:w="11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center"/>
            </w:pPr>
            <w:r>
              <w:rPr>
                <w:rFonts w:ascii="DejaVu Serif" w:hAnsi="DejaVu Serif" w:eastAsia="DejaVu Serif"/>
                <w:b w:val="0"/>
                <w:color w:val="1A2433"/>
                <w:sz w:val="16"/>
              </w:rPr>
              <w:t>CM-019</w:t>
            </w:r>
          </w:p>
        </w:tc>
        <w:tc>
          <w:tcPr>
            <w:tcW w:type="dxa" w:w="446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6"/>
              </w:rPr>
              <w:t>Новая память меняет D и I, но raw_hash стабилен.</w:t>
            </w:r>
          </w:p>
        </w:tc>
        <w:tc>
          <w:tcPr>
            <w:tcW w:type="dxa" w:w="352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6"/>
              </w:rPr>
              <w:t>Изменение интерпретации не есть изменение события.</w:t>
            </w:r>
          </w:p>
        </w:tc>
      </w:tr>
    </w:tbl>
    <w:tbl>
      <w:tblPr>
        <w:tblW w:type="auto" w:w="0"/>
        <w:jc w:val="center"/>
        <w:tblLayout w:type="fixed"/>
        <w:tblLook w:firstColumn="1" w:firstRow="1" w:lastColumn="0" w:lastRow="0" w:noHBand="0" w:noVBand="1" w:val="04A0"/>
      </w:tblPr>
      <w:tblGrid>
        <w:gridCol w:w="9865"/>
      </w:tblGrid>
      <w:tr>
        <w:trPr>
          <w:cantSplit/>
          <w:trHeight w:hRule="atLeast"/>
          <w:tblHeader w:val="true"/>
        </w:trPr>
        <w:tc>
          <w:tcPr>
            <w:tcW w:type="dxa" w:w="9000"/>
            <w:shd w:fill="EEF6F0"/>
            <w:tcMar>
              <w:top w:w="90" w:type="dxa"/>
              <w:start w:w="100" w:type="dxa"/>
              <w:bottom w:w="90" w:type="dxa"/>
              <w:end w:w="100" w:type="dxa"/>
            </w:tcMar>
            <w:tcBorders>
              <w:top w:sz="14" w:val="single" w:color="4D7A62"/>
              <w:left w:sz="14" w:val="single" w:color="4D7A62"/>
              <w:bottom w:sz="14" w:val="single" w:color="4D7A62"/>
              <w:right w:sz="14" w:val="single" w:color="4D7A62"/>
            </w:tcBorders>
            <w:vAlign w:val="center"/>
          </w:tcPr>
          <w:p>
            <w:pPr>
              <w:widowControl/>
              <w:spacing w:after="0" w:line="259" w:lineRule="auto"/>
            </w:pPr>
            <w:r>
              <w:rPr>
                <w:rFonts w:ascii="DejaVu Sans" w:hAnsi="DejaVu Sans" w:eastAsia="DejaVu Sans"/>
                <w:b/>
                <w:color w:val="4D7A62"/>
                <w:sz w:val="18"/>
              </w:rPr>
              <w:t xml:space="preserve">STATUS. </w:t>
            </w:r>
            <w:r>
              <w:rPr>
                <w:rFonts w:ascii="DejaVu Serif" w:hAnsi="DejaVu Serif" w:eastAsia="DejaVu Serif"/>
                <w:i w:val="0"/>
                <w:color w:val="1A2433"/>
                <w:sz w:val="18"/>
              </w:rPr>
              <w:t>РЕЗУЛЬТАТ ГЛАВЫ 8. T4-PO-009 закрыто на уровне DEF/THM-FORMAL; T4-PO-011 частично закрыто условиями сохранения Inv_event. Ответственность определена как отдельный D_resp-gate и остаётся COND для всякого конкретного этического или юридического домена.</w:t>
            </w:r>
          </w:p>
        </w:tc>
      </w:tr>
    </w:tbl>
    <w:p>
      <w:pPr>
        <w:pStyle w:val="Heading1"/>
        <w:keepNext/>
        <w:keepLines/>
        <w:widowControl/>
      </w:pPr>
      <w:r>
        <w:t>ЧАСТЬ III. ЯЗЫК, ВОСПРИЯТИЕ И ЛОКАЛЬНО-ГЛОБАЛЬНАЯ РЕКОНСТРУКЦИЯ</w:t>
      </w:r>
    </w:p>
    <w:tbl>
      <w:tblPr>
        <w:tblStyle w:val="TableGrid"/>
        <w:tblW w:type="auto" w:w="0"/>
        <w:jc w:val="center"/>
        <w:tblLook w:firstColumn="1" w:firstRow="1" w:lastColumn="0" w:lastRow="0" w:noHBand="0" w:noVBand="1" w:val="04A0"/>
      </w:tblPr>
      <w:tblGrid>
        <w:gridCol w:w="9865"/>
      </w:tblGrid>
      <w:tr>
        <w:trPr>
          <w:cantSplit/>
          <w:trHeight w:hRule="atLeast"/>
          <w:tblHeader w:val="true"/>
        </w:trPr>
        <w:tc>
          <w:tcPr>
            <w:tcW w:type="dxa" w:w="9865"/>
            <w:vAlign w:val="center"/>
            <w:tcMar>
              <w:top w:w="90" w:type="dxa"/>
              <w:start w:w="100" w:type="dxa"/>
              <w:bottom w:w="90" w:type="dxa"/>
              <w:end w:w="100" w:type="dxa"/>
            </w:tcMar>
            <w:shd w:fill="FFF6DD"/>
            <w:tcBorders>
              <w:top w:val="single" w:sz="8" w:color="B58B1D"/>
              <w:left w:val="single" w:sz="8" w:color="B58B1D"/>
              <w:bottom w:val="single" w:sz="8" w:color="B58B1D"/>
              <w:right w:val="single" w:sz="8" w:color="B58B1D"/>
            </w:tcBorders>
          </w:tcPr>
          <w:p>
            <w:pPr>
              <w:widowControl/>
              <w:spacing w:before="0" w:after="0" w:line="254" w:lineRule="auto"/>
              <w:jc w:val="left"/>
            </w:pPr>
            <w:r/>
            <w:r>
              <w:rPr>
                <w:rFonts w:ascii="DejaVu Serif" w:hAnsi="DejaVu Serif" w:eastAsia="DejaVu Serif"/>
                <w:b w:val="0"/>
                <w:sz w:val="18"/>
              </w:rPr>
              <w:t>ИСТОЧНИКОВЫЙ ШЛЮЗ T4-SRC-013. Файл «заметка1.docx» содержит два слоя: (A) популярное изложение теоремы Миттаг–Леффлера, внутри файла приписанное Игорю Воронцову; (B) последующее авторское развитие И. Б. Курпишева о многообразии Курпишева, PIT, RPLD и операторах. Эти слои не смешиваются. Три библиотечных плаката зарегистрированы как T4-ILL-013A-C; в основной текст включены математически проверенные аналитические перерисовки.</w:t>
            </w:r>
          </w:p>
        </w:tc>
      </w:tr>
    </w:tbl>
    <w:p>
      <w:pPr>
        <w:pStyle w:val="Heading1"/>
        <w:keepNext/>
        <w:keepLines/>
        <w:widowControl/>
      </w:pPr>
      <w:r>
        <w:t>Глава 9. Язык как переносчик основания и аналитическая регуляризация</w:t>
      </w:r>
    </w:p>
    <w:tbl>
      <w:tblPr>
        <w:tblStyle w:val="TableGrid"/>
        <w:tblW w:type="auto" w:w="0"/>
        <w:jc w:val="center"/>
        <w:tblLook w:firstColumn="1" w:firstRow="1" w:lastColumn="0" w:lastRow="0" w:noHBand="0" w:noVBand="1" w:val="04A0"/>
      </w:tblPr>
      <w:tblGrid>
        <w:gridCol w:w="9865"/>
      </w:tblGrid>
      <w:tr>
        <w:trPr>
          <w:cantSplit/>
          <w:trHeight w:hRule="atLeast"/>
          <w:tblHeader w:val="true"/>
        </w:trPr>
        <w:tc>
          <w:tcPr>
            <w:tcW w:type="dxa" w:w="9865"/>
            <w:vAlign w:val="center"/>
            <w:tcMar>
              <w:top w:w="90" w:type="dxa"/>
              <w:start w:w="100" w:type="dxa"/>
              <w:bottom w:w="90" w:type="dxa"/>
              <w:end w:w="100" w:type="dxa"/>
            </w:tcMar>
            <w:shd w:fill="EAF0F7"/>
            <w:tcBorders>
              <w:top w:val="single" w:sz="8" w:color="214D7A"/>
              <w:left w:val="single" w:sz="8" w:color="214D7A"/>
              <w:bottom w:val="single" w:sz="8" w:color="214D7A"/>
              <w:right w:val="single" w:sz="8" w:color="214D7A"/>
            </w:tcBorders>
          </w:tcPr>
          <w:p>
            <w:pPr>
              <w:widowControl/>
              <w:spacing w:before="0" w:after="0" w:line="254" w:lineRule="auto"/>
              <w:jc w:val="left"/>
            </w:pPr>
            <w:r/>
            <w:r>
              <w:rPr>
                <w:rFonts w:ascii="DejaVu Serif" w:hAnsi="DejaVu Serif" w:eastAsia="DejaVu Serif"/>
                <w:b w:val="0"/>
                <w:sz w:val="19"/>
              </w:rPr>
              <w:t>ОНТОЛОГИЯ. Язык не создаёт событие из ничего, а переносит и преобразует локальные записи. ГНОСЕОЛОГИЯ. Корректность переноса проверяется по типам, principal-part invariants, D/Dom и provenance. ФЕНОМЕНОЛОГИЯ. Одни и те же локальные разрывы могут быть включены в разные регулярные повествования. ОГРАНИЧЕНИЕ. Лингвистическая связность не является доказательством истинности. АВТОРСКАЯ НОВИЗНА. Язык включается в blocker-safe KLT-реконструкцию как регуляризующий, но не truth-promoting слой.</w:t>
            </w:r>
          </w:p>
        </w:tc>
      </w:tr>
    </w:tbl>
    <w:p>
      <w:pPr>
        <w:pStyle w:val="Heading2"/>
        <w:keepNext/>
        <w:keepLines/>
        <w:widowControl/>
      </w:pPr>
      <w:r>
        <w:t>9.1. Точная классическая постановка</w:t>
      </w:r>
    </w:p>
    <w:p>
      <w:pPr>
        <w:keepLines w:val="0"/>
        <w:widowControl/>
      </w:pPr>
      <w:r>
        <w:t>Пусть Ω⊂C — область, A⊂Ω — дискретное множество: всякая компактная часть Ω содержит лишь конечное число точек A. Для каждой a∈A задаётся конечная главная часть — отрицательная часть локального ряда Лорана. Она хранит полное полюсное содержание в a, а не только вычет простого полюса.</w:t>
      </w:r>
    </w:p>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Pₐ(z)=Σ_{k=1}^{mₐ} cₐ,ₖ (z−a)^{−k}</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T4-F059</w:t>
              <w:br/>
              <w:t>CLASSICAL DEF</w:t>
            </w:r>
          </w:p>
        </w:tc>
      </w:tr>
    </w:tbl>
    <w:tbl>
      <w:tblPr>
        <w:tblStyle w:val="TableGrid"/>
        <w:tblW w:type="auto" w:w="0"/>
        <w:jc w:val="center"/>
        <w:tblLook w:firstColumn="1" w:firstRow="1" w:lastColumn="0" w:lastRow="0" w:noHBand="0" w:noVBand="1" w:val="04A0"/>
      </w:tblPr>
      <w:tblGrid>
        <w:gridCol w:w="9865"/>
      </w:tblGrid>
      <w:tr>
        <w:trPr>
          <w:cantSplit/>
          <w:trHeight w:hRule="atLeast"/>
          <w:tblHeader w:val="true"/>
        </w:trPr>
        <w:tc>
          <w:tcPr>
            <w:tcW w:type="dxa" w:w="9865"/>
            <w:vAlign w:val="center"/>
            <w:tcMar>
              <w:top w:w="90" w:type="dxa"/>
              <w:start w:w="100" w:type="dxa"/>
              <w:bottom w:w="90" w:type="dxa"/>
              <w:end w:w="100" w:type="dxa"/>
            </w:tcMar>
            <w:shd w:fill="E8F4EA"/>
            <w:tcBorders>
              <w:top w:val="single" w:sz="8" w:color="3C7A47"/>
              <w:left w:val="single" w:sz="8" w:color="3C7A47"/>
              <w:bottom w:val="single" w:sz="8" w:color="3C7A47"/>
              <w:right w:val="single" w:sz="8" w:color="3C7A47"/>
            </w:tcBorders>
          </w:tcPr>
          <w:p>
            <w:pPr>
              <w:widowControl/>
              <w:spacing w:before="0" w:after="0" w:line="254" w:lineRule="auto"/>
              <w:jc w:val="left"/>
            </w:pPr>
            <w:r/>
            <w:r>
              <w:rPr>
                <w:rFonts w:ascii="DejaVu Serif" w:hAnsi="DejaVu Serif" w:eastAsia="DejaVu Serif"/>
                <w:b w:val="0"/>
                <w:sz w:val="19"/>
              </w:rPr>
              <w:t>ТЕОРЕМА T4.9.1 — Миттаг–Леффлер [CLASSICAL THM]. Для всякой области Ω⊂C, дискретного A⊂Ω и семейства конечных главных частей {Pₐ}_{a∈A} существует мероморфная функция f на Ω, имеющая в каждой a главную часть Pₐ и не имеющая иных полюсов.</w:t>
            </w:r>
          </w:p>
        </w:tc>
      </w:tr>
    </w:tbl>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PPₐ(f)=Pₐ  (a∈A),     Pole(f)⊆A</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T4-F060</w:t>
              <w:br/>
              <w:t>CLASSICAL THM</w:t>
            </w:r>
          </w:p>
        </w:tc>
      </w:tr>
    </w:tbl>
    <w:p>
      <w:pPr>
        <w:keepLines w:val="0"/>
        <w:widowControl/>
      </w:pPr>
      <w:r>
        <w:t>Если f и g реализуют одни и те же главные части, то все их полюсные члены сокращаются, и f−g голоморфна на Ω. Поэтому локальные особенности не определяют глобальную функцию единственным образом: множество решений является аффинным пространством, или торсором, над O(Ω).</w:t>
      </w:r>
    </w:p>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PP(f)=PP(g)  ⇔  f−g∈O(Ω);     Sol(P)=f₀+O(Ω)</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T4-F061</w:t>
              <w:br/>
              <w:t>CLASSICAL THM</w:t>
            </w:r>
          </w:p>
        </w:tc>
      </w:tr>
    </w:tbl>
    <w:p>
      <w:pPr>
        <w:keepLines w:val="0"/>
        <w:widowControl/>
      </w:pPr>
      <w:r>
        <w:t>Именно регулярная неоднозначность становится главным математическим уроком для Тома IV: локально установленное содержание может быть общим, тогда как глобальный фон, язык, память и нормировка остаются различными.</w:t>
      </w:r>
    </w:p>
    <w:p>
      <w:pPr>
        <w:pStyle w:val="Heading2"/>
        <w:keepNext/>
        <w:keepLines/>
        <w:widowControl/>
      </w:pPr>
      <w:r>
        <w:t>9.2. Специальная нормированная формула и её границы</w:t>
      </w:r>
    </w:p>
    <w:p>
      <w:pPr>
        <w:keepLines w:val="0"/>
        <w:widowControl/>
      </w:pPr>
      <w:r>
        <w:t>Формула из источниковой заметки является полезным специальным случаем, но не полной формулировкой теоремы. Если полюса zⱼ≠0 простые, bⱼ — их вычеты, выбран допустимый контурный предел и выполнены условия роста и нормальной сходимости, то после нормировки в нуле возможна запись:</w:t>
      </w:r>
    </w:p>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f(z)=f(0)+Σⱼ bⱼ [1/(z−zⱼ)+1/zⱼ]</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T4-F062</w:t>
              <w:br/>
              <w:t>SPECIAL COND</w:t>
            </w:r>
          </w:p>
        </w:tc>
      </w:tr>
    </w:tbl>
    <w:p>
      <w:pPr>
        <w:keepLines w:val="0"/>
        <w:widowControl/>
      </w:pPr>
      <w:r>
        <w:t>Добавка 1/zⱼ не меняет главную часть у zⱼ. Она вычитает постоянный член разложения 1/(z−zⱼ) в базовой точке 0, поэтому каждый дальний вклад становится порядка O(|zⱼ|⁻²) на фиксированном компакте. Для общего семейства полюсов нужны более высокие Taylor-counterterms или иной голоморфный корректор.</w:t>
      </w:r>
    </w:p>
    <w:p>
      <w:pPr>
        <w:keepNext/>
        <w:widowControl/>
        <w:jc w:val="center"/>
      </w:pPr>
      <w:r>
        <w:drawing>
          <wp:inline xmlns:a="http://schemas.openxmlformats.org/drawingml/2006/main" xmlns:pic="http://schemas.openxmlformats.org/drawingml/2006/picture">
            <wp:extent cx="6355080" cy="3046700"/>
            <wp:docPr id="10" name="Picture 10" descr="Схема теоремы Миттаг–Леффлера: дискретные полюса на комплексной плоскости, локальные главные части, глобальная мероморфная функция и неоднозначность добавления голоморфного фона." title="Схема теоремы Миттаг–Леффлера: дискретные полюса на комплексной плоскости, локальные главные части, глобальная мероморфн"/>
            <wp:cNvGraphicFramePr>
              <a:graphicFrameLocks noChangeAspect="1"/>
            </wp:cNvGraphicFramePr>
            <a:graphic>
              <a:graphicData uri="http://schemas.openxmlformats.org/drawingml/2006/picture">
                <pic:pic>
                  <pic:nvPicPr>
                    <pic:cNvPr id="0" name="fig10_ml_classical.png"/>
                    <pic:cNvPicPr/>
                  </pic:nvPicPr>
                  <pic:blipFill>
                    <a:blip r:embed="rId24"/>
                    <a:stretch>
                      <a:fillRect/>
                    </a:stretch>
                  </pic:blipFill>
                  <pic:spPr>
                    <a:xfrm>
                      <a:off x="0" y="0"/>
                      <a:ext cx="6355080" cy="3046700"/>
                    </a:xfrm>
                    <a:prstGeom prst="rect"/>
                  </pic:spPr>
                </pic:pic>
              </a:graphicData>
            </a:graphic>
          </wp:inline>
        </w:drawing>
      </w:r>
    </w:p>
    <w:p>
      <w:pPr>
        <w:pStyle w:val="Caption"/>
        <w:keepNext w:val="0"/>
        <w:keepLines/>
        <w:widowControl/>
        <w:jc w:val="center"/>
      </w:pPr>
      <w:r>
        <w:t>Рисунок 10. Три библиотечных плаката сведены в строгую аналитическую схему: дискретные полюса и их главные части допускают глобальную мероморфную реализацию, но не устраняют регулярную неоднозначность.</w:t>
      </w:r>
    </w:p>
    <w:p>
      <w:pPr>
        <w:pStyle w:val="Heading2"/>
        <w:keepNext/>
        <w:keepLines/>
        <w:widowControl/>
      </w:pPr>
      <w:r>
        <w:t>9.3. Математический аудит источниковой статьи</w:t>
      </w:r>
    </w:p>
    <w:tbl>
      <w:tblPr>
        <w:tblStyle w:val="TableGrid"/>
        <w:tblW w:type="auto" w:w="0"/>
        <w:jc w:val="center"/>
        <w:tblLayout w:type="fixed"/>
        <w:tblLook w:firstColumn="1" w:firstRow="1" w:lastColumn="0" w:lastRow="0" w:noHBand="0" w:noVBand="1" w:val="04A0"/>
      </w:tblPr>
      <w:tblGrid>
        <w:gridCol w:w="3288"/>
        <w:gridCol w:w="3288"/>
        <w:gridCol w:w="3288"/>
      </w:tblGrid>
      <w:tr>
        <w:trPr>
          <w:cantSplit/>
          <w:trHeight w:hRule="atLeast"/>
          <w:tblHeader w:val="true"/>
        </w:trPr>
        <w:tc>
          <w:tcPr>
            <w:tcW w:type="dxa" w:w="1728"/>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Узел</w:t>
            </w:r>
          </w:p>
        </w:tc>
        <w:tc>
          <w:tcPr>
            <w:tcW w:type="dxa" w:w="6912"/>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Строгая редакция</w:t>
            </w:r>
          </w:p>
        </w:tc>
        <w:tc>
          <w:tcPr>
            <w:tcW w:type="dxa" w:w="1296"/>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Статус</w:t>
            </w:r>
          </w:p>
        </w:tc>
      </w:tr>
      <w:tr>
        <w:trPr>
          <w:cantSplit/>
          <w:trHeight w:hRule="atLeast"/>
        </w:trPr>
        <w:tc>
          <w:tcPr>
            <w:tcW w:type="dxa" w:w="1728"/>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Область действия</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Не только вся плоскость C: теорема действует на областях C; через Cousin I — на открытых римановых поверхностях/Stein-пространствах. На общих комплексных пространствах возможен H¹-obstruction.</w:t>
            </w:r>
          </w:p>
        </w:tc>
        <w:tc>
          <w:tcPr>
            <w:tcW w:type="dxa" w:w="1296"/>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REPAIRED</w:t>
            </w:r>
          </w:p>
        </w:tc>
      </w:tr>
      <w:tr>
        <w:trPr>
          <w:cantSplit/>
          <w:trHeight w:hRule="atLeast"/>
        </w:trPr>
        <w:tc>
          <w:tcPr>
            <w:tcW w:type="dxa" w:w="1728"/>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Достаточность данных</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Положения полюсов и вычеты достаточны лишь для простых полюсов; при кратных полюсах требуется вся главная часть. Глобальный результат остаётся определён modulo O(Ω).</w:t>
            </w:r>
          </w:p>
        </w:tc>
        <w:tc>
          <w:tcPr>
            <w:tcW w:type="dxa" w:w="1296"/>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REPAIRED</w:t>
            </w:r>
          </w:p>
        </w:tc>
      </w:tr>
      <w:tr>
        <w:trPr>
          <w:cantSplit/>
          <w:trHeight w:hRule="atLeast"/>
        </w:trPr>
        <w:tc>
          <w:tcPr>
            <w:tcW w:type="dxa" w:w="1728"/>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tan z</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Вычет tan z в aₖ=π/2+πk равен −1, а не +1. Парная формула 2z/(aₖ²−z²) имеет именно вычет −1.</w:t>
            </w:r>
          </w:p>
        </w:tc>
        <w:tc>
          <w:tcPr>
            <w:tcW w:type="dxa" w:w="1296"/>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CORRECTED</w:t>
            </w:r>
          </w:p>
        </w:tc>
      </w:tr>
      <w:tr>
        <w:trPr>
          <w:cantSplit/>
          <w:trHeight w:hRule="atLeast"/>
        </w:trPr>
        <w:tc>
          <w:tcPr>
            <w:tcW w:type="dxa" w:w="1728"/>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cot z</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Корректно: πcot(πz)=1/z+Σ_{n≥1} 2z/(z²−n²), нормальная сходимость понимается вне полюсов.</w:t>
            </w:r>
          </w:p>
        </w:tc>
        <w:tc>
          <w:tcPr>
            <w:tcW w:type="dxa" w:w="1296"/>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CONFIRMED</w:t>
            </w:r>
          </w:p>
        </w:tc>
      </w:tr>
      <w:tr>
        <w:trPr>
          <w:cantSplit/>
          <w:trHeight w:hRule="atLeast"/>
        </w:trPr>
        <w:tc>
          <w:tcPr>
            <w:tcW w:type="dxa" w:w="1728"/>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Мультиполи</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Порядок полюса комплексного поля связан с planar multipole order; формула «2^{n−1}-поль» и универсальный «spin=2k» не являются общей теоремой.</w:t>
            </w:r>
          </w:p>
        </w:tc>
        <w:tc>
          <w:tcPr>
            <w:tcW w:type="dxa" w:w="1296"/>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DOWNGRADED</w:t>
            </w:r>
          </w:p>
        </w:tc>
      </w:tr>
      <w:tr>
        <w:trPr>
          <w:cantSplit/>
          <w:trHeight w:hRule="atLeast"/>
        </w:trPr>
        <w:tc>
          <w:tcPr>
            <w:tcW w:type="dxa" w:w="1728"/>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Гаусс/вычеты</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Это структурная аналогия контурного flux law, а не буквальное тождество физических теорий.</w:t>
            </w:r>
          </w:p>
        </w:tc>
        <w:tc>
          <w:tcPr>
            <w:tcW w:type="dxa" w:w="1296"/>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BOUNDARY</w:t>
            </w:r>
          </w:p>
        </w:tc>
      </w:tr>
      <w:tr>
        <w:trPr>
          <w:cantSplit/>
          <w:trHeight w:hRule="atLeast"/>
        </w:trPr>
        <w:tc>
          <w:tcPr>
            <w:tcW w:type="dxa" w:w="1728"/>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Контрчлены QFT</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Сходство состоит в вычитании регулярной части; физическая renormalization требует отдельной теории и не выводится из ML автоматически.</w:t>
            </w:r>
          </w:p>
        </w:tc>
        <w:tc>
          <w:tcPr>
            <w:tcW w:type="dxa" w:w="1296"/>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BOUNDARY</w:t>
            </w:r>
          </w:p>
        </w:tc>
      </w:tr>
      <w:tr>
        <w:trPr>
          <w:cantSplit/>
          <w:trHeight w:hRule="atLeast"/>
        </w:trPr>
        <w:tc>
          <w:tcPr>
            <w:tcW w:type="dxa" w:w="1728"/>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Физические полюса</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Green/resolvent/scattering poles могут кодировать modes/resonances при своих гипотезах; перенос к любой системе запрещён без domain adapter.</w:t>
            </w:r>
          </w:p>
        </w:tc>
        <w:tc>
          <w:tcPr>
            <w:tcW w:type="dxa" w:w="1296"/>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COND</w:t>
            </w:r>
          </w:p>
        </w:tc>
      </w:tr>
    </w:tbl>
    <w:p>
      <w:pPr>
        <w:pStyle w:val="Heading2"/>
        <w:keepNext/>
        <w:keepLines/>
        <w:widowControl/>
      </w:pPr>
      <w:r>
        <w:t>9.4. Язык как регулярное преобразование</w:t>
      </w:r>
    </w:p>
    <w:p>
      <w:pPr>
        <w:keepLines w:val="0"/>
        <w:widowControl/>
      </w:pPr>
      <w:r>
        <w:t>Пусть m — мероморфная или, шире, допустимая локально-глобальная запись события@состояния. Языковая операция L_ℓ считается локально-сохраняющей, если она изменяет только регулярную часть и не меняет principal-part class. Это модель перевода, переформулировки, пояснения или смены терминологической карты, но не доказательство эквивалентности всех смыслов.</w:t>
      </w:r>
    </w:p>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L_ℓ(m)=m+h_ℓ,     h_ℓ∈H⁰(X,H)</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T4-F072</w:t>
              <w:br/>
              <w:t>AUTHORIAL MODEL</w:t>
            </w:r>
          </w:p>
        </w:tc>
      </w:tr>
    </w:tbl>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PP(L_ℓ(m))=PP(m)  whenever h_ℓ is regular</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T4-F073</w:t>
              <w:br/>
              <w:t>THM-FORMAL</w:t>
            </w:r>
          </w:p>
        </w:tc>
      </w:tr>
    </w:tbl>
    <w:tbl>
      <w:tblPr>
        <w:tblStyle w:val="TableGrid"/>
        <w:tblW w:type="auto" w:w="0"/>
        <w:jc w:val="center"/>
        <w:tblLook w:firstColumn="1" w:firstRow="1" w:lastColumn="0" w:lastRow="0" w:noHBand="0" w:noVBand="1" w:val="04A0"/>
      </w:tblPr>
      <w:tblGrid>
        <w:gridCol w:w="9865"/>
      </w:tblGrid>
      <w:tr>
        <w:trPr>
          <w:cantSplit/>
          <w:trHeight w:hRule="atLeast"/>
          <w:tblHeader w:val="true"/>
        </w:trPr>
        <w:tc>
          <w:tcPr>
            <w:tcW w:type="dxa" w:w="9865"/>
            <w:vAlign w:val="center"/>
            <w:tcMar>
              <w:top w:w="90" w:type="dxa"/>
              <w:start w:w="100" w:type="dxa"/>
              <w:bottom w:w="90" w:type="dxa"/>
              <w:end w:w="100" w:type="dxa"/>
            </w:tcMar>
            <w:shd w:fill="E8F4EA"/>
            <w:tcBorders>
              <w:top w:val="single" w:sz="8" w:color="3C7A47"/>
              <w:left w:val="single" w:sz="8" w:color="3C7A47"/>
              <w:bottom w:val="single" w:sz="8" w:color="3C7A47"/>
              <w:right w:val="single" w:sz="8" w:color="3C7A47"/>
            </w:tcBorders>
          </w:tcPr>
          <w:p>
            <w:pPr>
              <w:widowControl/>
              <w:spacing w:before="0" w:after="0" w:line="254" w:lineRule="auto"/>
              <w:jc w:val="left"/>
            </w:pPr>
            <w:r/>
            <w:r>
              <w:rPr>
                <w:rFonts w:ascii="DejaVu Serif" w:hAnsi="DejaVu Serif" w:eastAsia="DejaVu Serif"/>
                <w:b w:val="0"/>
                <w:sz w:val="19"/>
              </w:rPr>
              <w:t>ПРОПОЗИЦИЯ T4.9.2 [THM-FORMAL]. Регулярная языковая добавка не меняет principal-part class. Доказательство: регулярная секция имеет нулевую главную часть в каждой точке. Граница: перевод, который переносит или создаёт полюс, меняет локальное содержание и требует новой source-card, D и статуса.</w:t>
            </w:r>
          </w:p>
        </w:tc>
      </w:tr>
    </w:tbl>
    <w:p>
      <w:pPr>
        <w:keepLines w:val="0"/>
        <w:widowControl/>
      </w:pPr>
      <w:r>
        <w:t>В терминах D/foreign-D ошибка возникает не потому, что два языка различаются, а потому, что одна и та же регуляризация применяется вне своего домена или скрытно изменяет principal-part data. Поэтому язык является не внешней оболочкой, а частью доказательного интерфейса.</w:t>
      </w:r>
    </w:p>
    <w:p>
      <w:pPr>
        <w:pStyle w:val="Heading1"/>
        <w:keepNext/>
        <w:keepLines/>
        <w:widowControl/>
      </w:pPr>
      <w:r>
        <w:t>Глава 10. Феноменология горизонта и локально-глобальная реконструкция</w:t>
      </w:r>
    </w:p>
    <w:tbl>
      <w:tblPr>
        <w:tblStyle w:val="TableGrid"/>
        <w:tblW w:type="auto" w:w="0"/>
        <w:jc w:val="center"/>
        <w:tblLook w:firstColumn="1" w:firstRow="1" w:lastColumn="0" w:lastRow="0" w:noHBand="0" w:noVBand="1" w:val="04A0"/>
      </w:tblPr>
      <w:tblGrid>
        <w:gridCol w:w="9865"/>
      </w:tblGrid>
      <w:tr>
        <w:trPr>
          <w:cantSplit/>
          <w:trHeight w:hRule="atLeast"/>
          <w:tblHeader w:val="true"/>
        </w:trPr>
        <w:tc>
          <w:tcPr>
            <w:tcW w:type="dxa" w:w="9865"/>
            <w:vAlign w:val="center"/>
            <w:tcMar>
              <w:top w:w="90" w:type="dxa"/>
              <w:start w:w="100" w:type="dxa"/>
              <w:bottom w:w="90" w:type="dxa"/>
              <w:end w:w="100" w:type="dxa"/>
            </w:tcMar>
            <w:shd w:fill="FFF6DD"/>
            <w:tcBorders>
              <w:top w:val="single" w:sz="8" w:color="B58B1D"/>
              <w:left w:val="single" w:sz="8" w:color="B58B1D"/>
              <w:bottom w:val="single" w:sz="8" w:color="B58B1D"/>
              <w:right w:val="single" w:sz="8" w:color="B58B1D"/>
            </w:tcBorders>
          </w:tcPr>
          <w:p>
            <w:pPr>
              <w:widowControl/>
              <w:spacing w:before="0" w:after="0" w:line="254" w:lineRule="auto"/>
              <w:jc w:val="left"/>
            </w:pPr>
            <w:r/>
            <w:r>
              <w:rPr>
                <w:rFonts w:ascii="DejaVu Serif" w:hAnsi="DejaVu Serif" w:eastAsia="DejaVu Serif"/>
                <w:b w:val="0"/>
                <w:sz w:val="19"/>
              </w:rPr>
              <w:t>ЦЕНТРАЛЬНЫЙ ВОПРОС. Когда локальные события, разрывы, свидетельства и особенности действительно сшиваются в единый глобальный объект? Ответ не даётся одной красивой суммой: требуется исчезновение когомологического препятствия и закрытие D/Dom/provenance/status gates.</w:t>
            </w:r>
          </w:p>
        </w:tc>
      </w:tr>
    </w:tbl>
    <w:p>
      <w:pPr>
        <w:pStyle w:val="Heading2"/>
        <w:keepNext/>
        <w:keepLines/>
        <w:widowControl/>
      </w:pPr>
      <w:r>
        <w:t>10.1. Пучки регулярных, мероморфных и главных частей</w:t>
      </w:r>
    </w:p>
    <w:p>
      <w:pPr>
        <w:keepLines w:val="0"/>
        <w:widowControl/>
      </w:pPr>
      <w:r>
        <w:t>На комплексно-аналитическом пространстве X обозначим через H пучок регулярных (голоморфных) секций, через M — пучок мероморфных секций, а через P=M/H — пучок главных частей. По определению возникает короткая точная последовательность:</w:t>
      </w:r>
    </w:p>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0 → H → M → P → 0</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T4-F063</w:t>
              <w:br/>
              <w:t>CLASSICAL EXACT SEQUENCE</w:t>
            </w:r>
          </w:p>
        </w:tc>
      </w:tr>
    </w:tbl>
    <w:p>
      <w:pPr>
        <w:keepLines w:val="0"/>
        <w:widowControl/>
      </w:pPr>
      <w:r>
        <w:t>Её когомологическая последовательность содержит connecting morphism δ. Он измеряет, можно ли глобализировать набор локальных главных частей.</w:t>
      </w:r>
    </w:p>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H⁰(X,M) → H⁰(X,P) —δ→ H¹(X,H)</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T4-F064</w:t>
              <w:br/>
              <w:t>CLASSICAL COHOMOLOGY</w:t>
            </w:r>
          </w:p>
        </w:tc>
      </w:tr>
    </w:tbl>
    <w:p>
      <w:pPr>
        <w:keepLines w:val="0"/>
        <w:widowControl/>
      </w:pPr>
      <w:r>
        <w:t>Для области в C, более общо для Stein-ситуации, H¹(X,H)=0, поэтому первая задача Кузена разрешима. На общем X это равенство не предполагается, и локально корректные данные могут не иметь единой глобальной реализации.</w:t>
      </w:r>
    </w:p>
    <w:p>
      <w:pPr>
        <w:pStyle w:val="Heading2"/>
        <w:keepNext/>
        <w:keepLines/>
        <w:widowControl/>
      </w:pPr>
      <w:r>
        <w:t>10.2. Reper principal-part packet и препятствие</w:t>
      </w:r>
    </w:p>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pᵢ=(Uᵢ,Pᵢ,Domᵢ,Dᵢ,provᵢ,σᵢ)</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T4-F065</w:t>
              <w:br/>
              <w:t>AUTHORIAL DEF</w:t>
            </w:r>
          </w:p>
        </w:tc>
      </w:tr>
    </w:tbl>
    <w:p>
      <w:pPr>
        <w:keepLines w:val="0"/>
        <w:widowControl/>
      </w:pPr>
      <w:r>
        <w:t>Пакет pᵢ хранит не только локальную формулу Pᵢ, но также область, достаточное основание, происхождение и нескалярный статус. На перекрытии Uᵢ∩Uⱼ выбираются локальные мероморфные представители mᵢ,mⱼ. Если их principal parts совместимы, разность gᵢⱼ=mᵢ−mⱼ регулярна и образует Čech 1-кокцикл.</w:t>
      </w:r>
    </w:p>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Ob_ML(p)=δ([p])∈H¹(X,H)</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T4-F066</w:t>
              <w:br/>
              <w:t>CLASSICAL CORE / KLT TYPE</w:t>
            </w:r>
          </w:p>
        </w:tc>
      </w:tr>
    </w:tbl>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Gate_ML(p)=Typed∧Dom∧D∧Provenance∧Status∧Compatibility</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T4-F067</w:t>
              <w:br/>
              <w:t>AUTHORIAL GATE</w:t>
            </w:r>
          </w:p>
        </w:tc>
      </w:tr>
    </w:tbl>
    <w:tbl>
      <w:tblPr>
        <w:tblStyle w:val="TableGrid"/>
        <w:tblW w:type="auto" w:w="0"/>
        <w:jc w:val="center"/>
        <w:tblLook w:firstColumn="1" w:firstRow="1" w:lastColumn="0" w:lastRow="0" w:noHBand="0" w:noVBand="1" w:val="04A0"/>
      </w:tblPr>
      <w:tblGrid>
        <w:gridCol w:w="9865"/>
      </w:tblGrid>
      <w:tr>
        <w:trPr>
          <w:cantSplit/>
          <w:trHeight w:hRule="atLeast"/>
          <w:tblHeader w:val="true"/>
        </w:trPr>
        <w:tc>
          <w:tcPr>
            <w:tcW w:type="dxa" w:w="9865"/>
            <w:vAlign w:val="center"/>
            <w:tcMar>
              <w:top w:w="90" w:type="dxa"/>
              <w:start w:w="100" w:type="dxa"/>
              <w:bottom w:w="90" w:type="dxa"/>
              <w:end w:w="100" w:type="dxa"/>
            </w:tcMar>
            <w:shd w:fill="E8F4EA"/>
            <w:tcBorders>
              <w:top w:val="single" w:sz="8" w:color="3C7A47"/>
              <w:left w:val="single" w:sz="8" w:color="3C7A47"/>
              <w:bottom w:val="single" w:sz="8" w:color="3C7A47"/>
              <w:right w:val="single" w:sz="8" w:color="3C7A47"/>
            </w:tcBorders>
          </w:tcPr>
          <w:p>
            <w:pPr>
              <w:widowControl/>
              <w:spacing w:before="0" w:after="0" w:line="254" w:lineRule="auto"/>
              <w:jc w:val="left"/>
            </w:pPr>
            <w:r/>
            <w:r>
              <w:rPr>
                <w:rFonts w:ascii="DejaVu Serif" w:hAnsi="DejaVu Serif" w:eastAsia="DejaVu Serif"/>
                <w:b w:val="0"/>
                <w:sz w:val="18"/>
              </w:rPr>
              <w:t>ТЕОРЕМА T4.10.1 — KLT–Mittag-Leffler local-to-global theorem [THM-FORMAL/COND]. Пусть определены точная последовательность 0→H→M→P→0 и типизированный пакет p∈H⁰(X,P). Глобальная Reper-мероморфная секция M_p существует в разрешённом KLT-слое тогда и только тогда, когда Ob_ML(p)=0 и Gate_ML(p)=1. При существовании все решения имеют вид M_p+h, h∈H⁰(X,H). Если obstruction ненулевой или обязательный gate неизвестен, результат — ABSTAIN/ATLAS-ONLY.</w:t>
            </w:r>
          </w:p>
        </w:tc>
      </w:tr>
    </w:tbl>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Global_KLT(p)≠∅ ⇔ [Ob_ML(p)=0 ∧ Gate_ML(p)=1]</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T4-F068</w:t>
              <w:br/>
              <w:t>THM-FORMAL/COND</w:t>
            </w:r>
          </w:p>
        </w:tc>
      </w:tr>
    </w:tbl>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Global_KLT(p)=M₀+H⁰(X,H)</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T4-F069</w:t>
              <w:br/>
              <w:t>TORSOR STATEMENT</w:t>
            </w:r>
          </w:p>
        </w:tc>
      </w:tr>
    </w:tbl>
    <w:p>
      <w:pPr>
        <w:keepLines w:val="0"/>
        <w:widowControl/>
      </w:pPr>
      <w:r>
        <w:t>Доказательство. Точная последовательность даёт существование мероморфного прообраза p тогда и только тогда, когда δ(p)=0. Разность двух прообразов лежит в ядре M→P, то есть в H⁰(X,H). KLT-gate не меняет классическую теорему, а пересекает множество математических решений с допустимым множеством типизированных, источниково связанных и статусно разрешённых секций. □</w:t>
      </w:r>
    </w:p>
    <w:p>
      <w:pPr>
        <w:keepNext/>
        <w:widowControl/>
        <w:jc w:val="center"/>
      </w:pPr>
      <w:r>
        <w:drawing>
          <wp:inline xmlns:a="http://schemas.openxmlformats.org/drawingml/2006/main" xmlns:pic="http://schemas.openxmlformats.org/drawingml/2006/picture">
            <wp:extent cx="6355080" cy="3537431"/>
            <wp:docPr id="11" name="Picture 11" descr="Графики частичных сумм: наивный ряд с логарифмическим дрейфом и исправленный ряд с контрчленом, сходящийся как сумма вкладов порядка один на n в квадрате." title="Графики частичных сумм: наивный ряд с логарифмическим дрейфом и исправленный ряд с контрчленом, сходящийся как сумма вкл"/>
            <wp:cNvGraphicFramePr>
              <a:graphicFrameLocks noChangeAspect="1"/>
            </wp:cNvGraphicFramePr>
            <a:graphic>
              <a:graphicData uri="http://schemas.openxmlformats.org/drawingml/2006/picture">
                <pic:pic>
                  <pic:nvPicPr>
                    <pic:cNvPr id="0" name="fig12_klt_gluing.png"/>
                    <pic:cNvPicPr/>
                  </pic:nvPicPr>
                  <pic:blipFill>
                    <a:blip r:embed="rId25"/>
                    <a:stretch>
                      <a:fillRect/>
                    </a:stretch>
                  </pic:blipFill>
                  <pic:spPr>
                    <a:xfrm>
                      <a:off x="0" y="0"/>
                      <a:ext cx="6355080" cy="3537431"/>
                    </a:xfrm>
                    <a:prstGeom prst="rect"/>
                  </pic:spPr>
                </pic:pic>
              </a:graphicData>
            </a:graphic>
          </wp:inline>
        </w:drawing>
      </w:r>
    </w:p>
    <w:p>
      <w:pPr>
        <w:pStyle w:val="Caption"/>
        <w:keepNext w:val="0"/>
        <w:keepLines/>
        <w:widowControl/>
        <w:jc w:val="center"/>
      </w:pPr>
      <w:r>
        <w:t>Рисунок 12. Пучковая глобализация отделена от KLT-гейтов: когомологическое препятствие отвечает за математическое существование, а D/Dom/provenance/status — за разрешённость вывода в проекте.</w:t>
      </w:r>
    </w:p>
    <w:p>
      <w:pPr>
        <w:pStyle w:val="Heading2"/>
        <w:keepNext/>
        <w:keepLines/>
        <w:widowControl/>
      </w:pPr>
      <w:r>
        <w:t>10.3. Контрчлены, exhaustion и нормальная сходимость</w:t>
      </w:r>
    </w:p>
    <w:p>
      <w:pPr>
        <w:keepLines w:val="0"/>
        <w:widowControl/>
      </w:pPr>
      <w:r>
        <w:t>Пусть {K_n} — исчерпание Ω компактами, а полюс a_n находится вне K_n. На K_n главная часть P_n регулярна; выбирается голоморфный counterterm H_n (на C — достаточно высокий Taylor polynomial), такой что остаток мал на K_n. Тогда на каждом фиксированном компакте хвост ряда мажорируется сходящимся числовым рядом.</w:t>
      </w:r>
    </w:p>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Q_n=P_n−H_n,     PP_{a_n}(Q_n)=PP_{a_n}(P_n)</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T4-F070</w:t>
              <w:br/>
              <w:t>CLASSICAL LEMMA</w:t>
            </w:r>
          </w:p>
        </w:tc>
      </w:tr>
    </w:tbl>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sup_{z∈K_n}|Q_n(z)|≤2^{−n}  ⇒  Σ_n Q_n converges normally on compacta</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T4-F071</w:t>
              <w:br/>
              <w:t>CLASSICAL THM</w:t>
            </w:r>
          </w:p>
        </w:tc>
      </w:tr>
    </w:tbl>
    <w:tbl>
      <w:tblPr>
        <w:tblStyle w:val="TableGrid"/>
        <w:tblW w:type="auto" w:w="0"/>
        <w:jc w:val="center"/>
        <w:tblLook w:firstColumn="1" w:firstRow="1" w:lastColumn="0" w:lastRow="0" w:noHBand="0" w:noVBand="1" w:val="04A0"/>
      </w:tblPr>
      <w:tblGrid>
        <w:gridCol w:w="9865"/>
      </w:tblGrid>
      <w:tr>
        <w:trPr>
          <w:cantSplit/>
          <w:trHeight w:hRule="atLeast"/>
          <w:tblHeader w:val="true"/>
        </w:trPr>
        <w:tc>
          <w:tcPr>
            <w:tcW w:type="dxa" w:w="9865"/>
            <w:vAlign w:val="center"/>
            <w:tcMar>
              <w:top w:w="90" w:type="dxa"/>
              <w:start w:w="100" w:type="dxa"/>
              <w:bottom w:w="90" w:type="dxa"/>
              <w:end w:w="100" w:type="dxa"/>
            </w:tcMar>
            <w:shd w:fill="E8F4EA"/>
            <w:tcBorders>
              <w:top w:val="single" w:sz="8" w:color="3C7A47"/>
              <w:left w:val="single" w:sz="8" w:color="3C7A47"/>
              <w:bottom w:val="single" w:sz="8" w:color="3C7A47"/>
              <w:right w:val="single" w:sz="8" w:color="3C7A47"/>
            </w:tcBorders>
          </w:tcPr>
          <w:p>
            <w:pPr>
              <w:widowControl/>
              <w:spacing w:before="0" w:after="0" w:line="254" w:lineRule="auto"/>
              <w:jc w:val="left"/>
            </w:pPr>
            <w:r/>
            <w:r>
              <w:rPr>
                <w:rFonts w:ascii="DejaVu Serif" w:hAnsi="DejaVu Serif" w:eastAsia="DejaVu Serif"/>
                <w:b w:val="0"/>
                <w:sz w:val="19"/>
              </w:rPr>
              <w:t>ЛЕММА T4.10.2. Вычитание голоморфного counterterm не меняет главную часть у a_n. ТЕОРЕМА T4.10.3. При указанной 2^{-n}-оценке ряд сходится равномерно на каждом компакте по признаку Вейерштрасса; его сумма мероморфна и имеет предписанные главные части.</w:t>
            </w:r>
          </w:p>
        </w:tc>
      </w:tr>
    </w:tbl>
    <w:p>
      <w:pPr>
        <w:keepNext/>
        <w:widowControl/>
        <w:jc w:val="center"/>
      </w:pPr>
      <w:r>
        <w:drawing>
          <wp:inline xmlns:a="http://schemas.openxmlformats.org/drawingml/2006/main" xmlns:pic="http://schemas.openxmlformats.org/drawingml/2006/picture">
            <wp:extent cx="6355080" cy="2825060"/>
            <wp:docPr id="12" name="Picture 12" descr="Блок-схема KLT–Mittag-Leffler: локальные Reper-пакеты, Čech-кокцикл, класс препятствия H1, глобальная секция при нулевом препятствии или ABSTAIN при незакрытом gate." title="Блок-схема KLT–Mittag-Leffler: локальные Reper-пакеты, Čech-кокцикл, класс препятствия H1, глобальная секция при нулевом"/>
            <wp:cNvGraphicFramePr>
              <a:graphicFrameLocks noChangeAspect="1"/>
            </wp:cNvGraphicFramePr>
            <a:graphic>
              <a:graphicData uri="http://schemas.openxmlformats.org/drawingml/2006/picture">
                <pic:pic>
                  <pic:nvPicPr>
                    <pic:cNvPr id="0" name="fig11_ml_counterterms.png"/>
                    <pic:cNvPicPr/>
                  </pic:nvPicPr>
                  <pic:blipFill>
                    <a:blip r:embed="rId26"/>
                    <a:stretch>
                      <a:fillRect/>
                    </a:stretch>
                  </pic:blipFill>
                  <pic:spPr>
                    <a:xfrm>
                      <a:off x="0" y="0"/>
                      <a:ext cx="6355080" cy="2825060"/>
                    </a:xfrm>
                    <a:prstGeom prst="rect"/>
                  </pic:spPr>
                </pic:pic>
              </a:graphicData>
            </a:graphic>
          </wp:inline>
        </w:drawing>
      </w:r>
    </w:p>
    <w:p>
      <w:pPr>
        <w:pStyle w:val="Caption"/>
        <w:keepNext w:val="0"/>
        <w:keepLines/>
        <w:widowControl/>
        <w:jc w:val="center"/>
      </w:pPr>
      <w:r>
        <w:t>Рисунок 11. В специальном ряду вычитание постоянного Taylor-jet переводит дальний вклад из порядка 1/n в порядок 1/n², сохраняя локальный полюс.</w:t>
      </w:r>
    </w:p>
    <w:p>
      <w:pPr>
        <w:pStyle w:val="Heading2"/>
        <w:keepNext/>
        <w:keepLines/>
        <w:widowControl/>
      </w:pPr>
      <w:r>
        <w:t>10.4. PIT как пакетная регуляризация</w:t>
      </w:r>
    </w:p>
    <w:p>
      <w:pPr>
        <w:keepLines w:val="0"/>
        <w:widowControl/>
      </w:pPr>
      <w:r>
        <w:t>Авторская заметка определяет ПИТ как метод исключения/обрезания синтетических цепей и аналитических Σ-иерархий с введением несобственных границ. В строгой редакции данные не удаляются: отсечённый хвост переносится в boundary-register вместе с причиной, глубиной среза и provenance.</w:t>
      </w:r>
    </w:p>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PIT_{N,Σ}(x)=(Core_{≤N,≤Σ}(x), Boundary_{&gt;N or &gt;Σ}(x), policy, prov, σ)</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T4-F074</w:t>
              <w:br/>
              <w:t>AUTHORIAL DEF</w:t>
            </w:r>
          </w:p>
        </w:tc>
      </w:tr>
    </w:tbl>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PIT_{N,Σ}∘PIT_{N,Σ}=PIT_{N,Σ}  for a frozen cutoff policy</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T4-F075</w:t>
              <w:br/>
              <w:t>THM-BY-DEFINITION</w:t>
            </w:r>
          </w:p>
        </w:tc>
      </w:tr>
    </w:tbl>
    <w:tbl>
      <w:tblPr>
        <w:tblStyle w:val="TableGrid"/>
        <w:tblW w:type="auto" w:w="0"/>
        <w:jc w:val="center"/>
        <w:tblLook w:firstColumn="1" w:firstRow="1" w:lastColumn="0" w:lastRow="0" w:noHBand="0" w:noVBand="1" w:val="04A0"/>
      </w:tblPr>
      <w:tblGrid>
        <w:gridCol w:w="9865"/>
      </w:tblGrid>
      <w:tr>
        <w:trPr>
          <w:cantSplit/>
          <w:trHeight w:hRule="atLeast"/>
          <w:tblHeader w:val="true"/>
        </w:trPr>
        <w:tc>
          <w:tcPr>
            <w:tcW w:type="dxa" w:w="9865"/>
            <w:vAlign w:val="center"/>
            <w:tcMar>
              <w:top w:w="90" w:type="dxa"/>
              <w:start w:w="100" w:type="dxa"/>
              <w:bottom w:w="90" w:type="dxa"/>
              <w:end w:w="100" w:type="dxa"/>
            </w:tcMar>
            <w:shd w:fill="E8F4EA"/>
            <w:tcBorders>
              <w:top w:val="single" w:sz="8" w:color="3C7A47"/>
              <w:left w:val="single" w:sz="8" w:color="3C7A47"/>
              <w:bottom w:val="single" w:sz="8" w:color="3C7A47"/>
              <w:right w:val="single" w:sz="8" w:color="3C7A47"/>
            </w:tcBorders>
          </w:tcPr>
          <w:p>
            <w:pPr>
              <w:widowControl/>
              <w:spacing w:before="0" w:after="0" w:line="254" w:lineRule="auto"/>
              <w:jc w:val="left"/>
            </w:pPr>
            <w:r/>
            <w:r>
              <w:rPr>
                <w:rFonts w:ascii="DejaVu Serif" w:hAnsi="DejaVu Serif" w:eastAsia="DejaVu Serif"/>
                <w:b w:val="0"/>
                <w:sz w:val="19"/>
              </w:rPr>
              <w:t>ПРОПОЗИЦИЯ T4.10.4 [THM-FORMAL]. При неизменной политике среза PIT идемпотентен и provenance-preserving: повторное применение не удаляет новых элементов, а boundary-register остаётся неизменным. Граница: утверждение не доказывает, что любое бесконечное множество стало конечным или вычислимым; оно лишь создаёт конечный core и явный несобственный остаток.</w:t>
            </w:r>
          </w:p>
        </w:tc>
      </w:tr>
    </w:tbl>
    <w:p>
      <w:pPr>
        <w:keepLines w:val="0"/>
        <w:widowControl/>
      </w:pPr>
      <w:r>
        <w:t>Связь с Миттаг–Леффлером состоит в принципе local-signature preservation: counterterm/PIT меняет глобальный регулярный слой и способ сборки, но не должен скрытно менять локальные особенности. Если меняет — создаётся новый объект и новый proof obligation.</w:t>
      </w:r>
    </w:p>
    <w:p>
      <w:pPr>
        <w:pStyle w:val="Heading2"/>
        <w:keepNext/>
        <w:keepLines/>
        <w:widowControl/>
      </w:pPr>
      <w:r>
        <w:t>10.5. Стратифицированная Reper-проективная система Курпишева</w:t>
      </w:r>
    </w:p>
    <w:p>
      <w:pPr>
        <w:keepLines w:val="0"/>
        <w:widowControl/>
      </w:pPr>
      <w:r>
        <w:t>Название «многообразие Курпишева» сохраняется как программное, но получает type gate. До доказательства постоянной размерности, локальной евклидовости и projective transition atlas корректный термин — стратифицированная Reper-проективная система Курпишева.</w:t>
      </w:r>
    </w:p>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K=(X,S,{U_i,φ_i},G,τ,H,M,P,Λ,D,Σ_status)</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T4-F076</w:t>
              <w:br/>
              <w:t>AUTHORIAL DEF</w:t>
            </w:r>
          </w:p>
        </w:tc>
      </w:tr>
    </w:tbl>
    <w:p>
      <w:pPr>
        <w:keepLines w:val="0"/>
        <w:widowControl/>
      </w:pPr>
      <w:r>
        <w:t>Здесь X — Hausdorff second-countable carrier; S — стратификация; {U_i,φ_i} — локальные projective charts; G — типизированный логистический граф событий@состояний; τ — задержки; H,M,P — регулярный, мероморфный и principal-part layers; Λ — семейство λ-карт; D — достаточные основания; Σ_status — нескалярные статусы.</w:t>
      </w:r>
    </w:p>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φ_j∘φ_i^{-1} ∈ PGL(V) on every admissible overlap</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T4-F077</w:t>
              <w:br/>
              <w:t>PROJECTIVE-MANIFOLD GATE</w:t>
            </w:r>
          </w:p>
        </w:tc>
      </w:tr>
    </w:tbl>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Section_K=(s_i) with s_i=T_{ij}(s_j), delay/valve/bridge constraints satisfied</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T4-F078</w:t>
              <w:br/>
              <w:t>LOGISTIC GLOBAL SECTION</w:t>
            </w:r>
          </w:p>
        </w:tc>
      </w:tr>
    </w:tbl>
    <w:tbl>
      <w:tblPr>
        <w:tblStyle w:val="TableGrid"/>
        <w:tblW w:type="auto" w:w="0"/>
        <w:jc w:val="center"/>
        <w:tblLayout w:type="fixed"/>
        <w:tblLook w:firstColumn="1" w:firstRow="1" w:lastColumn="0" w:lastRow="0" w:noHBand="0" w:noVBand="1" w:val="04A0"/>
      </w:tblPr>
      <w:tblGrid>
        <w:gridCol w:w="3288"/>
        <w:gridCol w:w="3288"/>
        <w:gridCol w:w="3288"/>
      </w:tblGrid>
      <w:tr>
        <w:trPr>
          <w:cantSplit/>
          <w:trHeight w:hRule="atLeast"/>
          <w:tblHeader w:val="true"/>
        </w:trPr>
        <w:tc>
          <w:tcPr>
            <w:tcW w:type="dxa" w:w="1728"/>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Режим</w:t>
            </w:r>
          </w:p>
        </w:tc>
        <w:tc>
          <w:tcPr>
            <w:tcW w:type="dxa" w:w="6480"/>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Необходимые условия</w:t>
            </w:r>
          </w:p>
        </w:tc>
        <w:tc>
          <w:tcPr>
            <w:tcW w:type="dxa" w:w="1872"/>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Разрешённое имя</w:t>
            </w:r>
          </w:p>
        </w:tc>
      </w:tr>
      <w:tr>
        <w:trPr>
          <w:cantSplit/>
          <w:trHeight w:hRule="atLeast"/>
        </w:trPr>
        <w:tc>
          <w:tcPr>
            <w:tcW w:type="dxa" w:w="1728"/>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Однородный</w:t>
            </w:r>
          </w:p>
        </w:tc>
        <w:tc>
          <w:tcPr>
            <w:tcW w:type="dxa" w:w="64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фиксированная размерность; PGL-переходы; cocycle; локальная евклидовость</w:t>
            </w:r>
          </w:p>
        </w:tc>
        <w:tc>
          <w:tcPr>
            <w:tcW w:type="dxa" w:w="187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projective manifold</w:t>
            </w:r>
          </w:p>
        </w:tc>
      </w:tr>
      <w:tr>
        <w:trPr>
          <w:cantSplit/>
          <w:trHeight w:hRule="atLeast"/>
        </w:trPr>
        <w:tc>
          <w:tcPr>
            <w:tcW w:type="dxa" w:w="1728"/>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Стратифицированный</w:t>
            </w:r>
          </w:p>
        </w:tc>
        <w:tc>
          <w:tcPr>
            <w:tcW w:type="dxa" w:w="64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размерность меняется по стратам; control data на frontier</w:t>
            </w:r>
          </w:p>
        </w:tc>
        <w:tc>
          <w:tcPr>
            <w:tcW w:type="dxa" w:w="187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stratified projective space/system</w:t>
            </w:r>
          </w:p>
        </w:tc>
      </w:tr>
      <w:tr>
        <w:trPr>
          <w:cantSplit/>
          <w:trHeight w:hRule="atLeast"/>
        </w:trPr>
        <w:tc>
          <w:tcPr>
            <w:tcW w:type="dxa" w:w="1728"/>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Графовый/логистический</w:t>
            </w:r>
          </w:p>
        </w:tc>
        <w:tc>
          <w:tcPr>
            <w:tcW w:type="dxa" w:w="64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есть только узлы, delays, valves, bridges; atlas не доказан</w:t>
            </w:r>
          </w:p>
        </w:tc>
        <w:tc>
          <w:tcPr>
            <w:tcW w:type="dxa" w:w="187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Reper logistics graph</w:t>
            </w:r>
          </w:p>
        </w:tc>
      </w:tr>
      <w:tr>
        <w:trPr>
          <w:cantSplit/>
          <w:trHeight w:hRule="atLeast"/>
        </w:trPr>
        <w:tc>
          <w:tcPr>
            <w:tcW w:type="dxa" w:w="1728"/>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Незакрытый</w:t>
            </w:r>
          </w:p>
        </w:tc>
        <w:tc>
          <w:tcPr>
            <w:tcW w:type="dxa" w:w="64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transition/cocycle/D отсутствуют</w:t>
            </w:r>
          </w:p>
        </w:tc>
        <w:tc>
          <w:tcPr>
            <w:tcW w:type="dxa" w:w="187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ATLAS-ONLY / ABSTAIN</w:t>
            </w:r>
          </w:p>
        </w:tc>
      </w:tr>
    </w:tbl>
    <w:p>
      <w:pPr>
        <w:pStyle w:val="Heading1"/>
        <w:keepNext/>
        <w:keepLines/>
        <w:widowControl/>
      </w:pPr>
      <w:r>
        <w:t>Глава 11. Интерсубъективность modulo регулярного фона</w:t>
      </w:r>
    </w:p>
    <w:tbl>
      <w:tblPr>
        <w:tblStyle w:val="TableGrid"/>
        <w:tblW w:type="auto" w:w="0"/>
        <w:jc w:val="center"/>
        <w:tblLook w:firstColumn="1" w:firstRow="1" w:lastColumn="0" w:lastRow="0" w:noHBand="0" w:noVBand="1" w:val="04A0"/>
      </w:tblPr>
      <w:tblGrid>
        <w:gridCol w:w="9865"/>
      </w:tblGrid>
      <w:tr>
        <w:trPr>
          <w:cantSplit/>
          <w:trHeight w:hRule="atLeast"/>
          <w:tblHeader w:val="true"/>
        </w:trPr>
        <w:tc>
          <w:tcPr>
            <w:tcW w:type="dxa" w:w="9865"/>
            <w:vAlign w:val="center"/>
            <w:tcMar>
              <w:top w:w="90" w:type="dxa"/>
              <w:start w:w="100" w:type="dxa"/>
              <w:bottom w:w="90" w:type="dxa"/>
              <w:end w:w="100" w:type="dxa"/>
            </w:tcMar>
            <w:shd w:fill="FFF6DD"/>
            <w:tcBorders>
              <w:top w:val="single" w:sz="8" w:color="B58B1D"/>
              <w:left w:val="single" w:sz="8" w:color="B58B1D"/>
              <w:bottom w:val="single" w:sz="8" w:color="B58B1D"/>
              <w:right w:val="single" w:sz="8" w:color="B58B1D"/>
            </w:tcBorders>
          </w:tcPr>
          <w:p>
            <w:pPr>
              <w:widowControl/>
              <w:spacing w:before="0" w:after="0" w:line="254" w:lineRule="auto"/>
              <w:jc w:val="left"/>
            </w:pPr>
            <w:r/>
            <w:r>
              <w:rPr>
                <w:rFonts w:ascii="DejaVu Serif" w:hAnsi="DejaVu Serif" w:eastAsia="DejaVu Serif"/>
                <w:b w:val="0"/>
                <w:sz w:val="19"/>
              </w:rPr>
              <w:t>ФЕНОМЕНОЛОГИЧЕСКАЯ ИДЕЯ. Два наблюдателя могут фиксировать один и тот же набор локальных разрывов, но строить разные глобальные миры памяти и языка. Математика различает общий principal-part class и observer-dependent regular background.</w:t>
            </w:r>
          </w:p>
        </w:tc>
      </w:tr>
    </w:tbl>
    <w:p>
      <w:pPr>
        <w:pStyle w:val="Heading2"/>
        <w:keepNext/>
        <w:keepLines/>
        <w:widowControl/>
      </w:pPr>
      <w:r>
        <w:t>11.1. Наблюдательская реконструкция</w:t>
      </w:r>
    </w:p>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Rec_O(p;D_O,Lang_O,Mem_O)=M_O ∈ Global_KLT(p)</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T4-F079</w:t>
              <w:br/>
              <w:t>AUTHORIAL MODEL</w:t>
            </w:r>
          </w:p>
        </w:tc>
      </w:tr>
    </w:tbl>
    <w:p>
      <w:pPr>
        <w:keepLines w:val="0"/>
        <w:widowControl/>
      </w:pPr>
      <w:r>
        <w:t>Rec_O является частичным оператором: он определён лишь при доступности источников, языка, памяти, домена и достаточного основания. Он не обязан выбирать единственный представитель торсора.</w:t>
      </w:r>
    </w:p>
    <w:tbl>
      <w:tblPr>
        <w:tblStyle w:val="TableGrid"/>
        <w:tblW w:type="auto" w:w="0"/>
        <w:jc w:val="center"/>
        <w:tblLook w:firstColumn="1" w:firstRow="1" w:lastColumn="0" w:lastRow="0" w:noHBand="0" w:noVBand="1" w:val="04A0"/>
      </w:tblPr>
      <w:tblGrid>
        <w:gridCol w:w="9865"/>
      </w:tblGrid>
      <w:tr>
        <w:trPr>
          <w:cantSplit/>
          <w:trHeight w:hRule="atLeast"/>
          <w:tblHeader w:val="true"/>
        </w:trPr>
        <w:tc>
          <w:tcPr>
            <w:tcW w:type="dxa" w:w="9865"/>
            <w:vAlign w:val="center"/>
            <w:tcMar>
              <w:top w:w="90" w:type="dxa"/>
              <w:start w:w="100" w:type="dxa"/>
              <w:bottom w:w="90" w:type="dxa"/>
              <w:end w:w="100" w:type="dxa"/>
            </w:tcMar>
            <w:shd w:fill="E8F4EA"/>
            <w:tcBorders>
              <w:top w:val="single" w:sz="8" w:color="3C7A47"/>
              <w:left w:val="single" w:sz="8" w:color="3C7A47"/>
              <w:bottom w:val="single" w:sz="8" w:color="3C7A47"/>
              <w:right w:val="single" w:sz="8" w:color="3C7A47"/>
            </w:tcBorders>
          </w:tcPr>
          <w:p>
            <w:pPr>
              <w:widowControl/>
              <w:spacing w:before="0" w:after="0" w:line="254" w:lineRule="auto"/>
              <w:jc w:val="left"/>
            </w:pPr>
            <w:r/>
            <w:r>
              <w:rPr>
                <w:rFonts w:ascii="DejaVu Serif" w:hAnsi="DejaVu Serif" w:eastAsia="DejaVu Serif"/>
                <w:b w:val="0"/>
                <w:sz w:val="19"/>
              </w:rPr>
              <w:t>ТЕОРЕМА T4.11.1 — equivalence modulo regular background [THM-FORMAL]. Пусть M_1 и M_2 — две глобальные мероморфные реконструкции на X без дополнительных полюсов. Тогда они имеют одинаковый principal-part packet тогда и только тогда, когда M_1−M_2 — глобальная регулярная секция.</w:t>
            </w:r>
          </w:p>
        </w:tc>
      </w:tr>
    </w:tbl>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PP(M₁)=PP(M₂) ⇔ M₁−M₂∈H⁰(X,H)</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T4-F080</w:t>
              <w:br/>
              <w:t>THM-FORMAL</w:t>
            </w:r>
          </w:p>
        </w:tc>
      </w:tr>
    </w:tbl>
    <w:p>
      <w:pPr>
        <w:keepLines w:val="0"/>
        <w:widowControl/>
      </w:pPr>
      <w:r>
        <w:t>Следовательно, интерсубъективное совпадение локальных особенностей не требует полного совпадения языкового и мнемического фона. И наоборот, сходство общего стиля повествования не гарантирует совпадения локальных фактов.</w:t>
      </w:r>
    </w:p>
    <w:p>
      <w:pPr>
        <w:pStyle w:val="Heading2"/>
        <w:keepNext/>
        <w:keepLines/>
        <w:widowControl/>
      </w:pPr>
      <w:r>
        <w:t>11.2. Нескалярная дистанция расхождения</w:t>
      </w:r>
    </w:p>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d_inter(M₁,M₂)=(d_PP, d_reg, d_D, d_Dom, d_prov, d_status)</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T4-F081</w:t>
              <w:br/>
              <w:t>AUTHORIAL DEF</w:t>
            </w:r>
          </w:p>
        </w:tc>
      </w:tr>
    </w:tbl>
    <w:p>
      <w:pPr>
        <w:keepLines w:val="0"/>
        <w:widowControl/>
      </w:pPr>
      <w:r>
        <w:t>Вектор d_inter не сворачивается автоматически в одно число. d_PP измеряет различие локальных особенностей, d_reg — различие регулярных фонов после фиксированной gauge-нормировки, d_D и d_Dom — основания и области, d_prov — происхождение, d_status — доказательный статус. Полное согласие требует покомпонентного контракта, а не малого среднего балла.</w:t>
      </w:r>
    </w:p>
    <w:p>
      <w:pPr>
        <w:pStyle w:val="Heading2"/>
        <w:keepNext/>
        <w:keepLines/>
        <w:widowControl/>
      </w:pPr>
      <w:r>
        <w:t>11.3. RPLD1, RPLD2 и RPLD как типизированные слои</w:t>
      </w:r>
    </w:p>
    <w:p>
      <w:pPr>
        <w:keepLines w:val="0"/>
        <w:widowControl/>
      </w:pPr>
      <w:r>
        <w:t>Авторская заметка различает RPLD1 — мир, данный в ощущениях; RPLD2 — мир памяти, опыта, воображения, образов и снов; RPLD — проективную складку, в которой формируется практическое рассуждение. В v0.4 это не три самостоятельных космологических мира, а три типа данных и операторов внутри антропологического домена.</w:t>
      </w:r>
    </w:p>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RPLD1_O=(Sens_O, time, instrument/body, Dom_sens, D_sens, prov)</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T4-F082</w:t>
              <w:br/>
              <w:t>AUTHORIAL MODEL</w:t>
            </w:r>
          </w:p>
        </w:tc>
      </w:tr>
    </w:tbl>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RPLD2_O=(MemoryVersions_O, Imagination_O, Lang_O, D_mem, prov)</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T4-F083</w:t>
              <w:br/>
              <w:t>AUTHORIAL MODEL</w:t>
            </w:r>
          </w:p>
        </w:tc>
      </w:tr>
    </w:tbl>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RPLD_O=Fold_O(RPLD1_O,RPLD2_O; D_fold,Dom_fold,σ)</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T4-F084</w:t>
              <w:br/>
              <w:t>PARTIAL OPERATOR</w:t>
            </w:r>
          </w:p>
        </w:tc>
      </w:tr>
    </w:tbl>
    <w:tbl>
      <w:tblPr>
        <w:tblStyle w:val="TableGrid"/>
        <w:tblW w:type="auto" w:w="0"/>
        <w:jc w:val="center"/>
        <w:tblLook w:firstColumn="1" w:firstRow="1" w:lastColumn="0" w:lastRow="0" w:noHBand="0" w:noVBand="1" w:val="04A0"/>
      </w:tblPr>
      <w:tblGrid>
        <w:gridCol w:w="9865"/>
      </w:tblGrid>
      <w:tr>
        <w:trPr>
          <w:cantSplit/>
          <w:trHeight w:hRule="atLeast"/>
          <w:tblHeader w:val="true"/>
        </w:trPr>
        <w:tc>
          <w:tcPr>
            <w:tcW w:type="dxa" w:w="9865"/>
            <w:vAlign w:val="center"/>
            <w:tcMar>
              <w:top w:w="90" w:type="dxa"/>
              <w:start w:w="100" w:type="dxa"/>
              <w:bottom w:w="90" w:type="dxa"/>
              <w:end w:w="100" w:type="dxa"/>
            </w:tcMar>
            <w:shd w:fill="FBEDED"/>
            <w:tcBorders>
              <w:top w:val="single" w:sz="8" w:color="9A3030"/>
              <w:left w:val="single" w:sz="8" w:color="9A3030"/>
              <w:bottom w:val="single" w:sz="8" w:color="9A3030"/>
              <w:right w:val="single" w:sz="8" w:color="9A3030"/>
            </w:tcBorders>
          </w:tcPr>
          <w:p>
            <w:pPr>
              <w:widowControl/>
              <w:spacing w:before="0" w:after="0" w:line="254" w:lineRule="auto"/>
              <w:jc w:val="left"/>
            </w:pPr>
            <w:r/>
            <w:r>
              <w:rPr>
                <w:rFonts w:ascii="DejaVu Serif" w:hAnsi="DejaVu Serif" w:eastAsia="DejaVu Serif"/>
                <w:b w:val="0"/>
                <w:sz w:val="19"/>
              </w:rPr>
              <w:t>RPLD-GATE. Fold_O не определён, если sensory data и memory data имеют несовместимые версии, отсутствует translation map, конфликт источников не экспонирован или D_fold подменён foreign-D. В таком случае результат — ABSTAIN-FOLD, а не искусственно единая «картина мира».</w:t>
            </w:r>
          </w:p>
        </w:tc>
      </w:tr>
    </w:tbl>
    <w:p>
      <w:pPr>
        <w:pStyle w:val="Heading2"/>
        <w:keepNext/>
        <w:keepLines/>
        <w:widowControl/>
      </w:pPr>
      <w:r>
        <w:t>11.4. Контрмодели интерсубъективности</w:t>
      </w:r>
    </w:p>
    <w:tbl>
      <w:tblPr>
        <w:tblStyle w:val="TableGrid"/>
        <w:tblW w:type="auto" w:w="0"/>
        <w:jc w:val="center"/>
        <w:tblLayout w:type="fixed"/>
        <w:tblLook w:firstColumn="1" w:firstRow="1" w:lastColumn="0" w:lastRow="0" w:noHBand="0" w:noVBand="1" w:val="04A0"/>
      </w:tblPr>
      <w:tblGrid>
        <w:gridCol w:w="3288"/>
        <w:gridCol w:w="3288"/>
        <w:gridCol w:w="3288"/>
      </w:tblGrid>
      <w:tr>
        <w:trPr>
          <w:cantSplit/>
          <w:trHeight w:hRule="atLeast"/>
          <w:tblHeader w:val="true"/>
        </w:trPr>
        <w:tc>
          <w:tcPr>
            <w:tcW w:type="dxa" w:w="1152"/>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ID</w:t>
            </w:r>
          </w:p>
        </w:tc>
        <w:tc>
          <w:tcPr>
            <w:tcW w:type="dxa" w:w="4320"/>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Конструкция</w:t>
            </w:r>
          </w:p>
        </w:tc>
        <w:tc>
          <w:tcPr>
            <w:tcW w:type="dxa" w:w="4608"/>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Отрицательный результат</w:t>
            </w:r>
          </w:p>
        </w:tc>
      </w:tr>
      <w:tr>
        <w:trPr>
          <w:cantSplit/>
          <w:trHeight w:hRule="atLeast"/>
        </w:trPr>
        <w:tc>
          <w:tcPr>
            <w:tcW w:type="dxa" w:w="1152"/>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CM-020</w:t>
            </w:r>
          </w:p>
        </w:tc>
        <w:tc>
          <w:tcPr>
            <w:tcW w:type="dxa" w:w="432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M₂=M₁+e^z</w:t>
            </w:r>
          </w:p>
        </w:tc>
        <w:tc>
          <w:tcPr>
            <w:tcW w:type="dxa" w:w="460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Одинаковые полюса/главные части не дают единственной глобальной функции.</w:t>
            </w:r>
          </w:p>
        </w:tc>
      </w:tr>
      <w:tr>
        <w:trPr>
          <w:cantSplit/>
          <w:trHeight w:hRule="atLeast"/>
        </w:trPr>
        <w:tc>
          <w:tcPr>
            <w:tcW w:type="dxa" w:w="1152"/>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CM-021</w:t>
            </w:r>
          </w:p>
        </w:tc>
        <w:tc>
          <w:tcPr>
            <w:tcW w:type="dxa" w:w="432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Локальные m_i согласованы попарно, но Čech class ≠0</w:t>
            </w:r>
          </w:p>
        </w:tc>
        <w:tc>
          <w:tcPr>
            <w:tcW w:type="dxa" w:w="460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Pairwise plausibility не гарантирует глобальную секцию.</w:t>
            </w:r>
          </w:p>
        </w:tc>
      </w:tr>
      <w:tr>
        <w:trPr>
          <w:cantSplit/>
          <w:trHeight w:hRule="atLeast"/>
        </w:trPr>
        <w:tc>
          <w:tcPr>
            <w:tcW w:type="dxa" w:w="1152"/>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CM-022</w:t>
            </w:r>
          </w:p>
        </w:tc>
        <w:tc>
          <w:tcPr>
            <w:tcW w:type="dxa" w:w="432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Одинаковый язык h, но PP(M₁)≠PP(M₂)</w:t>
            </w:r>
          </w:p>
        </w:tc>
        <w:tc>
          <w:tcPr>
            <w:tcW w:type="dxa" w:w="460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Сходство нарратива не устанавливает общность фактов.</w:t>
            </w:r>
          </w:p>
        </w:tc>
      </w:tr>
      <w:tr>
        <w:trPr>
          <w:cantSplit/>
          <w:trHeight w:hRule="atLeast"/>
        </w:trPr>
        <w:tc>
          <w:tcPr>
            <w:tcW w:type="dxa" w:w="1152"/>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CM-023</w:t>
            </w:r>
          </w:p>
        </w:tc>
        <w:tc>
          <w:tcPr>
            <w:tcW w:type="dxa" w:w="432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Перевод добавляет 1/(z-a), а не регулярный h</w:t>
            </w:r>
          </w:p>
        </w:tc>
        <w:tc>
          <w:tcPr>
            <w:tcW w:type="dxa" w:w="460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Такой перевод меняет локальный объект и не является нейтральной переформулировкой.</w:t>
            </w:r>
          </w:p>
        </w:tc>
      </w:tr>
      <w:tr>
        <w:trPr>
          <w:cantSplit/>
          <w:trHeight w:hRule="atLeast"/>
        </w:trPr>
        <w:tc>
          <w:tcPr>
            <w:tcW w:type="dxa" w:w="1152"/>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CM-024</w:t>
            </w:r>
          </w:p>
        </w:tc>
        <w:tc>
          <w:tcPr>
            <w:tcW w:type="dxa" w:w="432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d_PP=0, d_Dom≠0</w:t>
            </w:r>
          </w:p>
        </w:tc>
        <w:tc>
          <w:tcPr>
            <w:tcW w:type="dxa" w:w="460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Общие особенности вне общего домена не авторизуют единый вывод.</w:t>
            </w:r>
          </w:p>
        </w:tc>
      </w:tr>
      <w:tr>
        <w:trPr>
          <w:cantSplit/>
          <w:trHeight w:hRule="atLeast"/>
        </w:trPr>
        <w:tc>
          <w:tcPr>
            <w:tcW w:type="dxa" w:w="1152"/>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CM-025</w:t>
            </w:r>
          </w:p>
        </w:tc>
        <w:tc>
          <w:tcPr>
            <w:tcW w:type="dxa" w:w="432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Fold принудительно выбирает одну версию при conflict witness</w:t>
            </w:r>
          </w:p>
        </w:tc>
        <w:tc>
          <w:tcPr>
            <w:tcW w:type="dxa" w:w="460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Скаляризация скрывает доказательный конфликт.</w:t>
            </w:r>
          </w:p>
        </w:tc>
      </w:tr>
    </w:tbl>
    <w:p>
      <w:pPr>
        <w:pStyle w:val="Heading1"/>
        <w:keepNext/>
        <w:keepLines/>
        <w:widowControl/>
      </w:pPr>
      <w:r>
        <w:t>Глава 12. Исторические формы восприятия, атласы и препятствия</w:t>
      </w:r>
    </w:p>
    <w:tbl>
      <w:tblPr>
        <w:tblStyle w:val="TableGrid"/>
        <w:tblW w:type="auto" w:w="0"/>
        <w:jc w:val="center"/>
        <w:tblLook w:firstColumn="1" w:firstRow="1" w:lastColumn="0" w:lastRow="0" w:noHBand="0" w:noVBand="1" w:val="04A0"/>
      </w:tblPr>
      <w:tblGrid>
        <w:gridCol w:w="9865"/>
      </w:tblGrid>
      <w:tr>
        <w:trPr>
          <w:cantSplit/>
          <w:trHeight w:hRule="atLeast"/>
          <w:tblHeader w:val="true"/>
        </w:trPr>
        <w:tc>
          <w:tcPr>
            <w:tcW w:type="dxa" w:w="9865"/>
            <w:vAlign w:val="center"/>
            <w:tcMar>
              <w:top w:w="90" w:type="dxa"/>
              <w:start w:w="100" w:type="dxa"/>
              <w:bottom w:w="90" w:type="dxa"/>
              <w:end w:w="100" w:type="dxa"/>
            </w:tcMar>
            <w:shd w:fill="EAF0F7"/>
            <w:tcBorders>
              <w:top w:val="single" w:sz="8" w:color="214D7A"/>
              <w:left w:val="single" w:sz="8" w:color="214D7A"/>
              <w:bottom w:val="single" w:sz="8" w:color="214D7A"/>
              <w:right w:val="single" w:sz="8" w:color="214D7A"/>
            </w:tcBorders>
          </w:tcPr>
          <w:p>
            <w:pPr>
              <w:widowControl/>
              <w:spacing w:before="0" w:after="0" w:line="254" w:lineRule="auto"/>
              <w:jc w:val="left"/>
            </w:pPr>
            <w:r/>
            <w:r>
              <w:rPr>
                <w:rFonts w:ascii="DejaVu Serif" w:hAnsi="DejaVu Serif" w:eastAsia="DejaVu Serif"/>
                <w:b w:val="0"/>
                <w:sz w:val="19"/>
              </w:rPr>
              <w:t>ОНТОЛОГИЯ. Историческая эпоха задаёт не «иной человеческий вид», а иной доступный cover, язык, приборы, категории и D. ГНОСЕОЛОГИЯ. Сравнение эпох требует refinement/translation maps и сохранения raw source invariants. ОГРАНИЧЕНИЕ. Нельзя объявлять старое мышление ошибочным только потому, что его регулярный фон не совпадает с современным.</w:t>
            </w:r>
          </w:p>
        </w:tc>
      </w:tr>
    </w:tbl>
    <w:p>
      <w:pPr>
        <w:pStyle w:val="Heading2"/>
        <w:keepNext/>
        <w:keepLines/>
        <w:widowControl/>
      </w:pPr>
      <w:r>
        <w:t>12.1. Исторический атлас</w:t>
      </w:r>
    </w:p>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A_τ=(X_τ,{U_i^τ,φ_i^τ},Lang_τ,Instr_τ,D_τ,Dom_τ,prov_τ)</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T4-F085</w:t>
              <w:br/>
              <w:t>AUTHORIAL DEF</w:t>
            </w:r>
          </w:p>
        </w:tc>
      </w:tr>
    </w:tbl>
    <w:p>
      <w:pPr>
        <w:keepLines w:val="0"/>
        <w:widowControl/>
      </w:pPr>
      <w:r>
        <w:t>Исторический атлас хранит доступные наблюдателю области, координаты, язык, приборы и основания. Его изменение может уточнить локальные данные, расширить cover или заменить регулярную gauge-нормировку. Raw documents и acquisition metadata не переписываются.</w:t>
      </w:r>
    </w:p>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r_{τ→τ′}: A_τ ⇀ A_{τ′},     r^*(PP_{τ′}) compatible with PP_τ</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T4-F086</w:t>
              <w:br/>
              <w:t>REFINEMENT/TRANSLATION</w:t>
            </w:r>
          </w:p>
        </w:tc>
      </w:tr>
    </w:tbl>
    <w:tbl>
      <w:tblPr>
        <w:tblStyle w:val="TableGrid"/>
        <w:tblW w:type="auto" w:w="0"/>
        <w:jc w:val="center"/>
        <w:tblLook w:firstColumn="1" w:firstRow="1" w:lastColumn="0" w:lastRow="0" w:noHBand="0" w:noVBand="1" w:val="04A0"/>
      </w:tblPr>
      <w:tblGrid>
        <w:gridCol w:w="9865"/>
      </w:tblGrid>
      <w:tr>
        <w:trPr>
          <w:cantSplit/>
          <w:trHeight w:hRule="atLeast"/>
          <w:tblHeader w:val="true"/>
        </w:trPr>
        <w:tc>
          <w:tcPr>
            <w:tcW w:type="dxa" w:w="9865"/>
            <w:vAlign w:val="center"/>
            <w:tcMar>
              <w:top w:w="90" w:type="dxa"/>
              <w:start w:w="100" w:type="dxa"/>
              <w:bottom w:w="90" w:type="dxa"/>
              <w:end w:w="100" w:type="dxa"/>
            </w:tcMar>
            <w:shd w:fill="E8F4EA"/>
            <w:tcBorders>
              <w:top w:val="single" w:sz="8" w:color="3C7A47"/>
              <w:left w:val="single" w:sz="8" w:color="3C7A47"/>
              <w:bottom w:val="single" w:sz="8" w:color="3C7A47"/>
              <w:right w:val="single" w:sz="8" w:color="3C7A47"/>
            </w:tcBorders>
          </w:tcPr>
          <w:p>
            <w:pPr>
              <w:widowControl/>
              <w:spacing w:before="0" w:after="0" w:line="254" w:lineRule="auto"/>
              <w:jc w:val="left"/>
            </w:pPr>
            <w:r/>
            <w:r>
              <w:rPr>
                <w:rFonts w:ascii="DejaVu Serif" w:hAnsi="DejaVu Serif" w:eastAsia="DejaVu Serif"/>
                <w:b w:val="0"/>
                <w:sz w:val="19"/>
              </w:rPr>
              <w:t>ПРОПОЗИЦИЯ T4.12.1 [CLASSICAL/THM-FORMAL]. При совместимом refinement cover и стандартном переходе Čech-когомологий класс obstruction представляет тот же глобализационный дефект. Следовательно, простое раздробление наблюдательных областей не устраняет реальное препятствие; требуется изменить данные, основание или глобальную структуру.</w:t>
            </w:r>
          </w:p>
        </w:tc>
      </w:tr>
    </w:tbl>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Ob_ML(r^*p)=r^*(Ob_ML(p))</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T4-F087</w:t>
              <w:br/>
              <w:t>CLASSICAL NATURALITY / COND</w:t>
            </w:r>
          </w:p>
        </w:tc>
      </w:tr>
    </w:tbl>
    <w:p>
      <w:pPr>
        <w:pStyle w:val="Heading2"/>
        <w:keepNext/>
        <w:keepLines/>
        <w:widowControl/>
      </w:pPr>
      <w:r>
        <w:t>12.2. foreign-D как ошибочная историческая тривиализация</w:t>
      </w:r>
    </w:p>
    <w:p>
      <w:pPr>
        <w:keepLines w:val="0"/>
        <w:widowControl/>
      </w:pPr>
      <w:r>
        <w:t>При переносе современной категории в прежний атлас без translation map возникает foreign-D. Ошибка может быть двух типов: (i) локальные данные эпохи действительно опровергнуты новым источником; (ii) сами данные сохранены, но современный регулярный фон был ошибочно объявлен единственно возможным. T4-PERCEPTION требует различать эти случаи.</w:t>
      </w:r>
    </w:p>
    <w:tbl>
      <w:tblPr>
        <w:tblStyle w:val="TableGrid"/>
        <w:tblW w:type="auto" w:w="0"/>
        <w:jc w:val="center"/>
        <w:tblLayout w:type="fixed"/>
        <w:tblLook w:firstColumn="1" w:firstRow="1" w:lastColumn="0" w:lastRow="0" w:noHBand="0" w:noVBand="1" w:val="04A0"/>
      </w:tblPr>
      <w:tblGrid>
        <w:gridCol w:w="2466"/>
        <w:gridCol w:w="2466"/>
        <w:gridCol w:w="2466"/>
        <w:gridCol w:w="2466"/>
      </w:tblGrid>
      <w:tr>
        <w:trPr>
          <w:cantSplit/>
          <w:trHeight w:hRule="atLeast"/>
          <w:tblHeader w:val="true"/>
        </w:trPr>
        <w:tc>
          <w:tcPr>
            <w:tcW w:type="dxa" w:w="2592"/>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Ситуация</w:t>
            </w:r>
          </w:p>
        </w:tc>
        <w:tc>
          <w:tcPr>
            <w:tcW w:type="dxa" w:w="2304"/>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Principal-part layer</w:t>
            </w:r>
          </w:p>
        </w:tc>
        <w:tc>
          <w:tcPr>
            <w:tcW w:type="dxa" w:w="3024"/>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Regular/D layer</w:t>
            </w:r>
          </w:p>
        </w:tc>
        <w:tc>
          <w:tcPr>
            <w:tcW w:type="dxa" w:w="1872"/>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Вердикт</w:t>
            </w:r>
          </w:p>
        </w:tc>
      </w:tr>
      <w:tr>
        <w:trPr>
          <w:cantSplit/>
          <w:trHeight w:hRule="atLeast"/>
        </w:trPr>
        <w:tc>
          <w:tcPr>
            <w:tcW w:type="dxa" w:w="2592"/>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Новый прибор обнаружил прежний пропущенный факт</w:t>
            </w:r>
          </w:p>
        </w:tc>
        <w:tc>
          <w:tcPr>
            <w:tcW w:type="dxa" w:w="230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изменился</w:t>
            </w:r>
          </w:p>
        </w:tc>
        <w:tc>
          <w:tcPr>
            <w:tcW w:type="dxa" w:w="302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может измениться</w:t>
            </w:r>
          </w:p>
        </w:tc>
        <w:tc>
          <w:tcPr>
            <w:tcW w:type="dxa" w:w="187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NEW LOCAL DATA</w:t>
            </w:r>
          </w:p>
        </w:tc>
      </w:tr>
      <w:tr>
        <w:trPr>
          <w:cantSplit/>
          <w:trHeight w:hRule="atLeast"/>
        </w:trPr>
        <w:tc>
          <w:tcPr>
            <w:tcW w:type="dxa" w:w="2592"/>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Новая теория переописала те же аномалии</w:t>
            </w:r>
          </w:p>
        </w:tc>
        <w:tc>
          <w:tcPr>
            <w:tcW w:type="dxa" w:w="230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совпадает</w:t>
            </w:r>
          </w:p>
        </w:tc>
        <w:tc>
          <w:tcPr>
            <w:tcW w:type="dxa" w:w="302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изменился</w:t>
            </w:r>
          </w:p>
        </w:tc>
        <w:tc>
          <w:tcPr>
            <w:tcW w:type="dxa" w:w="187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GAUGE/INTERPRETATION CHANGE</w:t>
            </w:r>
          </w:p>
        </w:tc>
      </w:tr>
      <w:tr>
        <w:trPr>
          <w:cantSplit/>
          <w:trHeight w:hRule="atLeast"/>
        </w:trPr>
        <w:tc>
          <w:tcPr>
            <w:tcW w:type="dxa" w:w="2592"/>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Современный термин перенесён без моста</w:t>
            </w:r>
          </w:p>
        </w:tc>
        <w:tc>
          <w:tcPr>
            <w:tcW w:type="dxa" w:w="230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не установлено</w:t>
            </w:r>
          </w:p>
        </w:tc>
        <w:tc>
          <w:tcPr>
            <w:tcW w:type="dxa" w:w="302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foreign-D</w:t>
            </w:r>
          </w:p>
        </w:tc>
        <w:tc>
          <w:tcPr>
            <w:tcW w:type="dxa" w:w="187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ABSTAIN-HIST</w:t>
            </w:r>
          </w:p>
        </w:tc>
      </w:tr>
      <w:tr>
        <w:trPr>
          <w:cantSplit/>
          <w:trHeight w:hRule="atLeast"/>
        </w:trPr>
        <w:tc>
          <w:tcPr>
            <w:tcW w:type="dxa" w:w="2592"/>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Старый документ подменён пересказом</w:t>
            </w:r>
          </w:p>
        </w:tc>
        <w:tc>
          <w:tcPr>
            <w:tcW w:type="dxa" w:w="230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не проверяемо</w:t>
            </w:r>
          </w:p>
        </w:tc>
        <w:tc>
          <w:tcPr>
            <w:tcW w:type="dxa" w:w="302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provenance broken</w:t>
            </w:r>
          </w:p>
        </w:tc>
        <w:tc>
          <w:tcPr>
            <w:tcW w:type="dxa" w:w="187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ABSTAIN-PROV</w:t>
            </w:r>
          </w:p>
        </w:tc>
      </w:tr>
    </w:tbl>
    <w:p>
      <w:pPr>
        <w:pStyle w:val="Heading2"/>
        <w:keepNext/>
        <w:keepLines/>
        <w:widowControl/>
      </w:pPr>
      <w:r>
        <w:t>12.3. Главная отрицательная теорема локальных совпадений</w:t>
      </w:r>
    </w:p>
    <w:tbl>
      <w:tblPr>
        <w:tblStyle w:val="TableGrid"/>
        <w:tblW w:type="auto" w:w="0"/>
        <w:jc w:val="center"/>
        <w:tblLook w:firstColumn="1" w:firstRow="1" w:lastColumn="0" w:lastRow="0" w:noHBand="0" w:noVBand="1" w:val="04A0"/>
      </w:tblPr>
      <w:tblGrid>
        <w:gridCol w:w="9865"/>
      </w:tblGrid>
      <w:tr>
        <w:trPr>
          <w:cantSplit/>
          <w:trHeight w:hRule="atLeast"/>
          <w:tblHeader w:val="true"/>
        </w:trPr>
        <w:tc>
          <w:tcPr>
            <w:tcW w:type="dxa" w:w="9865"/>
            <w:vAlign w:val="center"/>
            <w:tcMar>
              <w:top w:w="90" w:type="dxa"/>
              <w:start w:w="100" w:type="dxa"/>
              <w:bottom w:w="90" w:type="dxa"/>
              <w:end w:w="100" w:type="dxa"/>
            </w:tcMar>
            <w:shd w:fill="E8F4EA"/>
            <w:tcBorders>
              <w:top w:val="single" w:sz="8" w:color="3C7A47"/>
              <w:left w:val="single" w:sz="8" w:color="3C7A47"/>
              <w:bottom w:val="single" w:sz="8" w:color="3C7A47"/>
              <w:right w:val="single" w:sz="8" w:color="3C7A47"/>
            </w:tcBorders>
          </w:tcPr>
          <w:p>
            <w:pPr>
              <w:widowControl/>
              <w:spacing w:before="0" w:after="0" w:line="254" w:lineRule="auto"/>
              <w:jc w:val="left"/>
            </w:pPr>
            <w:r/>
            <w:r>
              <w:rPr>
                <w:rFonts w:ascii="DejaVu Serif" w:hAnsi="DejaVu Serif" w:eastAsia="DejaVu Serif"/>
                <w:b w:val="0"/>
                <w:sz w:val="19"/>
              </w:rPr>
              <w:t>ТЕОРЕМА T4.12.2 — No-globality-from-local-fit [THM-FORMAL]. Конечное или локально согласованное семейство наблюдений не определяет единственную глобальную реконструкцию без: (i) vanishing obstruction; (ii) fixed regular gauge/normalization; (iii) D/Dom/provenance; (iv) declared uncertainty/status. Доказательство: при Ob≠0 глобальный объект не существует; при Ob=0 множество решений является торсором над H⁰(X,H), поэтому без нормировки не единственно. □</w:t>
            </w:r>
          </w:p>
        </w:tc>
      </w:tr>
    </w:tbl>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Predict_global(p) allowed only if Ob_ML(p)=0 ∧ Gauge fixed ∧ Gate_ML(p)=1</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T4-F088</w:t>
              <w:br/>
              <w:t>THM-FORMAL GATE</w:t>
            </w:r>
          </w:p>
        </w:tc>
      </w:tr>
    </w:tbl>
    <w:p>
      <w:pPr>
        <w:pStyle w:val="Heading2"/>
        <w:keepNext/>
        <w:keepLines/>
        <w:widowControl/>
      </w:pPr>
      <w:r>
        <w:t>12.4. Матрица углубления всего проекта</w:t>
      </w:r>
    </w:p>
    <w:tbl>
      <w:tblPr>
        <w:tblStyle w:val="TableGrid"/>
        <w:tblW w:type="auto" w:w="0"/>
        <w:jc w:val="center"/>
        <w:tblLayout w:type="fixed"/>
        <w:tblLook w:firstColumn="1" w:firstRow="1" w:lastColumn="0" w:lastRow="0" w:noHBand="0" w:noVBand="1" w:val="04A0"/>
      </w:tblPr>
      <w:tblGrid>
        <w:gridCol w:w="2466"/>
        <w:gridCol w:w="2466"/>
        <w:gridCol w:w="2466"/>
        <w:gridCol w:w="2466"/>
      </w:tblGrid>
      <w:tr>
        <w:trPr>
          <w:cantSplit/>
          <w:trHeight w:hRule="atLeast"/>
          <w:tblHeader w:val="true"/>
        </w:trPr>
        <w:tc>
          <w:tcPr>
            <w:tcW w:type="dxa" w:w="1440"/>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Ветка</w:t>
            </w:r>
          </w:p>
        </w:tc>
        <w:tc>
          <w:tcPr>
            <w:tcW w:type="dxa" w:w="2880"/>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ML/KLT-объект</w:t>
            </w:r>
          </w:p>
        </w:tc>
        <w:tc>
          <w:tcPr>
            <w:tcW w:type="dxa" w:w="3744"/>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Что становится строгим</w:t>
            </w:r>
          </w:p>
        </w:tc>
        <w:tc>
          <w:tcPr>
            <w:tcW w:type="dxa" w:w="2592"/>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Что запрещено</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Математика</w:t>
            </w:r>
          </w:p>
        </w:tc>
        <w:tc>
          <w:tcPr>
            <w:tcW w:type="dxa" w:w="28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formula principal parts; proof gaps; H¹ obstruction</w:t>
            </w:r>
          </w:p>
        </w:tc>
        <w:tc>
          <w:tcPr>
            <w:tcW w:type="dxa" w:w="374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локально-глобальные proof obligations и regular ambiguity</w:t>
            </w:r>
          </w:p>
        </w:tc>
        <w:tc>
          <w:tcPr>
            <w:tcW w:type="dxa" w:w="259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называть локальные совпадения глобальной теоремой</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Физика</w:t>
            </w:r>
          </w:p>
        </w:tc>
        <w:tc>
          <w:tcPr>
            <w:tcW w:type="dxa" w:w="28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полюса resolvent/Green function; modes; counterterms</w:t>
            </w:r>
          </w:p>
        </w:tc>
        <w:tc>
          <w:tcPr>
            <w:tcW w:type="dxa" w:w="374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разделение spectrum data, background и boundary conditions</w:t>
            </w:r>
          </w:p>
        </w:tc>
        <w:tc>
          <w:tcPr>
            <w:tcW w:type="dxa" w:w="259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считать каждый полюс наблюдаемой частицей без adapter</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Химия</w:t>
            </w:r>
          </w:p>
        </w:tc>
        <w:tc>
          <w:tcPr>
            <w:tcW w:type="dxa" w:w="28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спектральные линии/резонансы как локальные signatures</w:t>
            </w:r>
          </w:p>
        </w:tc>
        <w:tc>
          <w:tcPr>
            <w:tcW w:type="dxa" w:w="374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source-bound decomposition и baseline correction</w:t>
            </w:r>
          </w:p>
        </w:tc>
        <w:tc>
          <w:tcPr>
            <w:tcW w:type="dxa" w:w="259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переносить meromorphic model на любые реакции</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Биология</w:t>
            </w:r>
          </w:p>
        </w:tc>
        <w:tc>
          <w:tcPr>
            <w:tcW w:type="dxa" w:w="28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локальные варианты/домены и глобальная network reconstruction</w:t>
            </w:r>
          </w:p>
        </w:tc>
        <w:tc>
          <w:tcPr>
            <w:tcW w:type="dxa" w:w="374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явное obstruction/compatibility layer</w:t>
            </w:r>
          </w:p>
        </w:tc>
        <w:tc>
          <w:tcPr>
            <w:tcW w:type="dxa" w:w="259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сводить организм к сумме isolated markers</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Экономика</w:t>
            </w:r>
          </w:p>
        </w:tc>
        <w:tc>
          <w:tcPr>
            <w:tcW w:type="dxa" w:w="28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локальные shocks, structural breaks, regular trend</w:t>
            </w:r>
          </w:p>
        </w:tc>
        <w:tc>
          <w:tcPr>
            <w:tcW w:type="dxa" w:w="374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модель regime/gluing и gauge normalization</w:t>
            </w:r>
          </w:p>
        </w:tc>
        <w:tc>
          <w:tcPr>
            <w:tcW w:type="dxa" w:w="259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выдавать singularity fit за причинный прогноз</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KLT-RBD</w:t>
            </w:r>
          </w:p>
        </w:tc>
        <w:tc>
          <w:tcPr>
            <w:tcW w:type="dxa" w:w="28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principal_part, counterterm, gauge, obstruction, atlas_status</w:t>
            </w:r>
          </w:p>
        </w:tc>
        <w:tc>
          <w:tcPr>
            <w:tcW w:type="dxa" w:w="374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новая схема хранения и ABSTAIN routes</w:t>
            </w:r>
          </w:p>
        </w:tc>
        <w:tc>
          <w:tcPr>
            <w:tcW w:type="dxa" w:w="259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терять regular ambiguity и provenance</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Предсказание</w:t>
            </w:r>
          </w:p>
        </w:tc>
        <w:tc>
          <w:tcPr>
            <w:tcW w:type="dxa" w:w="28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set-valued global sections</w:t>
            </w:r>
          </w:p>
        </w:tc>
        <w:tc>
          <w:tcPr>
            <w:tcW w:type="dxa" w:w="374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коридор кандидатов modulo regular layer</w:t>
            </w:r>
          </w:p>
        </w:tc>
        <w:tc>
          <w:tcPr>
            <w:tcW w:type="dxa" w:w="259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единственный абсолютный forecast без нормировки</w:t>
            </w:r>
          </w:p>
        </w:tc>
      </w:tr>
    </w:tbl>
    <w:p>
      <w:pPr>
        <w:keepLines w:val="0"/>
        <w:widowControl/>
      </w:pPr>
      <w:r>
        <w:t>Эта матрица задаёт программу, а не готовые внешние результаты. Для каждой ветви требуется собственный carrier, function/sheaf class, data adapter, null model, calibration и независимый test. До их появления статус остаётся METHOD/COND/EMP-PLAN.</w:t>
      </w:r>
    </w:p>
    <w:p>
      <w:pPr>
        <w:pStyle w:val="Heading2"/>
        <w:keepNext/>
        <w:keepLines/>
        <w:widowControl/>
      </w:pPr>
      <w:r>
        <w:t>12.5. Точка отката T4-RA4</w:t>
      </w:r>
    </w:p>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T4-RA4=T4-RA3 ⊞ (H→M→P) ⊞ Ob_ML ⊞ Counterterm/PIT ⊞ Atlas/Gauge ⊞ RPLD-gates</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T4-F089</w:t>
              <w:br/>
              <w:t>ROLLBACK DEF</w:t>
            </w:r>
          </w:p>
        </w:tc>
      </w:tr>
    </w:tbl>
    <w:tbl>
      <w:tblPr>
        <w:tblStyle w:val="TableGrid"/>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8064"/>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20"/>
              </w:rPr>
              <w:t>truth_layer_promotion=0; local fit ≠ global truth; analogy ≠ domain theorem</w:t>
            </w:r>
          </w:p>
        </w:tc>
        <w:tc>
          <w:tcPr>
            <w:tcW w:type="dxa" w:w="1728"/>
            <w:vAlign w:val="center"/>
            <w:tcMar>
              <w:top w:w="90" w:type="dxa"/>
              <w:start w:w="100" w:type="dxa"/>
              <w:bottom w:w="90" w:type="dxa"/>
              <w:end w:w="100" w:type="dxa"/>
            </w:tcMar>
            <w:shd w:fill="EDF3F8"/>
          </w:tcPr>
          <w:p>
            <w:pPr>
              <w:widowControl/>
              <w:spacing w:before="0" w:after="0" w:line="254" w:lineRule="auto"/>
              <w:jc w:val="center"/>
            </w:pPr>
            <w:r/>
            <w:r>
              <w:rPr>
                <w:rFonts w:ascii="DejaVu Serif" w:hAnsi="DejaVu Serif" w:eastAsia="DejaVu Serif"/>
                <w:b/>
                <w:color w:val="173A61"/>
                <w:sz w:val="17"/>
              </w:rPr>
              <w:t>T4-F090</w:t>
              <w:br/>
              <w:t>STATUS LOCK</w:t>
            </w:r>
          </w:p>
        </w:tc>
      </w:tr>
    </w:tbl>
    <w:tbl>
      <w:tblPr>
        <w:tblStyle w:val="TableGrid"/>
        <w:tblW w:type="auto" w:w="0"/>
        <w:jc w:val="center"/>
        <w:tblLook w:firstColumn="1" w:firstRow="1" w:lastColumn="0" w:lastRow="0" w:noHBand="0" w:noVBand="1" w:val="04A0"/>
      </w:tblPr>
      <w:tblGrid>
        <w:gridCol w:w="9865"/>
      </w:tblGrid>
      <w:tr>
        <w:trPr>
          <w:cantSplit/>
          <w:trHeight w:hRule="atLeast"/>
          <w:tblHeader w:val="true"/>
        </w:trPr>
        <w:tc>
          <w:tcPr>
            <w:tcW w:type="dxa" w:w="9865"/>
            <w:vAlign w:val="center"/>
            <w:tcMar>
              <w:top w:w="90" w:type="dxa"/>
              <w:start w:w="100" w:type="dxa"/>
              <w:bottom w:w="90" w:type="dxa"/>
              <w:end w:w="100" w:type="dxa"/>
            </w:tcMar>
            <w:shd w:fill="FBEDED"/>
            <w:tcBorders>
              <w:top w:val="single" w:sz="8" w:color="9A3030"/>
              <w:left w:val="single" w:sz="8" w:color="9A3030"/>
              <w:bottom w:val="single" w:sz="8" w:color="9A3030"/>
              <w:right w:val="single" w:sz="8" w:color="9A3030"/>
            </w:tcBorders>
          </w:tcPr>
          <w:p>
            <w:pPr>
              <w:widowControl/>
              <w:spacing w:before="0" w:after="0" w:line="254" w:lineRule="auto"/>
              <w:jc w:val="left"/>
            </w:pPr>
            <w:r/>
            <w:r>
              <w:rPr>
                <w:rFonts w:ascii="DejaVu Serif" w:hAnsi="DejaVu Serif" w:eastAsia="DejaVu Serif"/>
                <w:b w:val="0"/>
                <w:sz w:val="19"/>
              </w:rPr>
              <w:t>ROLLBACK RULE T4-RA4. Откат обязателен, если последующая редакция: (1) удаляет регулярную неоднозначность; (2) выводит глобальный объект из локальных данных без Ob-check; (3) именует граф «многообразием» без atlas-gate; (4) считает PIT уничтожением остатка; (5) отождествляет RPLD-model с доказанной нейрофизиологией; (6) переносит полюса/контрчлены в физику, химию, биологию или экономику без предметного адаптера.</w:t>
            </w:r>
          </w:p>
        </w:tc>
      </w:tr>
    </w:tbl>
    <w:p>
      <w:pPr>
        <w:pStyle w:val="Heading1"/>
        <w:keepNext/>
        <w:pageBreakBefore/>
        <w:widowControl/>
      </w:pPr>
      <w:r>
        <w:t>ЧАСТЬ IV. ДИАЛОГ КУЛЬТУР, ПРИЧИННОСТЬ И ГЕРМЕНЕВТИЧЕСКИЕ ПЕРЕХОДЫ</w:t>
      </w:r>
    </w:p>
    <w:p>
      <w:pPr>
        <w:pStyle w:val="Heading1"/>
        <w:keepNext/>
        <w:pageBreakBefore/>
        <w:widowControl/>
      </w:pPr>
      <w:r>
        <w:t>Глава 13. Библеровский контур понимания, Леви-Брюль и атлас R-режимов</w:t>
      </w:r>
    </w:p>
    <w:tbl>
      <w:tblPr>
        <w:tblStyle w:val="TableGrid"/>
        <w:tblW w:type="auto" w:w="0"/>
        <w:jc w:val="center"/>
        <w:tblLook w:firstColumn="1" w:firstRow="1" w:lastColumn="0" w:lastRow="0" w:noHBand="0" w:noVBand="1" w:val="04A0"/>
      </w:tblPr>
      <w:tblGrid>
        <w:gridCol w:w="9865"/>
      </w:tblGrid>
      <w:tr>
        <w:tc>
          <w:tcPr>
            <w:tcW w:type="dxa" w:w="9865"/>
            <w:shd w:fill="EAF0F7"/>
            <w:tcMar>
              <w:top w:w="90" w:type="dxa"/>
              <w:start w:w="100" w:type="dxa"/>
              <w:bottom w:w="90" w:type="dxa"/>
              <w:end w:w="100" w:type="dxa"/>
            </w:tcMar>
            <w:vAlign w:val="center"/>
          </w:tcPr>
          <w:p>
            <w:pPr>
              <w:widowControl/>
              <w:spacing w:after="0"/>
            </w:pPr>
            <w:r>
              <w:rPr>
                <w:rFonts w:ascii="DejaVu Sans" w:hAnsi="DejaVu Sans"/>
                <w:b/>
                <w:color w:val="17345F"/>
                <w:sz w:val="19"/>
              </w:rPr>
              <w:t>РАМКА ГЛАВЫ 13.</w:t>
            </w:r>
            <w:r>
              <w:rPr>
                <w:b/>
                <w:color w:val="9B2D30"/>
                <w:sz w:val="18"/>
              </w:rPr>
              <w:t xml:space="preserve">  [MODEL/DEF]</w:t>
            </w:r>
          </w:p>
          <w:p>
            <w:pPr>
              <w:widowControl/>
              <w:spacing w:after="0" w:line="259" w:lineRule="auto"/>
            </w:pPr>
            <w:r>
              <w:rPr>
                <w:rFonts w:ascii="DejaVu Serif" w:hAnsi="DejaVu Serif"/>
                <w:sz w:val="18"/>
              </w:rPr>
              <w:t>ОНТОЛОГИЯ. Режим мышления существует как типизированная организация связей, замыканий и оснований, а не как биологический сорт людей. ГНОСЕОЛОГИЯ. Режим распознаётся по операциям, ошибкам и способу закрытия причинных разрывов. ОГРАНИЧЕНИЕ. Нотация R не задаёт шкалу человеческого достоинства и не разрешает ранжировать народы. АВТОРСКАЯ НОВИЗНА. KLT связывает историко-антропологические режимы с геометрией, Reper, D/Dom и partial operators.</w:t>
            </w:r>
          </w:p>
        </w:tc>
        <w:trPr>
          <w:trHeight w:hRule="atLeast"/>
          <w:tblHeader/>
        </w:trPr>
      </w:tr>
    </w:tbl>
    <w:p>
      <w:pPr>
        <w:widowControl/>
      </w:pPr>
      <w:r>
        <w:t>Исходная цитата Леви-Брюля подчёркивает преимущество отвлечённого понятия: одна общая формулировка способна сразу охватить семейство вопросов. Для пра-логической установки, по его ранней концепции, связи даны не через абстрактный оператор, а через конкретные коллективные сопричастности, память и непосредственное присутствие невидимого. Эта характеристика исторически влиятельна, однако не может быть принята без оговорок: поздние Carnets Леви-Брюля отвергают тезис о различной логической структуре человеческого ума, а современные исследования предлагают говорить об ориентациях, схемах и установках, а не о противопоставлении «логики» и «нелогики».</w:t>
      </w:r>
    </w:p>
    <w:tbl>
      <w:tblPr>
        <w:tblStyle w:val="TableGrid"/>
        <w:tblW w:type="auto" w:w="0"/>
        <w:jc w:val="center"/>
        <w:tblLook w:firstColumn="1" w:firstRow="1" w:lastColumn="0" w:lastRow="0" w:noHBand="0" w:noVBand="1" w:val="04A0"/>
      </w:tblPr>
      <w:tblGrid>
        <w:gridCol w:w="9865"/>
      </w:tblGrid>
      <w:tr>
        <w:tc>
          <w:tcPr>
            <w:tcW w:type="dxa" w:w="9865"/>
            <w:shd w:fill="FBEDEE"/>
            <w:tcMar>
              <w:top w:w="90" w:type="dxa"/>
              <w:start w:w="100" w:type="dxa"/>
              <w:bottom w:w="90" w:type="dxa"/>
              <w:end w:w="100" w:type="dxa"/>
            </w:tcMar>
            <w:vAlign w:val="center"/>
          </w:tcPr>
          <w:p>
            <w:pPr>
              <w:widowControl/>
              <w:spacing w:after="0"/>
            </w:pPr>
            <w:r>
              <w:rPr>
                <w:rFonts w:ascii="DejaVu Sans" w:hAnsi="DejaVu Sans"/>
                <w:b/>
                <w:color w:val="9B2D30"/>
                <w:sz w:val="19"/>
              </w:rPr>
              <w:t>ИСТОЧНИКОВАЯ ГРАНИЦА.</w:t>
            </w:r>
            <w:r>
              <w:rPr>
                <w:b/>
                <w:color w:val="9B2D30"/>
                <w:sz w:val="18"/>
              </w:rPr>
              <w:t xml:space="preserve">  [ETHICAL/SCIENTIFIC FIREWALL]</w:t>
            </w:r>
          </w:p>
          <w:p>
            <w:pPr>
              <w:widowControl/>
              <w:spacing w:after="0" w:line="259" w:lineRule="auto"/>
            </w:pPr>
            <w:r>
              <w:rPr>
                <w:rFonts w:ascii="DejaVu Serif" w:hAnsi="DejaVu Serif"/>
                <w:sz w:val="18"/>
              </w:rPr>
              <w:t>Термин «пра-логическое» используется только как название исторической концепции Леви-Брюля и авторского режима R−1. Он не означает отсутствие разума, неспособность к технике или меньшую человеческую ценность. В одном современном человеке могут одновременно действовать ритуальные, образные, критические, экспериментальные и пакетные схемы.</w:t>
            </w:r>
          </w:p>
        </w:tc>
        <w:trPr>
          <w:trHeight w:hRule="atLeast"/>
          <w:tblHeader/>
        </w:trPr>
      </w:tr>
    </w:tbl>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𝔅_R = {R−01,R−1,R−02,R−2,R−03,R−3,R−04,R−4}</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T4-F091</w:t>
              <w:br/>
              <w:t>AUTHORIAL DEF</w:t>
            </w:r>
          </w:p>
        </w:tc>
        <w:trPr>
          <w:trHeight w:hRule="atLeast"/>
          <w:tblHeader/>
        </w:trPr>
      </w:tr>
    </w:tbl>
    <w:p>
      <w:pPr>
        <w:widowControl/>
      </w:pPr>
      <w:r>
        <w:t>Индекс с нулём обозначает чистую форму организации опыта, а индекс без нуля — практическую историческую реализацию. Система заимствует ранний проектный реестр, но снимает скрытую линейность: переходы задаются частичными мостами, а не единственной стрелой прогресса.</w:t>
      </w:r>
    </w:p>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R_ν = (A_ν, Cl_ν, Rel_ν, D_ν, Dom_ν, Prov_ν, σ_ν)</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T4-F092</w:t>
              <w:br/>
              <w:t>MODEL DEF</w:t>
            </w:r>
          </w:p>
        </w:tc>
        <w:trPr>
          <w:trHeight w:hRule="atLeast"/>
          <w:tblHeader/>
        </w:trPr>
      </w:tr>
    </w:tbl>
    <w:tbl>
      <w:tblPr>
        <w:tblStyle w:val="TableGrid"/>
        <w:tblW w:type="auto" w:w="0"/>
        <w:jc w:val="center"/>
        <w:tblLayout w:type="fixed"/>
        <w:tblLook w:firstColumn="1" w:firstRow="1" w:lastColumn="0" w:lastRow="0" w:noHBand="0" w:noVBand="1" w:val="04A0"/>
      </w:tblPr>
      <w:tblGrid>
        <w:gridCol w:w="2466"/>
        <w:gridCol w:w="2466"/>
        <w:gridCol w:w="2466"/>
        <w:gridCol w:w="2466"/>
      </w:tblGrid>
      <w:tr>
        <w:trPr>
          <w:trHeight w:hRule="atLeast"/>
          <w:tblHeader w:val="true"/>
        </w:trPr>
        <w:tc>
          <w:tcPr>
            <w:tcW w:type="dxa" w:w="1701"/>
            <w:vAlign w:val="center"/>
            <w:tcMar>
              <w:top w:w="90" w:type="dxa"/>
              <w:start w:w="100" w:type="dxa"/>
              <w:bottom w:w="90" w:type="dxa"/>
              <w:end w:w="100" w:type="dxa"/>
            </w:tcMar>
            <w:shd w:fill="17345F"/>
          </w:tcPr>
          <w:p>
            <w:pPr>
              <w:widowControl/>
              <w:spacing w:after="0" w:before="0" w:line="259" w:lineRule="auto"/>
              <w:jc w:val="center"/>
            </w:pPr>
            <w:r/>
            <w:r>
              <w:rPr>
                <w:rFonts w:ascii="DejaVu Serif" w:hAnsi="DejaVu Serif" w:eastAsia="DejaVu Serif"/>
                <w:b/>
                <w:color w:val="FFFFFF"/>
                <w:sz w:val="16"/>
              </w:rPr>
              <w:t>Режим</w:t>
            </w:r>
          </w:p>
        </w:tc>
        <w:tc>
          <w:tcPr>
            <w:tcW w:type="dxa" w:w="2721"/>
            <w:vAlign w:val="center"/>
            <w:tcMar>
              <w:top w:w="90" w:type="dxa"/>
              <w:start w:w="100" w:type="dxa"/>
              <w:bottom w:w="90" w:type="dxa"/>
              <w:end w:w="100" w:type="dxa"/>
            </w:tcMar>
            <w:shd w:fill="17345F"/>
          </w:tcPr>
          <w:p>
            <w:pPr>
              <w:widowControl/>
              <w:spacing w:after="0" w:before="0" w:line="259" w:lineRule="auto"/>
              <w:jc w:val="center"/>
            </w:pPr>
            <w:r/>
            <w:r>
              <w:rPr>
                <w:rFonts w:ascii="DejaVu Serif" w:hAnsi="DejaVu Serif" w:eastAsia="DejaVu Serif"/>
                <w:b/>
                <w:color w:val="FFFFFF"/>
                <w:sz w:val="16"/>
              </w:rPr>
              <w:t>Доминирующее замыкание</w:t>
            </w:r>
          </w:p>
        </w:tc>
        <w:tc>
          <w:tcPr>
            <w:tcW w:type="dxa" w:w="3005"/>
            <w:vAlign w:val="center"/>
            <w:tcMar>
              <w:top w:w="90" w:type="dxa"/>
              <w:start w:w="100" w:type="dxa"/>
              <w:bottom w:w="90" w:type="dxa"/>
              <w:end w:w="100" w:type="dxa"/>
            </w:tcMar>
            <w:shd w:fill="17345F"/>
          </w:tcPr>
          <w:p>
            <w:pPr>
              <w:widowControl/>
              <w:spacing w:after="0" w:before="0" w:line="259" w:lineRule="auto"/>
              <w:jc w:val="center"/>
            </w:pPr>
            <w:r/>
            <w:r>
              <w:rPr>
                <w:rFonts w:ascii="DejaVu Serif" w:hAnsi="DejaVu Serif" w:eastAsia="DejaVu Serif"/>
                <w:b/>
                <w:color w:val="FFFFFF"/>
                <w:sz w:val="16"/>
              </w:rPr>
              <w:t>Причинная фигура</w:t>
            </w:r>
          </w:p>
        </w:tc>
        <w:tc>
          <w:tcPr>
            <w:tcW w:type="dxa" w:w="2268"/>
            <w:vAlign w:val="center"/>
            <w:tcMar>
              <w:top w:w="90" w:type="dxa"/>
              <w:start w:w="100" w:type="dxa"/>
              <w:bottom w:w="90" w:type="dxa"/>
              <w:end w:w="100" w:type="dxa"/>
            </w:tcMar>
            <w:shd w:fill="17345F"/>
          </w:tcPr>
          <w:p>
            <w:pPr>
              <w:widowControl/>
              <w:spacing w:after="0" w:before="0" w:line="259" w:lineRule="auto"/>
              <w:jc w:val="center"/>
            </w:pPr>
            <w:r/>
            <w:r>
              <w:rPr>
                <w:rFonts w:ascii="DejaVu Serif" w:hAnsi="DejaVu Serif" w:eastAsia="DejaVu Serif"/>
                <w:b/>
                <w:color w:val="FFFFFF"/>
                <w:sz w:val="16"/>
              </w:rPr>
              <w:t>Типовой риск</w:t>
            </w:r>
          </w:p>
        </w:tc>
      </w:tr>
      <w:tr>
        <w:trPr>
          <w:trHeight w:hRule="atLeast"/>
        </w:trPr>
        <w:tc>
          <w:tcPr>
            <w:tcW w:type="dxa" w:w="170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R−01 / R−1</w:t>
            </w:r>
          </w:p>
        </w:tc>
        <w:tc>
          <w:tcPr>
            <w:tcW w:type="dxa" w:w="272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сопричастность, память, ритуал</w:t>
            </w:r>
          </w:p>
        </w:tc>
        <w:tc>
          <w:tcPr>
            <w:tcW w:type="dxa" w:w="3005"/>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ко-присутствие причины и действия</w:t>
            </w:r>
          </w:p>
        </w:tc>
        <w:tc>
          <w:tcPr>
            <w:tcW w:type="dxa" w:w="2268"/>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перенос участия в физическую причинность без D</w:t>
            </w:r>
          </w:p>
        </w:tc>
      </w:tr>
      <w:tr>
        <w:trPr>
          <w:trHeight w:hRule="atLeast"/>
        </w:trPr>
        <w:tc>
          <w:tcPr>
            <w:tcW w:type="dxa" w:w="170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R−02 / R−2</w:t>
            </w:r>
          </w:p>
        </w:tc>
        <w:tc>
          <w:tcPr>
            <w:tcW w:type="dxa" w:w="272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разделение, космологический порядок, опыт</w:t>
            </w:r>
          </w:p>
        </w:tc>
        <w:tc>
          <w:tcPr>
            <w:tcW w:type="dxa" w:w="3005"/>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причина ищется через предшествующее основание</w:t>
            </w:r>
          </w:p>
        </w:tc>
        <w:tc>
          <w:tcPr>
            <w:tcW w:type="dxa" w:w="2268"/>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объективация исторической схемы как абсолютной</w:t>
            </w:r>
          </w:p>
        </w:tc>
      </w:tr>
      <w:tr>
        <w:trPr>
          <w:trHeight w:hRule="atLeast"/>
        </w:trPr>
        <w:tc>
          <w:tcPr>
            <w:tcW w:type="dxa" w:w="170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R−03 / R−3</w:t>
            </w:r>
          </w:p>
        </w:tc>
        <w:tc>
          <w:tcPr>
            <w:tcW w:type="dxa" w:w="272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критика, логика, модель, эксперимент</w:t>
            </w:r>
          </w:p>
        </w:tc>
        <w:tc>
          <w:tcPr>
            <w:tcW w:type="dxa" w:w="3005"/>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причина допускается через проверяемый мост</w:t>
            </w:r>
          </w:p>
        </w:tc>
        <w:tc>
          <w:tcPr>
            <w:tcW w:type="dxa" w:w="2268"/>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6"/>
              </w:rPr>
              <w:t>сведение всего опыта к единственной измерительной схеме</w:t>
            </w:r>
          </w:p>
        </w:tc>
      </w:tr>
      <w:tr>
        <w:trPr>
          <w:trHeight w:hRule="atLeast"/>
        </w:trPr>
        <w:tc>
          <w:tcPr>
            <w:tcW w:type="dxa" w:w="170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R−04 / R−4</w:t>
            </w:r>
          </w:p>
        </w:tc>
        <w:tc>
          <w:tcPr>
            <w:tcW w:type="dxa" w:w="272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пакетная множественность и RBD</w:t>
            </w:r>
          </w:p>
        </w:tc>
        <w:tc>
          <w:tcPr>
            <w:tcW w:type="dxa" w:w="3005"/>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много конкурирующих причинных моделей со статусами</w:t>
            </w:r>
          </w:p>
        </w:tc>
        <w:tc>
          <w:tcPr>
            <w:tcW w:type="dxa" w:w="2268"/>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6"/>
              </w:rPr>
              <w:t>скрытая скаляризация и потеря weakest-link rule</w:t>
            </w:r>
          </w:p>
        </w:tc>
      </w:tr>
    </w:tbl>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Cl_log²=Cl_log,   Cl_exp²≈Cl_exp after protocol freeze,   Cl_rit²=Cl_rit inside a fixed ritual grammar</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T4-F093</w:t>
              <w:br/>
              <w:t>CLOSURE MODEL</w:t>
            </w:r>
          </w:p>
        </w:tc>
        <w:trPr>
          <w:trHeight w:hRule="atLeast"/>
          <w:tblHeader/>
        </w:trPr>
      </w:tr>
    </w:tbl>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Mixed_R(x) = (Cl_log(x),Cl_exp(x),Cl_rit(x),Cl_img(x); D,Dom,σ)</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T4-F094</w:t>
              <w:br/>
              <w:t>AUTHORIAL MODEL</w:t>
            </w:r>
          </w:p>
        </w:tc>
        <w:trPr>
          <w:trHeight w:hRule="atLeast"/>
          <w:tblHeader/>
        </w:trPr>
      </w:tr>
    </w:tbl>
    <w:tbl>
      <w:tblPr>
        <w:tblStyle w:val="TableGrid"/>
        <w:tblW w:type="auto" w:w="0"/>
        <w:jc w:val="center"/>
        <w:tblLook w:firstColumn="1" w:firstRow="1" w:lastColumn="0" w:lastRow="0" w:noHBand="0" w:noVBand="1" w:val="04A0"/>
      </w:tblPr>
      <w:tblGrid>
        <w:gridCol w:w="9865"/>
      </w:tblGrid>
      <w:tr>
        <w:tc>
          <w:tcPr>
            <w:tcW w:type="dxa" w:w="9865"/>
            <w:shd w:fill="F7F0DF"/>
            <w:tcMar>
              <w:top w:w="90" w:type="dxa"/>
              <w:start w:w="100" w:type="dxa"/>
              <w:bottom w:w="90" w:type="dxa"/>
              <w:end w:w="100" w:type="dxa"/>
            </w:tcMar>
            <w:vAlign w:val="center"/>
          </w:tcPr>
          <w:p>
            <w:pPr>
              <w:widowControl/>
              <w:spacing w:after="0"/>
            </w:pPr>
            <w:r>
              <w:rPr>
                <w:rFonts w:ascii="DejaVu Sans" w:hAnsi="DejaVu Sans"/>
                <w:b/>
                <w:color w:val="9A6B1E"/>
                <w:sz w:val="19"/>
              </w:rPr>
              <w:t>ПРОПОЗИЦИЯ T4.13.1 — НЕЛИНЕЙНОСТЬ R-АТЛАСА.</w:t>
            </w:r>
            <w:r>
              <w:rPr>
                <w:b/>
                <w:color w:val="9B2D30"/>
                <w:sz w:val="18"/>
              </w:rPr>
              <w:t xml:space="preserve">  [THM-FORMAL]</w:t>
            </w:r>
          </w:p>
          <w:p>
            <w:pPr>
              <w:widowControl/>
              <w:spacing w:after="0" w:line="259" w:lineRule="auto"/>
            </w:pPr>
            <w:r>
              <w:rPr>
                <w:rFonts w:ascii="DejaVu Serif" w:hAnsi="DejaVu Serif"/>
                <w:sz w:val="18"/>
              </w:rPr>
              <w:t>Из определения R_ν как семёрки следует, что без явного морфизма между Dom_ν, отношениями Rel_ν и closure-операторами Cl_ν нельзя задать общий тотальный порядок R_ν≤R_μ. Следовательно, R-атлас не является математически заданной лестницей культур.</w:t>
            </w:r>
          </w:p>
        </w:tc>
        <w:trPr>
          <w:trHeight w:hRule="atLeast"/>
          <w:tblHeader/>
        </w:trPr>
      </w:tr>
    </w:tbl>
    <w:p>
      <w:pPr>
        <w:widowControl/>
      </w:pPr>
      <w:r>
        <w:t>Доказательство. Тотальный порядок потребовал бы сравнимости любых двух режимов. Но режимы могут иметь несопоставимые домены, разные типы данных и разные операции замыкания. В отсутствии translation map отношение сравнения не типизировано. Поэтому корректным объектом является частично связанный атлас. □</w:t>
      </w:r>
    </w:p>
    <w:p>
      <w:pPr>
        <w:keepNext/>
        <w:widowControl/>
        <w:jc w:val="center"/>
      </w:pPr>
      <w:r>
        <w:drawing>
          <wp:inline xmlns:a="http://schemas.openxmlformats.org/drawingml/2006/main" xmlns:pic="http://schemas.openxmlformats.org/drawingml/2006/picture">
            <wp:extent cx="5472000" cy="2997995"/>
            <wp:docPr id="13" name="Picture 13" descr="Атлас режимов восприятия R: чистые формы R-01, R-02, R-03, R-04 и практические реализации R-1, R-2, R-3, R-4, соединённые частичными переходами без линейной иерархии." title="Атлас режимов восприятия R: чистые формы R-01, R-02, R-03, R-04 и практические реализации R-1, R-2, R-3, R-4, соединённые частичными переходами без линейной иерархии."/>
            <wp:cNvGraphicFramePr>
              <a:graphicFrameLocks noChangeAspect="1"/>
            </wp:cNvGraphicFramePr>
            <a:graphic>
              <a:graphicData uri="http://schemas.openxmlformats.org/drawingml/2006/picture">
                <pic:pic>
                  <pic:nvPicPr>
                    <pic:cNvPr id="0" name="fig13_r_modes.png"/>
                    <pic:cNvPicPr/>
                  </pic:nvPicPr>
                  <pic:blipFill>
                    <a:blip r:embed="rId27"/>
                    <a:stretch>
                      <a:fillRect/>
                    </a:stretch>
                  </pic:blipFill>
                  <pic:spPr>
                    <a:xfrm>
                      <a:off x="0" y="0"/>
                      <a:ext cx="5472000" cy="2997995"/>
                    </a:xfrm>
                    <a:prstGeom prst="rect"/>
                  </pic:spPr>
                </pic:pic>
              </a:graphicData>
            </a:graphic>
          </wp:inline>
        </w:drawing>
      </w:r>
    </w:p>
    <w:p>
      <w:pPr>
        <w:pStyle w:val="Caption"/>
        <w:keepNext w:val="0"/>
        <w:keepLines/>
        <w:widowControl/>
        <w:jc w:val="center"/>
      </w:pPr>
      <w:r>
        <w:t>Рисунок 13. Атлас R-режимов: чистые формы и практические реализации связаны частичными мостами и могут сосуществовать.</w:t>
      </w:r>
    </w:p>
    <w:p>
      <w:pPr>
        <w:widowControl/>
      </w:pPr>
      <w:r>
        <w:t>Библеровский контур понимания добавляет принцип диалога: режим не «побеждает» другой режим, а переводит его вопросы в собственную форму, сохраняя неснятый остаток. В KLT этот остаток получает status/gap-card. Понимание возникает не из стирания различий, а из построения Reper-моста между двумя мировыми логиками.</w:t>
      </w:r>
    </w:p>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Dialog(R_α,R_β)=Bridge(R_α,R_β;D_{αβ},Dom_{αβ},Residual_{αβ})</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T4-F095</w:t>
              <w:br/>
              <w:t>AUTHORIAL DEF</w:t>
            </w:r>
          </w:p>
        </w:tc>
        <w:trPr>
          <w:trHeight w:hRule="atLeast"/>
          <w:tblHeader/>
        </w:trPr>
      </w:tr>
    </w:tbl>
    <w:tbl>
      <w:tblPr>
        <w:tblStyle w:val="TableGrid"/>
        <w:tblW w:type="auto" w:w="0"/>
        <w:jc w:val="center"/>
        <w:tblLook w:firstColumn="1" w:firstRow="1" w:lastColumn="0" w:lastRow="0" w:noHBand="0" w:noVBand="1" w:val="04A0"/>
      </w:tblPr>
      <w:tblGrid>
        <w:gridCol w:w="9865"/>
      </w:tblGrid>
      <w:tr>
        <w:tc>
          <w:tcPr>
            <w:tcW w:type="dxa" w:w="9865"/>
            <w:shd w:fill="EAF5EF"/>
            <w:tcMar>
              <w:top w:w="90" w:type="dxa"/>
              <w:start w:w="100" w:type="dxa"/>
              <w:bottom w:w="90" w:type="dxa"/>
              <w:end w:w="100" w:type="dxa"/>
            </w:tcMar>
            <w:vAlign w:val="center"/>
          </w:tcPr>
          <w:p>
            <w:pPr>
              <w:widowControl/>
              <w:spacing w:after="0"/>
            </w:pPr>
            <w:r>
              <w:rPr>
                <w:rFonts w:ascii="DejaVu Sans" w:hAnsi="DejaVu Sans"/>
                <w:b/>
                <w:color w:val="2F6B4F"/>
                <w:sz w:val="19"/>
              </w:rPr>
              <w:t>РЕЗУЛЬТАТ ГЛАВЫ 13.</w:t>
            </w:r>
            <w:r>
              <w:rPr>
                <w:b/>
                <w:color w:val="9B2D30"/>
                <w:sz w:val="18"/>
              </w:rPr>
              <w:t xml:space="preserve">  [CLOSED FORMAL / EMP OPEN]</w:t>
            </w:r>
          </w:p>
          <w:p>
            <w:pPr>
              <w:widowControl/>
              <w:spacing w:after="0" w:line="259" w:lineRule="auto"/>
            </w:pPr>
            <w:r>
              <w:rPr>
                <w:rFonts w:ascii="DejaVu Serif" w:hAnsi="DejaVu Serif"/>
                <w:sz w:val="18"/>
              </w:rPr>
              <w:t>Историческая идея Леви-Брюля сохранена как анализ сопричастной ориентации, но освобождена от тезиса об иной человеческой логике. R-режимы определены как типизированные карты; их смешение и сосуществование допустимы. Тем самым открывается путь к строгой математике «Перьев», не превращающей антропологическую метафору в физический закон.</w:t>
            </w:r>
          </w:p>
        </w:tc>
        <w:trPr>
          <w:trHeight w:hRule="atLeast"/>
          <w:tblHeader/>
        </w:trPr>
      </w:tr>
    </w:tbl>
    <w:p>
      <w:pPr>
        <w:pStyle w:val="Heading1"/>
        <w:keepNext/>
        <w:pageBreakBefore/>
        <w:widowControl/>
      </w:pPr>
      <w:r>
        <w:t>Глава 14. Кососимметричная причинность R−1 и матрица «Перьев»</w:t>
      </w:r>
    </w:p>
    <w:tbl>
      <w:tblPr>
        <w:tblStyle w:val="TableGrid"/>
        <w:tblW w:type="auto" w:w="0"/>
        <w:jc w:val="center"/>
        <w:tblLook w:firstColumn="1" w:firstRow="1" w:lastColumn="0" w:lastRow="0" w:noHBand="0" w:noVBand="1" w:val="04A0"/>
      </w:tblPr>
      <w:tblGrid>
        <w:gridCol w:w="9865"/>
      </w:tblGrid>
      <w:tr>
        <w:tc>
          <w:tcPr>
            <w:tcW w:type="dxa" w:w="9865"/>
            <w:shd w:fill="EAF0F7"/>
            <w:tcMar>
              <w:top w:w="90" w:type="dxa"/>
              <w:start w:w="100" w:type="dxa"/>
              <w:bottom w:w="90" w:type="dxa"/>
              <w:end w:w="100" w:type="dxa"/>
            </w:tcMar>
            <w:vAlign w:val="center"/>
          </w:tcPr>
          <w:p>
            <w:pPr>
              <w:widowControl/>
              <w:spacing w:after="0"/>
            </w:pPr>
            <w:r>
              <w:rPr>
                <w:rFonts w:ascii="DejaVu Sans" w:hAnsi="DejaVu Sans"/>
                <w:b/>
                <w:color w:val="17345F"/>
                <w:sz w:val="19"/>
              </w:rPr>
              <w:t>РАМКА ГЛАВЫ 14.</w:t>
            </w:r>
            <w:r>
              <w:rPr>
                <w:b/>
                <w:color w:val="9B2D30"/>
                <w:sz w:val="18"/>
              </w:rPr>
              <w:t xml:space="preserve">  [AUTHORIAL MODEL]</w:t>
            </w:r>
          </w:p>
          <w:p>
            <w:pPr>
              <w:widowControl/>
              <w:spacing w:after="0" w:line="259" w:lineRule="auto"/>
            </w:pPr>
            <w:r>
              <w:rPr>
                <w:rFonts w:ascii="DejaVu Serif" w:hAnsi="DejaVu Serif"/>
                <w:sz w:val="18"/>
              </w:rPr>
              <w:t>ОНТОЛОГИЯ. В режиме R−1 выделяются два пространства: ±П — образы причин/духов и ±Д — образы действий/стихий. ГНОСЕОЛОГИЯ. Связи воспринимаются как сопричастность, а не как функция. ФЕНОМЕНОЛОГИЯ. «Перо» соединяет разнородные области мгновенной поперечной связью. ОГРАНИЧЕНИЕ. Кососимметричная форма задаёт ориентацию связи, но сама по себе не доказывает физическую причинность.</w:t>
            </w:r>
          </w:p>
        </w:tc>
        <w:trPr>
          <w:trHeight w:hRule="atLeast"/>
          <w:tblHeader/>
        </w:trPr>
      </w:tr>
    </w:tbl>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V_PD = P^± ⊕ D^±,    A:P^±→(D^±)*</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T4-F096</w:t>
              <w:br/>
              <w:t>MODEL DEF</w:t>
            </w:r>
          </w:p>
        </w:tc>
        <w:trPr>
          <w:trHeight w:hRule="atLeast"/>
          <w:tblHeader/>
        </w:trPr>
      </w:tr>
    </w:tbl>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K(A) = [[0,A],[-Aᵀ,0]] : V_PD→V_PD*</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T4-F097</w:t>
              <w:br/>
              <w:t>AUTHORIAL NAMING / CLASSICAL MATRIX</w:t>
            </w:r>
          </w:p>
        </w:tc>
        <w:trPr>
          <w:trHeight w:hRule="atLeast"/>
          <w:tblHeader/>
        </w:trPr>
      </w:tr>
    </w:tbl>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Feather(p,d)=p∧d = p⊗d − d⊗p</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T4-F098</w:t>
              <w:br/>
              <w:t>AUTHORIAL DEF / EXTERIOR ALGEBRA</w:t>
            </w:r>
          </w:p>
        </w:tc>
        <w:trPr>
          <w:trHeight w:hRule="atLeast"/>
          <w:tblHeader/>
        </w:trPr>
      </w:tr>
    </w:tbl>
    <w:tbl>
      <w:tblPr>
        <w:tblStyle w:val="TableGrid"/>
        <w:tblW w:type="auto" w:w="0"/>
        <w:jc w:val="center"/>
        <w:tblLook w:firstColumn="1" w:firstRow="1" w:lastColumn="0" w:lastRow="0" w:noHBand="0" w:noVBand="1" w:val="04A0"/>
      </w:tblPr>
      <w:tblGrid>
        <w:gridCol w:w="9865"/>
      </w:tblGrid>
      <w:tr>
        <w:tc>
          <w:tcPr>
            <w:tcW w:type="dxa" w:w="9865"/>
            <w:shd w:fill="F7F0DF"/>
            <w:tcMar>
              <w:top w:w="90" w:type="dxa"/>
              <w:start w:w="100" w:type="dxa"/>
              <w:bottom w:w="90" w:type="dxa"/>
              <w:end w:w="100" w:type="dxa"/>
            </w:tcMar>
            <w:vAlign w:val="center"/>
          </w:tcPr>
          <w:p>
            <w:pPr>
              <w:widowControl/>
              <w:spacing w:after="0"/>
            </w:pPr>
            <w:r>
              <w:rPr>
                <w:rFonts w:ascii="DejaVu Sans" w:hAnsi="DejaVu Sans"/>
                <w:b/>
                <w:color w:val="9A6B1E"/>
                <w:sz w:val="19"/>
              </w:rPr>
              <w:t>ТЕОРЕМА T4.14.1 — МАТРИЦА «ПЕРЬЕВ».</w:t>
            </w:r>
            <w:r>
              <w:rPr>
                <w:b/>
                <w:color w:val="9B2D30"/>
                <w:sz w:val="18"/>
              </w:rPr>
              <w:t xml:space="preserve">  [THM-FORMAL / CLASSICAL CORE]</w:t>
            </w:r>
          </w:p>
          <w:p>
            <w:pPr>
              <w:widowControl/>
              <w:spacing w:after="0" w:line="259" w:lineRule="auto"/>
            </w:pPr>
            <w:r>
              <w:rPr>
                <w:rFonts w:ascii="DejaVu Serif" w:hAnsi="DejaVu Serif"/>
                <w:sz w:val="18"/>
              </w:rPr>
              <w:t>Для любой вещественной матрицы A размера m×n блоковая матрица K(A) кососимметрична. Её ранг равен 2 rank(A), размер ядра равен m+n−2 rank(A), а ненулевые собственные значения имеют вид ±iσ_j, где σ_j — ненулевые сингулярные числа A.</w:t>
            </w:r>
          </w:p>
        </w:tc>
        <w:trPr>
          <w:trHeight w:hRule="atLeast"/>
          <w:tblHeader/>
        </w:trPr>
      </w:tr>
    </w:tbl>
    <w:p>
      <w:pPr>
        <w:widowControl/>
      </w:pPr>
      <w:r>
        <w:t>Доказательство. Кососимметричность следует непосредственным транспонированием. Сингулярное разложение A=UΣVᵀ ортогонально приводит K(A) к прямой сумме блоков [[0,σ_j],[-σ_j,0]] и нулевого блока. Каждый ненулевой блок имеет ранг 2 и спектр ±iσ_j. Число блоков равно rank(A). Остальная размерность образует ядро. □</w:t>
      </w:r>
    </w:p>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K(A)ᵀ=−K(A),   rank K(A)=2 rank A</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T4-F099</w:t>
              <w:br/>
              <w:t>THM-FORMAL</w:t>
            </w:r>
          </w:p>
        </w:tc>
        <w:trPr>
          <w:trHeight w:hRule="atLeast"/>
          <w:tblHeader/>
        </w:trPr>
      </w:tr>
    </w:tbl>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dim ker K(A)=dim P+dim D−2 rank A</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T4-F100</w:t>
              <w:br/>
              <w:t>THM-FORMAL</w:t>
            </w:r>
          </w:p>
        </w:tc>
        <w:trPr>
          <w:trHeight w:hRule="atLeast"/>
          <w:tblHeader/>
        </w:trPr>
      </w:tr>
    </w:tbl>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Spec(K(A))∖{0} = {±iσ₁,…,±iσ_r}</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T4-F101</w:t>
              <w:br/>
              <w:t>THM-FORMAL</w:t>
            </w:r>
          </w:p>
        </w:tc>
        <w:trPr>
          <w:trHeight w:hRule="atLeast"/>
          <w:tblHeader/>
        </w:trPr>
      </w:tr>
    </w:tbl>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Gap_Feather(A)=dim ker K(A)/dim(P⊕D)</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T4-F102</w:t>
              <w:br/>
              <w:t>AUTHORIAL INDEX</w:t>
            </w:r>
          </w:p>
        </w:tc>
        <w:trPr>
          <w:trHeight w:hRule="atLeast"/>
          <w:tblHeader/>
        </w:trPr>
      </w:tr>
    </w:tbl>
    <w:p>
      <w:pPr>
        <w:keepNext/>
        <w:widowControl/>
        <w:jc w:val="center"/>
      </w:pPr>
      <w:r>
        <w:drawing>
          <wp:inline xmlns:a="http://schemas.openxmlformats.org/drawingml/2006/main" xmlns:pic="http://schemas.openxmlformats.org/drawingml/2006/picture">
            <wp:extent cx="5472000" cy="2997995"/>
            <wp:docPr id="14" name="Picture 14" descr="Матричная модель сопричастной причинности R-1: области причин и действий соединены кососимметричными связями «Перья»; нуль-пространство показывает несвязанные причины и действия." title="Матричная модель сопричастной причинности R-1: области причин и действий соединены кососимметричными связями «Перья»; нуль-пространство показывает несвязанные причины и действия."/>
            <wp:cNvGraphicFramePr>
              <a:graphicFrameLocks noChangeAspect="1"/>
            </wp:cNvGraphicFramePr>
            <a:graphic>
              <a:graphicData uri="http://schemas.openxmlformats.org/drawingml/2006/picture">
                <pic:pic>
                  <pic:nvPicPr>
                    <pic:cNvPr id="0" name="fig14_feather_matrix.png"/>
                    <pic:cNvPicPr/>
                  </pic:nvPicPr>
                  <pic:blipFill>
                    <a:blip r:embed="rId28"/>
                    <a:stretch>
                      <a:fillRect/>
                    </a:stretch>
                  </pic:blipFill>
                  <pic:spPr>
                    <a:xfrm>
                      <a:off x="0" y="0"/>
                      <a:ext cx="5472000" cy="2997995"/>
                    </a:xfrm>
                    <a:prstGeom prst="rect"/>
                  </pic:spPr>
                </pic:pic>
              </a:graphicData>
            </a:graphic>
          </wp:inline>
        </w:drawing>
      </w:r>
    </w:p>
    <w:p>
      <w:pPr>
        <w:pStyle w:val="Caption"/>
        <w:keepNext w:val="0"/>
        <w:keepLines/>
        <w:widowControl/>
        <w:jc w:val="center"/>
      </w:pPr>
      <w:r>
        <w:t>Рисунок 14. Области ±П и ±Д, соединённые кососимметричными «Перьями». Нуль-пространство хранит несвязанные причины и действия.</w:t>
      </w:r>
    </w:p>
    <w:p>
      <w:pPr>
        <w:widowControl/>
      </w:pPr>
      <w:r>
        <w:t>В антропологической интерпретации ненулевые сингулярные пары являются связками сопричастности, а ядро — областью причин и действий, которым не сопоставлено поперечное «Перо». Это не означает, что элементы ядра не существуют; означает лишь, что выбранная матрица участия не связывает их. Тем самым формализуется авторская мысль о совместном существовании множества духов-причин и стихий-действий.</w:t>
      </w:r>
    </w:p>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Σ_PD={+P,+D; +P,−D; −P,+D; −P,−D}</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T4-F103</w:t>
              <w:br/>
              <w:t>SIGN ATLAS</w:t>
            </w:r>
          </w:p>
        </w:tc>
        <w:trPr>
          <w:trHeight w:hRule="atLeast"/>
          <w:tblHeader/>
        </w:trPr>
      </w:tr>
    </w:tbl>
    <w:p>
      <w:pPr>
        <w:widowControl/>
      </w:pPr>
      <w:r>
        <w:t>Знаки ± не должны интерпретироваться как добро и зло. Они кодируют ориентацию, усиление/ослабление, притяжение/отталкивание либо иной доменно заданный контраст. Без sign-card любое содержательное чтение запрещено.</w:t>
      </w:r>
    </w:p>
    <w:tbl>
      <w:tblPr>
        <w:tblStyle w:val="TableGrid"/>
        <w:tblW w:type="auto" w:w="0"/>
        <w:jc w:val="center"/>
        <w:tblLook w:firstColumn="1" w:firstRow="1" w:lastColumn="0" w:lastRow="0" w:noHBand="0" w:noVBand="1" w:val="04A0"/>
      </w:tblPr>
      <w:tblGrid>
        <w:gridCol w:w="9865"/>
      </w:tblGrid>
      <w:tr>
        <w:tc>
          <w:tcPr>
            <w:tcW w:type="dxa" w:w="9865"/>
            <w:shd w:fill="F7F0DF"/>
            <w:tcMar>
              <w:top w:w="90" w:type="dxa"/>
              <w:start w:w="100" w:type="dxa"/>
              <w:bottom w:w="90" w:type="dxa"/>
              <w:end w:w="100" w:type="dxa"/>
            </w:tcMar>
            <w:vAlign w:val="center"/>
          </w:tcPr>
          <w:p>
            <w:pPr>
              <w:widowControl/>
              <w:spacing w:after="0"/>
            </w:pPr>
            <w:r>
              <w:rPr>
                <w:rFonts w:ascii="DejaVu Sans" w:hAnsi="DejaVu Sans"/>
                <w:b/>
                <w:color w:val="9A6B1E"/>
                <w:sz w:val="19"/>
              </w:rPr>
              <w:t>ТЕОРЕМА T4.14.2 — МИНИМАЛЬНЫЙ ОПОРНЫЙ СЛОЙ.</w:t>
            </w:r>
            <w:r>
              <w:rPr>
                <w:b/>
                <w:color w:val="9B2D30"/>
                <w:sz w:val="18"/>
              </w:rPr>
              <w:t xml:space="preserve">  [CLASSICAL THM / KLT INTERPRETATION]</w:t>
            </w:r>
          </w:p>
          <w:p>
            <w:pPr>
              <w:widowControl/>
              <w:spacing w:after="0" w:line="259" w:lineRule="auto"/>
            </w:pPr>
            <w:r>
              <w:rPr>
                <w:rFonts w:ascii="DejaVu Serif" w:hAnsi="DejaVu Serif"/>
                <w:sz w:val="18"/>
              </w:rPr>
              <w:t>Пусть A:P→D* имеет ранг r. Тогда существует факторизация A=UV через пространство O размерности r, и никакая факторизация A=U′V′ через пространство размерности &lt;r невозможна.</w:t>
            </w:r>
          </w:p>
        </w:tc>
        <w:trPr>
          <w:trHeight w:hRule="atLeast"/>
          <w:tblHeader/>
        </w:trPr>
      </w:tr>
    </w:tbl>
    <w:p>
      <w:pPr>
        <w:widowControl/>
      </w:pPr>
      <w:r>
        <w:t>Доказательство. Ранговая факторизация A=UV с U размера m×r и V размера r×n существует для любой матрицы ранга r. Для любой иной факторизации rank(A)≤dim(O′), следовательно dim(O′)≥r. □</w:t>
      </w:r>
    </w:p>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P —V→ O_r —U→ D*,    A=UV,    dim O_r=rank(A)</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T4-F104</w:t>
              <w:br/>
              <w:t>MINIMAL SUPPORT FACTORIZATION</w:t>
            </w:r>
          </w:p>
        </w:tc>
        <w:trPr>
          <w:trHeight w:hRule="atLeast"/>
          <w:tblHeader/>
        </w:trPr>
      </w:tr>
    </w:tbl>
    <w:p>
      <w:pPr>
        <w:widowControl/>
      </w:pPr>
      <w:r>
        <w:t>В KLT пространство O_r интерпретируется как минимальный кандидат на опорный слой, способный заменить прямую мифологическую связь P↔D двухступенчатой цепью. Но алгебраическая факторизация не гарантирует, что O_r имеет физический, исторический или психологический смысл. Для авторизации требуются source-card, D, Dom и проверяемые морфизмы.</w:t>
      </w:r>
    </w:p>
    <w:tbl>
      <w:tblPr>
        <w:tblStyle w:val="TableGrid"/>
        <w:tblW w:type="auto" w:w="0"/>
        <w:jc w:val="center"/>
        <w:tblLook w:firstColumn="1" w:firstRow="1" w:lastColumn="0" w:lastRow="0" w:noHBand="0" w:noVBand="1" w:val="04A0"/>
      </w:tblPr>
      <w:tblGrid>
        <w:gridCol w:w="9865"/>
      </w:tblGrid>
      <w:tr>
        <w:tc>
          <w:tcPr>
            <w:tcW w:type="dxa" w:w="9865"/>
            <w:shd w:fill="FBEDEE"/>
            <w:tcMar>
              <w:top w:w="90" w:type="dxa"/>
              <w:start w:w="100" w:type="dxa"/>
              <w:bottom w:w="90" w:type="dxa"/>
              <w:end w:w="100" w:type="dxa"/>
            </w:tcMar>
            <w:vAlign w:val="center"/>
          </w:tcPr>
          <w:p>
            <w:pPr>
              <w:widowControl/>
              <w:spacing w:after="0"/>
            </w:pPr>
            <w:r>
              <w:rPr>
                <w:rFonts w:ascii="DejaVu Sans" w:hAnsi="DejaVu Sans"/>
                <w:b/>
                <w:color w:val="9B2D30"/>
                <w:sz w:val="19"/>
              </w:rPr>
              <w:t>ОТРИЦАТЕЛЬНЫЙ РЕЗУЛЬТАТ.</w:t>
            </w:r>
            <w:r>
              <w:rPr>
                <w:b/>
                <w:color w:val="9B2D30"/>
                <w:sz w:val="18"/>
              </w:rPr>
              <w:t xml:space="preserve">  [NO STATUS PROMOTION]</w:t>
            </w:r>
          </w:p>
          <w:p>
            <w:pPr>
              <w:widowControl/>
              <w:spacing w:after="0" w:line="259" w:lineRule="auto"/>
            </w:pPr>
            <w:r>
              <w:rPr>
                <w:rFonts w:ascii="DejaVu Serif" w:hAnsi="DejaVu Serif"/>
                <w:sz w:val="18"/>
              </w:rPr>
              <w:t>Кососимметричность, чётный ранг и факторизация не превращают «Перо» в физическое поле. Они описывают структуру представления. Переход к физике возможен только через отдельный carrier, измеримые величины и независимый протокол.</w:t>
            </w:r>
          </w:p>
        </w:tc>
        <w:trPr>
          <w:trHeight w:hRule="atLeast"/>
          <w:tblHeader/>
        </w:trPr>
      </w:tr>
    </w:tbl>
    <w:tbl>
      <w:tblPr>
        <w:tblStyle w:val="TableGrid"/>
        <w:tblW w:type="auto" w:w="0"/>
        <w:jc w:val="center"/>
        <w:tblLook w:firstColumn="1" w:firstRow="1" w:lastColumn="0" w:lastRow="0" w:noHBand="0" w:noVBand="1" w:val="04A0"/>
      </w:tblPr>
      <w:tblGrid>
        <w:gridCol w:w="9865"/>
      </w:tblGrid>
      <w:tr>
        <w:tc>
          <w:tcPr>
            <w:tcW w:type="dxa" w:w="9865"/>
            <w:shd w:fill="EAF5EF"/>
            <w:tcMar>
              <w:top w:w="90" w:type="dxa"/>
              <w:start w:w="100" w:type="dxa"/>
              <w:bottom w:w="90" w:type="dxa"/>
              <w:end w:w="100" w:type="dxa"/>
            </w:tcMar>
            <w:vAlign w:val="center"/>
          </w:tcPr>
          <w:p>
            <w:pPr>
              <w:widowControl/>
              <w:spacing w:after="0"/>
            </w:pPr>
            <w:r>
              <w:rPr>
                <w:rFonts w:ascii="DejaVu Sans" w:hAnsi="DejaVu Sans"/>
                <w:b/>
                <w:color w:val="2F6B4F"/>
                <w:sz w:val="19"/>
              </w:rPr>
              <w:t>РЕЗУЛЬТАТ ГЛАВЫ 14.</w:t>
            </w:r>
            <w:r>
              <w:rPr>
                <w:b/>
                <w:color w:val="9B2D30"/>
                <w:sz w:val="18"/>
              </w:rPr>
              <w:t xml:space="preserve">  [FORMAL CORE CLOSED]</w:t>
            </w:r>
          </w:p>
          <w:p>
            <w:pPr>
              <w:widowControl/>
              <w:spacing w:after="0" w:line="259" w:lineRule="auto"/>
            </w:pPr>
            <w:r>
              <w:rPr>
                <w:rFonts w:ascii="DejaVu Serif" w:hAnsi="DejaVu Serif"/>
                <w:sz w:val="18"/>
              </w:rPr>
              <w:t>Авторская метафора получила строгий линейно-алгебраический объект. Доказаны инварианты K(A), введены gap-index и минимальная опорная факторизация. Это углубляет математику всего проекта: тот же блоковый оператор может использоваться для RBD-графов, причинных пакетов, химических реакций и финансовых потоков после доменной типизации.</w:t>
            </w:r>
          </w:p>
        </w:tc>
        <w:trPr>
          <w:trHeight w:hRule="atLeast"/>
          <w:tblHeader/>
        </w:trPr>
      </w:tr>
    </w:tbl>
    <w:p>
      <w:pPr>
        <w:pStyle w:val="Heading1"/>
        <w:keepNext/>
        <w:pageBreakBefore/>
        <w:widowControl/>
      </w:pPr>
      <w:r>
        <w:t>Глава 15. R−02/R−03: действие, след, следствие и daemon-gap</w:t>
      </w:r>
    </w:p>
    <w:tbl>
      <w:tblPr>
        <w:tblStyle w:val="TableGrid"/>
        <w:tblW w:type="auto" w:w="0"/>
        <w:jc w:val="center"/>
        <w:tblLook w:firstColumn="1" w:firstRow="1" w:lastColumn="0" w:lastRow="0" w:noHBand="0" w:noVBand="1" w:val="04A0"/>
      </w:tblPr>
      <w:tblGrid>
        <w:gridCol w:w="9865"/>
      </w:tblGrid>
      <w:tr>
        <w:tc>
          <w:tcPr>
            <w:tcW w:type="dxa" w:w="9865"/>
            <w:shd w:fill="EAF0F7"/>
            <w:tcMar>
              <w:top w:w="90" w:type="dxa"/>
              <w:start w:w="100" w:type="dxa"/>
              <w:bottom w:w="90" w:type="dxa"/>
              <w:end w:w="100" w:type="dxa"/>
            </w:tcMar>
            <w:vAlign w:val="center"/>
          </w:tcPr>
          <w:p>
            <w:pPr>
              <w:widowControl/>
              <w:spacing w:after="0"/>
            </w:pPr>
            <w:r>
              <w:rPr>
                <w:rFonts w:ascii="DejaVu Sans" w:hAnsi="DejaVu Sans"/>
                <w:b/>
                <w:color w:val="17345F"/>
                <w:sz w:val="19"/>
              </w:rPr>
              <w:t>РАМКА ГЛАВЫ 15.</w:t>
            </w:r>
            <w:r>
              <w:rPr>
                <w:b/>
                <w:color w:val="9B2D30"/>
                <w:sz w:val="18"/>
              </w:rPr>
              <w:t xml:space="preserve">  [DEF/THM-FORMAL]</w:t>
            </w:r>
          </w:p>
          <w:p>
            <w:pPr>
              <w:widowControl/>
              <w:spacing w:after="0" w:line="259" w:lineRule="auto"/>
            </w:pPr>
            <w:r>
              <w:rPr>
                <w:rFonts w:ascii="DejaVu Serif" w:hAnsi="DejaVu Serif"/>
                <w:sz w:val="18"/>
              </w:rPr>
              <w:t>ОНТОЛОГИЯ. Действие, след, следствие и основание — разные типы. ГНОСЕОЛОГИЯ. R−02 отделяет наблюдаемую последовательность от опорной связности; R−03 требует формального или экспериментального моста. ФЕНОМЕНОЛОГИЯ. Демон возникает там, где связь воспринимается, но достаточное основание не построено. ОГРАНИЧЕНИЕ. Gap-node не является доказательством существования сверхъестественной сущности.</w:t>
            </w:r>
          </w:p>
        </w:tc>
        <w:trPr>
          <w:trHeight w:hRule="atLeast"/>
          <w:tblHeader/>
        </w:trPr>
      </w:tr>
    </w:tbl>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Act∈A_h,   Trace∈Tr_h,   Consequence∈S_h,   Foundation∈D_h</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T4-F105</w:t>
              <w:br/>
              <w:t>TYPE LOCK</w:t>
            </w:r>
          </w:p>
        </w:tc>
        <w:trPr>
          <w:trHeight w:hRule="atLeast"/>
          <w:tblHeader/>
        </w:trPr>
      </w:tr>
    </w:tbl>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Act ≠ Trace ≠ Consequence ≠ Foundation</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T4-F106</w:t>
              <w:br/>
              <w:t>NEGATIVE TYPE THEOREM</w:t>
            </w:r>
          </w:p>
        </w:tc>
        <w:trPr>
          <w:trHeight w:hRule="atLeast"/>
          <w:tblHeader/>
        </w:trPr>
      </w:tr>
    </w:tbl>
    <w:p>
      <w:pPr>
        <w:widowControl/>
      </w:pPr>
      <w:r>
        <w:t>Язык легко смешивает «след» как последовательность отпечатков и «следствие» как результат, выведенный по правилу из основания. В KLT это разные типы. След — наблюдаемый носитель; следствие — значение сертифицированной композиции.</w:t>
      </w:r>
    </w:p>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h:X_hidden→Y_trace,    y=h(x)+ε</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T4-F107</w:t>
              <w:br/>
              <w:t>OBSERVATION MODEL</w:t>
            </w:r>
          </w:p>
        </w:tc>
        <w:trPr>
          <w:trHeight w:hRule="atLeast"/>
          <w:tblHeader/>
        </w:trPr>
      </w:tr>
    </w:tbl>
    <w:tbl>
      <w:tblPr>
        <w:tblStyle w:val="TableGrid"/>
        <w:tblW w:type="auto" w:w="0"/>
        <w:jc w:val="center"/>
        <w:tblLook w:firstColumn="1" w:firstRow="1" w:lastColumn="0" w:lastRow="0" w:noHBand="0" w:noVBand="1" w:val="04A0"/>
      </w:tblPr>
      <w:tblGrid>
        <w:gridCol w:w="9865"/>
      </w:tblGrid>
      <w:tr>
        <w:tc>
          <w:tcPr>
            <w:tcW w:type="dxa" w:w="9865"/>
            <w:shd w:fill="F7F0DF"/>
            <w:tcMar>
              <w:top w:w="90" w:type="dxa"/>
              <w:start w:w="100" w:type="dxa"/>
              <w:bottom w:w="90" w:type="dxa"/>
              <w:end w:w="100" w:type="dxa"/>
            </w:tcMar>
            <w:vAlign w:val="center"/>
          </w:tcPr>
          <w:p>
            <w:pPr>
              <w:widowControl/>
              <w:spacing w:after="0"/>
            </w:pPr>
            <w:r>
              <w:rPr>
                <w:rFonts w:ascii="DejaVu Sans" w:hAnsi="DejaVu Sans"/>
                <w:b/>
                <w:color w:val="9A6B1E"/>
                <w:sz w:val="19"/>
              </w:rPr>
              <w:t>ТЕОРЕМА T4.15.1 — НЕИДЕНТИФИЦИРУЕМОСТЬ ПО СЛЕДУ.</w:t>
            </w:r>
            <w:r>
              <w:rPr>
                <w:b/>
                <w:color w:val="9B2D30"/>
                <w:sz w:val="18"/>
              </w:rPr>
              <w:t xml:space="preserve">  [THM-FORMAL]</w:t>
            </w:r>
          </w:p>
          <w:p>
            <w:pPr>
              <w:widowControl/>
              <w:spacing w:after="0" w:line="259" w:lineRule="auto"/>
            </w:pPr>
            <w:r>
              <w:rPr>
                <w:rFonts w:ascii="DejaVu Serif" w:hAnsi="DejaVu Serif"/>
                <w:sz w:val="18"/>
              </w:rPr>
              <w:t>Если оператор следообразования h:X→Y неинъективен, то не существует функции g:Y→X, удовлетворяющей g∘h=id_X. Следовательно, один след не определяет единственную скрытую причину без дополнительного основания D.</w:t>
            </w:r>
          </w:p>
        </w:tc>
        <w:trPr>
          <w:trHeight w:hRule="atLeast"/>
          <w:tblHeader/>
        </w:trPr>
      </w:tr>
    </w:tbl>
    <w:p>
      <w:pPr>
        <w:widowControl/>
      </w:pPr>
      <w:r>
        <w:t>Доказательство. Пусть x₁≠x₂, но h(x₁)=h(x₂)=y. Тогда из g(h(x₁))=x₁ и g(h(x₂))=x₂ следовало бы g(y)=x₁ и g(y)=x₂, противоречие. □</w:t>
      </w:r>
    </w:p>
    <w:p>
      <w:pPr>
        <w:keepNext/>
        <w:widowControl/>
        <w:jc w:val="center"/>
      </w:pPr>
      <w:r>
        <w:drawing>
          <wp:inline xmlns:a="http://schemas.openxmlformats.org/drawingml/2006/main" xmlns:pic="http://schemas.openxmlformats.org/drawingml/2006/picture">
            <wp:extent cx="5472000" cy="3392535"/>
            <wp:docPr id="15" name="Picture 15" descr="Типизированное различение действия, следа, следствия и основания: неоднозначный след не позволяет восстановить единственную скрытую причину без дополнительного достаточного основания." title="Типизированное различение действия, следа, следствия и основания: неоднозначный след не позволяет восстановить единственную скрытую причину без дополнительного достаточного основания."/>
            <wp:cNvGraphicFramePr>
              <a:graphicFrameLocks noChangeAspect="1"/>
            </wp:cNvGraphicFramePr>
            <a:graphic>
              <a:graphicData uri="http://schemas.openxmlformats.org/drawingml/2006/picture">
                <pic:pic>
                  <pic:nvPicPr>
                    <pic:cNvPr id="0" name="fig15_trace_consequence.png"/>
                    <pic:cNvPicPr/>
                  </pic:nvPicPr>
                  <pic:blipFill>
                    <a:blip r:embed="rId29"/>
                    <a:stretch>
                      <a:fillRect/>
                    </a:stretch>
                  </pic:blipFill>
                  <pic:spPr>
                    <a:xfrm>
                      <a:off x="0" y="0"/>
                      <a:ext cx="5472000" cy="3392535"/>
                    </a:xfrm>
                    <a:prstGeom prst="rect"/>
                  </pic:spPr>
                </pic:pic>
              </a:graphicData>
            </a:graphic>
          </wp:inline>
        </w:drawing>
      </w:r>
    </w:p>
    <w:p>
      <w:pPr>
        <w:pStyle w:val="Caption"/>
        <w:keepNext w:val="0"/>
        <w:keepLines/>
        <w:widowControl/>
        <w:jc w:val="center"/>
      </w:pPr>
      <w:r>
        <w:t>Рисунок 15. Причинная реконструкция следа требует D-моста; сопричастная ко-присутствующая связь является отдельным феноменологическим слоем.</w:t>
      </w:r>
    </w:p>
    <w:p>
      <w:pPr>
        <w:widowControl/>
      </w:pPr>
      <w:r>
        <w:t>Пример охотника получает двойное чтение. В эмпирическом слое след кодирует состояние животного с потерями и задержкой; возраст, направление и поведение реконструируются по модели и опыту. В сопричастном R−1-слое след переживается как актуальное присутствие души/рода животного. Эти чтения могут сосуществовать феноменологически, но не должны сливаться в один физический оператор.</w:t>
      </w:r>
    </w:p>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G_causal=(V,E_causal),    H_part=(V,E_participation),    E_causal∩E_participation need not be all</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T4-F108</w:t>
              <w:br/>
              <w:t>TWO-LAYER GRAPH</w:t>
            </w:r>
          </w:p>
        </w:tc>
        <w:trPr>
          <w:trHeight w:hRule="atLeast"/>
          <w:tblHeader/>
        </w:trPr>
      </w:tr>
    </w:tbl>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Demon(x)=Gap_D(x)=(claim_x,missing_bridge,Dom_x,blocker_x)</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T4-F109</w:t>
              <w:br/>
              <w:t>AUTHORIAL DEF</w:t>
            </w:r>
          </w:p>
        </w:tc>
        <w:trPr>
          <w:trHeight w:hRule="atLeast"/>
          <w:tblHeader/>
        </w:trPr>
      </w:tr>
    </w:tbl>
    <w:p>
      <w:pPr>
        <w:widowControl/>
      </w:pPr>
      <w:r>
        <w:t>В истории науки стандартными являются демоны Лапласа и Максвелла. Устойчивого термина «демон Галилея» в научной литературе не обнаружено; в проекте он сохраняется только как авторское обозначение идеализирующего посредника галилеевского типа и получает метку T4-BLK-GALILEO-DEMON-001.</w:t>
      </w:r>
    </w:p>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DaemonFree(G) ⇔ ∀g∈Gap(G) ∃(D_g,Dom_g,Bridge_g,Proof_g) valid</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T4-F110</w:t>
              <w:br/>
              <w:t>KLT GATE</w:t>
            </w:r>
          </w:p>
        </w:tc>
        <w:trPr>
          <w:trHeight w:hRule="atLeast"/>
          <w:tblHeader/>
        </w:trPr>
      </w:tr>
    </w:tbl>
    <w:tbl>
      <w:tblPr>
        <w:tblStyle w:val="TableGrid"/>
        <w:tblW w:type="auto" w:w="0"/>
        <w:jc w:val="center"/>
        <w:tblLook w:firstColumn="1" w:firstRow="1" w:lastColumn="0" w:lastRow="0" w:noHBand="0" w:noVBand="1" w:val="04A0"/>
      </w:tblPr>
      <w:tblGrid>
        <w:gridCol w:w="9865"/>
      </w:tblGrid>
      <w:tr>
        <w:tc>
          <w:tcPr>
            <w:tcW w:type="dxa" w:w="9865"/>
            <w:shd w:fill="F7F0DF"/>
            <w:tcMar>
              <w:top w:w="90" w:type="dxa"/>
              <w:start w:w="100" w:type="dxa"/>
              <w:bottom w:w="90" w:type="dxa"/>
              <w:end w:w="100" w:type="dxa"/>
            </w:tcMar>
            <w:vAlign w:val="center"/>
          </w:tcPr>
          <w:p>
            <w:pPr>
              <w:widowControl/>
              <w:spacing w:after="0"/>
            </w:pPr>
            <w:r>
              <w:rPr>
                <w:rFonts w:ascii="DejaVu Sans" w:hAnsi="DejaVu Sans"/>
                <w:b/>
                <w:color w:val="9A6B1E"/>
                <w:sz w:val="19"/>
              </w:rPr>
              <w:t>ПРОПОЗИЦИЯ T4.15.2 — УСТРАНЕНИЕ DAEMON-GAP.</w:t>
            </w:r>
            <w:r>
              <w:rPr>
                <w:b/>
                <w:color w:val="9B2D30"/>
                <w:sz w:val="18"/>
              </w:rPr>
              <w:t xml:space="preserve">  [THM-BY-DEFINITION]</w:t>
            </w:r>
          </w:p>
          <w:p>
            <w:pPr>
              <w:widowControl/>
              <w:spacing w:after="0" w:line="259" w:lineRule="auto"/>
            </w:pPr>
            <w:r>
              <w:rPr>
                <w:rFonts w:ascii="DejaVu Serif" w:hAnsi="DejaVu Serif"/>
                <w:sz w:val="18"/>
              </w:rPr>
              <w:t>Если для каждого gap-узла построен типизированный proof-carrying bridge, закрывающий соответствующий D/Dom-контракт, то множество необъяснённых daemon-gap узлов пусто. Если хотя бы один обязательный bridge отсутствует, корректный verdict — ABSTAIN, а не подстановка сущности.</w:t>
            </w:r>
          </w:p>
        </w:tc>
        <w:trPr>
          <w:trHeight w:hRule="atLeast"/>
          <w:tblHeader/>
        </w:trPr>
      </w:tr>
    </w:tbl>
    <w:p>
      <w:pPr>
        <w:widowControl/>
      </w:pPr>
      <w:r>
        <w:t>Доказательство. Утверждение следует из определения DaemonFree. Оно является программным контрактом, а не доказательством онтологического отсутствия духов или иных сущностей. □</w:t>
      </w:r>
    </w:p>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R−1 —D₀/translation→ R−02 —protocol/logic→ R−03</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T4-F111</w:t>
              <w:br/>
              <w:t>AUTHORIAL TRANSITION SCHEMA</w:t>
            </w:r>
          </w:p>
        </w:tc>
        <w:trPr>
          <w:trHeight w:hRule="atLeast"/>
          <w:tblHeader/>
        </w:trPr>
      </w:tr>
    </w:tbl>
    <w:p>
      <w:pPr>
        <w:widowControl/>
      </w:pPr>
      <w:r>
        <w:t>R−02 не «уничтожает» ранний опыт; он разделяет причинное впечатление ±П∓Д и опорное отношение O*S. R−03 добавляет публичный язык проверки: формальные правила, измерительные процедуры, контрмодели и возможность повторения. Кантовский критический поворот в этой схеме читается как gate на допустимые условия опыта, а не как персональное «закрытие» всей прежней истории мышления.</w:t>
      </w:r>
    </w:p>
    <w:tbl>
      <w:tblPr>
        <w:tblStyle w:val="TableGrid"/>
        <w:tblW w:type="auto" w:w="0"/>
        <w:jc w:val="center"/>
        <w:tblLayout w:type="fixed"/>
        <w:tblLook w:firstColumn="1" w:firstRow="1" w:lastColumn="0" w:lastRow="0" w:noHBand="0" w:noVBand="1" w:val="04A0"/>
      </w:tblPr>
      <w:tblGrid>
        <w:gridCol w:w="2466"/>
        <w:gridCol w:w="2466"/>
        <w:gridCol w:w="2466"/>
        <w:gridCol w:w="2466"/>
      </w:tblGrid>
      <w:tr>
        <w:trPr>
          <w:trHeight w:hRule="atLeast"/>
          <w:tblHeader w:val="true"/>
        </w:trPr>
        <w:tc>
          <w:tcPr>
            <w:tcW w:type="dxa" w:w="1701"/>
            <w:vAlign w:val="center"/>
            <w:tcMar>
              <w:top w:w="90" w:type="dxa"/>
              <w:start w:w="100" w:type="dxa"/>
              <w:bottom w:w="90" w:type="dxa"/>
              <w:end w:w="100" w:type="dxa"/>
            </w:tcMar>
            <w:shd w:fill="17345F"/>
          </w:tcPr>
          <w:p>
            <w:pPr>
              <w:widowControl/>
              <w:spacing w:after="0" w:before="0" w:line="259" w:lineRule="auto"/>
              <w:jc w:val="center"/>
            </w:pPr>
            <w:r/>
            <w:r>
              <w:rPr>
                <w:rFonts w:ascii="DejaVu Serif" w:hAnsi="DejaVu Serif" w:eastAsia="DejaVu Serif"/>
                <w:b/>
                <w:color w:val="FFFFFF"/>
                <w:sz w:val="15"/>
              </w:rPr>
              <w:t>Узел</w:t>
            </w:r>
          </w:p>
        </w:tc>
        <w:tc>
          <w:tcPr>
            <w:tcW w:type="dxa" w:w="2665"/>
            <w:vAlign w:val="center"/>
            <w:tcMar>
              <w:top w:w="90" w:type="dxa"/>
              <w:start w:w="100" w:type="dxa"/>
              <w:bottom w:w="90" w:type="dxa"/>
              <w:end w:w="100" w:type="dxa"/>
            </w:tcMar>
            <w:shd w:fill="17345F"/>
          </w:tcPr>
          <w:p>
            <w:pPr>
              <w:widowControl/>
              <w:spacing w:after="0" w:before="0" w:line="259" w:lineRule="auto"/>
              <w:jc w:val="center"/>
            </w:pPr>
            <w:r/>
            <w:r>
              <w:rPr>
                <w:rFonts w:ascii="DejaVu Serif" w:hAnsi="DejaVu Serif" w:eastAsia="DejaVu Serif"/>
                <w:b/>
                <w:color w:val="FFFFFF"/>
                <w:sz w:val="15"/>
              </w:rPr>
              <w:t>R−1</w:t>
            </w:r>
          </w:p>
        </w:tc>
        <w:tc>
          <w:tcPr>
            <w:tcW w:type="dxa" w:w="2665"/>
            <w:vAlign w:val="center"/>
            <w:tcMar>
              <w:top w:w="90" w:type="dxa"/>
              <w:start w:w="100" w:type="dxa"/>
              <w:bottom w:w="90" w:type="dxa"/>
              <w:end w:w="100" w:type="dxa"/>
            </w:tcMar>
            <w:shd w:fill="17345F"/>
          </w:tcPr>
          <w:p>
            <w:pPr>
              <w:widowControl/>
              <w:spacing w:after="0" w:before="0" w:line="259" w:lineRule="auto"/>
              <w:jc w:val="center"/>
            </w:pPr>
            <w:r/>
            <w:r>
              <w:rPr>
                <w:rFonts w:ascii="DejaVu Serif" w:hAnsi="DejaVu Serif" w:eastAsia="DejaVu Serif"/>
                <w:b/>
                <w:color w:val="FFFFFF"/>
                <w:sz w:val="15"/>
              </w:rPr>
              <w:t>R−02</w:t>
            </w:r>
          </w:p>
        </w:tc>
        <w:tc>
          <w:tcPr>
            <w:tcW w:type="dxa" w:w="2665"/>
            <w:vAlign w:val="center"/>
            <w:tcMar>
              <w:top w:w="90" w:type="dxa"/>
              <w:start w:w="100" w:type="dxa"/>
              <w:bottom w:w="90" w:type="dxa"/>
              <w:end w:w="100" w:type="dxa"/>
            </w:tcMar>
            <w:shd w:fill="17345F"/>
          </w:tcPr>
          <w:p>
            <w:pPr>
              <w:widowControl/>
              <w:spacing w:after="0" w:before="0" w:line="259" w:lineRule="auto"/>
              <w:jc w:val="center"/>
            </w:pPr>
            <w:r/>
            <w:r>
              <w:rPr>
                <w:rFonts w:ascii="DejaVu Serif" w:hAnsi="DejaVu Serif" w:eastAsia="DejaVu Serif"/>
                <w:b/>
                <w:color w:val="FFFFFF"/>
                <w:sz w:val="15"/>
              </w:rPr>
              <w:t>R−03</w:t>
            </w:r>
          </w:p>
        </w:tc>
      </w:tr>
      <w:tr>
        <w:trPr>
          <w:trHeight w:hRule="atLeast"/>
        </w:trPr>
        <w:tc>
          <w:tcPr>
            <w:tcW w:type="dxa" w:w="170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Причина</w:t>
            </w:r>
          </w:p>
        </w:tc>
        <w:tc>
          <w:tcPr>
            <w:tcW w:type="dxa" w:w="2665"/>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дух/сила как сопричастное присутствие</w:t>
            </w:r>
          </w:p>
        </w:tc>
        <w:tc>
          <w:tcPr>
            <w:tcW w:type="dxa" w:w="2665"/>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предшествующее основание</w:t>
            </w:r>
          </w:p>
        </w:tc>
        <w:tc>
          <w:tcPr>
            <w:tcW w:type="dxa" w:w="2665"/>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модельная переменная с критерием идентификации</w:t>
            </w:r>
          </w:p>
        </w:tc>
      </w:tr>
      <w:tr>
        <w:trPr>
          <w:trHeight w:hRule="atLeast"/>
        </w:trPr>
        <w:tc>
          <w:tcPr>
            <w:tcW w:type="dxa" w:w="170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Действие</w:t>
            </w:r>
          </w:p>
        </w:tc>
        <w:tc>
          <w:tcPr>
            <w:tcW w:type="dxa" w:w="2665"/>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стихия или волевой акт</w:t>
            </w:r>
          </w:p>
        </w:tc>
        <w:tc>
          <w:tcPr>
            <w:tcW w:type="dxa" w:w="2665"/>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отдельный тип акта</w:t>
            </w:r>
          </w:p>
        </w:tc>
        <w:tc>
          <w:tcPr>
            <w:tcW w:type="dxa" w:w="2665"/>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интервенция с Dom и измеримым выходом</w:t>
            </w:r>
          </w:p>
        </w:tc>
      </w:tr>
      <w:tr>
        <w:trPr>
          <w:trHeight w:hRule="atLeast"/>
        </w:trPr>
        <w:tc>
          <w:tcPr>
            <w:tcW w:type="dxa" w:w="170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Шаблон связи</w:t>
            </w:r>
          </w:p>
        </w:tc>
        <w:tc>
          <w:tcPr>
            <w:tcW w:type="dxa" w:w="2665"/>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ритуал и участие</w:t>
            </w:r>
          </w:p>
        </w:tc>
        <w:tc>
          <w:tcPr>
            <w:tcW w:type="dxa" w:w="2665"/>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порядок и логическое различение</w:t>
            </w:r>
          </w:p>
        </w:tc>
        <w:tc>
          <w:tcPr>
            <w:tcW w:type="dxa" w:w="2665"/>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эксперимент, доказательство, код</w:t>
            </w:r>
          </w:p>
        </w:tc>
      </w:tr>
      <w:tr>
        <w:trPr>
          <w:trHeight w:hRule="atLeast"/>
        </w:trPr>
        <w:tc>
          <w:tcPr>
            <w:tcW w:type="dxa" w:w="170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Ошибка</w:t>
            </w:r>
          </w:p>
        </w:tc>
        <w:tc>
          <w:tcPr>
            <w:tcW w:type="dxa" w:w="2665"/>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дух подставлен вместо D</w:t>
            </w:r>
          </w:p>
        </w:tc>
        <w:tc>
          <w:tcPr>
            <w:tcW w:type="dxa" w:w="2665"/>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псевдо-основание или foreign-D</w:t>
            </w:r>
          </w:p>
        </w:tc>
        <w:tc>
          <w:tcPr>
            <w:tcW w:type="dxa" w:w="2665"/>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модель принята за реальность без внешней проверки</w:t>
            </w:r>
          </w:p>
        </w:tc>
      </w:tr>
    </w:tbl>
    <w:p>
      <w:pPr>
        <w:widowControl/>
      </w:pPr>
      <w:r>
        <w:t>Авторское положение о сочетании R−02, R−2, R−03 и R−3 в теоретическом конфуцианстве сохраняется как HIST-HYP. Для публикационного статуса потребуются корпус текстов, правила кодирования и сравнительная проверка; без них оно не входит в доказанный историко-философский слой.</w:t>
      </w:r>
    </w:p>
    <w:tbl>
      <w:tblPr>
        <w:tblStyle w:val="TableGrid"/>
        <w:tblW w:type="auto" w:w="0"/>
        <w:jc w:val="center"/>
        <w:tblLook w:firstColumn="1" w:firstRow="1" w:lastColumn="0" w:lastRow="0" w:noHBand="0" w:noVBand="1" w:val="04A0"/>
      </w:tblPr>
      <w:tblGrid>
        <w:gridCol w:w="9865"/>
      </w:tblGrid>
      <w:tr>
        <w:tc>
          <w:tcPr>
            <w:tcW w:type="dxa" w:w="9865"/>
            <w:shd w:fill="EAF5EF"/>
            <w:tcMar>
              <w:top w:w="90" w:type="dxa"/>
              <w:start w:w="100" w:type="dxa"/>
              <w:bottom w:w="90" w:type="dxa"/>
              <w:end w:w="100" w:type="dxa"/>
            </w:tcMar>
            <w:vAlign w:val="center"/>
          </w:tcPr>
          <w:p>
            <w:pPr>
              <w:widowControl/>
              <w:spacing w:after="0"/>
            </w:pPr>
            <w:r>
              <w:rPr>
                <w:rFonts w:ascii="DejaVu Sans" w:hAnsi="DejaVu Sans"/>
                <w:b/>
                <w:color w:val="2F6B4F"/>
                <w:sz w:val="19"/>
              </w:rPr>
              <w:t>РЕЗУЛЬТАТ ГЛАВЫ 15.</w:t>
            </w:r>
            <w:r>
              <w:rPr>
                <w:b/>
                <w:color w:val="9B2D30"/>
                <w:sz w:val="18"/>
              </w:rPr>
              <w:t xml:space="preserve">  [FORMAL CORE CLOSED]</w:t>
            </w:r>
          </w:p>
          <w:p>
            <w:pPr>
              <w:widowControl/>
              <w:spacing w:after="0" w:line="259" w:lineRule="auto"/>
            </w:pPr>
            <w:r>
              <w:rPr>
                <w:rFonts w:ascii="DejaVu Serif" w:hAnsi="DejaVu Serif"/>
                <w:sz w:val="18"/>
              </w:rPr>
              <w:t>Введён строгий type firewall между действием, следом и следствием; доказана неидентифицируемость причины по неинъективному следу; daemon переведён в вычислимый gap-node. Переход R−1→R−02→R−03 стал последовательностью доказательных шлюзов, а не схемой культурного превосходства.</w:t>
            </w:r>
          </w:p>
        </w:tc>
        <w:trPr>
          <w:trHeight w:hRule="atLeast"/>
          <w:tblHeader/>
        </w:trPr>
      </w:tr>
    </w:tbl>
    <w:p>
      <w:pPr>
        <w:pStyle w:val="Heading1"/>
        <w:keepNext/>
        <w:pageBreakBefore/>
        <w:widowControl/>
      </w:pPr>
      <w:r>
        <w:t>Глава 16. «Загадка Еноха»: Складка RPLD и герменевтическая граница</w:t>
      </w:r>
    </w:p>
    <w:tbl>
      <w:tblPr>
        <w:tblStyle w:val="TableGrid"/>
        <w:tblW w:type="auto" w:w="0"/>
        <w:jc w:val="center"/>
        <w:tblLook w:firstColumn="1" w:firstRow="1" w:lastColumn="0" w:lastRow="0" w:noHBand="0" w:noVBand="1" w:val="04A0"/>
      </w:tblPr>
      <w:tblGrid>
        <w:gridCol w:w="9865"/>
      </w:tblGrid>
      <w:tr>
        <w:tc>
          <w:tcPr>
            <w:tcW w:type="dxa" w:w="9865"/>
            <w:shd w:fill="F7F0DF"/>
            <w:tcMar>
              <w:top w:w="90" w:type="dxa"/>
              <w:start w:w="100" w:type="dxa"/>
              <w:bottom w:w="90" w:type="dxa"/>
              <w:end w:w="100" w:type="dxa"/>
            </w:tcMar>
            <w:vAlign w:val="center"/>
          </w:tcPr>
          <w:p>
            <w:pPr>
              <w:widowControl/>
              <w:spacing w:after="0"/>
            </w:pPr>
            <w:r>
              <w:rPr>
                <w:rFonts w:ascii="DejaVu Sans" w:hAnsi="DejaVu Sans"/>
                <w:b/>
                <w:color w:val="9A6B1E"/>
                <w:sz w:val="19"/>
              </w:rPr>
              <w:t>РАМКА ГЛАВЫ 16.</w:t>
            </w:r>
            <w:r>
              <w:rPr>
                <w:b/>
                <w:color w:val="9B2D30"/>
                <w:sz w:val="18"/>
              </w:rPr>
              <w:t xml:space="preserve">  [HERM-MODEL]</w:t>
            </w:r>
          </w:p>
          <w:p>
            <w:pPr>
              <w:widowControl/>
              <w:spacing w:after="0" w:line="259" w:lineRule="auto"/>
            </w:pPr>
            <w:r>
              <w:rPr>
                <w:rFonts w:ascii="DejaVu Serif" w:hAnsi="DejaVu Serif"/>
                <w:sz w:val="18"/>
              </w:rPr>
              <w:t>ОНТОЛОГИЯ. Здесь рассматривается не исторический Енох как проверяемый участник эксперимента, а фигура текста и традиции. ГНОСЕОЛОГИЯ. Библейский текст, позднейшая енохическая литература и авторская KLT-модель являются разными слоями. ФЕНОМЕНОЛОГИЯ. Енох символизирует принятие мира-Складки и переход от непосредственной сопричастности к репрезентированному времени. ОГРАНИЧЕНИЕ. Символическая карта не доказывает богословские или исторические утверждения.</w:t>
            </w:r>
          </w:p>
        </w:tc>
        <w:trPr>
          <w:trHeight w:hRule="atLeast"/>
          <w:tblHeader/>
        </w:trPr>
      </w:tr>
    </w:tbl>
    <w:p>
      <w:pPr>
        <w:widowControl/>
      </w:pPr>
      <w:r>
        <w:t>Канонический текст Быт. 5:24 сообщает, что Енох «ходил пред Богом» и затем отсутствовал, потому что Бог взял его; Евр. 11:5 интерпретирует это как взятие без переживания смерти. 1 Enoch является составным псевдоэпиграфическим корпусом эпохи Второго Храма, сохранившимся полностью на геэз и частично в арамейских фрагментах. Эти текстовые данные поддерживают образ перехода и космологического видения, но не поддерживают утверждение, что исторический Енох создал новую модель познания.</w:t>
      </w:r>
    </w:p>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Text_Enoch ≠ Event_Enoch ≠ KLT_Model(Enoch)</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T4-F112</w:t>
              <w:br/>
              <w:t>TEXT/HISTORY/MODEL FIREWALL</w:t>
            </w:r>
          </w:p>
        </w:tc>
        <w:trPr>
          <w:trHeight w:hRule="atLeast"/>
          <w:tblHeader/>
        </w:trPr>
      </w:tr>
    </w:tbl>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E_Enoch : PreFold ⇀ RPLD</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T4-F113</w:t>
              <w:br/>
              <w:t>HERMENEUTIC OPERATOR</w:t>
            </w:r>
          </w:p>
        </w:tc>
        <w:trPr>
          <w:trHeight w:hRule="atLeast"/>
          <w:tblHeader/>
        </w:trPr>
      </w:tr>
    </w:tbl>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E_Enoch = p∞(Melichron/FOS)  [symbolic only]</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T4-F114</w:t>
              <w:br/>
              <w:t>AUTHORIAL HERM-MODEL</w:t>
            </w:r>
          </w:p>
        </w:tc>
        <w:trPr>
          <w:trHeight w:hRule="atLeast"/>
          <w:tblHeader/>
        </w:trPr>
      </w:tr>
    </w:tbl>
    <w:p>
      <w:pPr>
        <w:keepNext/>
        <w:widowControl/>
        <w:jc w:val="center"/>
      </w:pPr>
      <w:r>
        <w:drawing>
          <wp:inline xmlns:a="http://schemas.openxmlformats.org/drawingml/2006/main" xmlns:pic="http://schemas.openxmlformats.org/drawingml/2006/picture">
            <wp:extent cx="5472000" cy="3024444"/>
            <wp:docPr id="16" name="Picture 16" descr="Герменевтическая схема Еноха: переход от до-складочного режима к RPLD, символическая несобственная точка Melichron/FOS и открытая карта за пределы FOS с доказательным firewall." title="Герменевтическая схема Еноха: переход от до-складочного режима к RPLD, символическая несобственная точка Melichron/FOS и открытая карта за пределы FOS с доказательным firewall."/>
            <wp:cNvGraphicFramePr>
              <a:graphicFrameLocks noChangeAspect="1"/>
            </wp:cNvGraphicFramePr>
            <a:graphic>
              <a:graphicData uri="http://schemas.openxmlformats.org/drawingml/2006/picture">
                <pic:pic>
                  <pic:nvPicPr>
                    <pic:cNvPr id="0" name="fig16_enoch_fold.png"/>
                    <pic:cNvPicPr/>
                  </pic:nvPicPr>
                  <pic:blipFill>
                    <a:blip r:embed="rId30"/>
                    <a:stretch>
                      <a:fillRect/>
                    </a:stretch>
                  </pic:blipFill>
                  <pic:spPr>
                    <a:xfrm>
                      <a:off x="0" y="0"/>
                      <a:ext cx="5472000" cy="3024444"/>
                    </a:xfrm>
                    <a:prstGeom prst="rect"/>
                  </pic:spPr>
                </pic:pic>
              </a:graphicData>
            </a:graphic>
          </wp:inline>
        </w:drawing>
      </w:r>
    </w:p>
    <w:p>
      <w:pPr>
        <w:pStyle w:val="Caption"/>
        <w:keepNext w:val="0"/>
        <w:keepLines/>
        <w:widowControl/>
        <w:jc w:val="center"/>
      </w:pPr>
      <w:r>
        <w:t>Рисунок 16. Енох как символический оператор перехода к Складке и несобственная точка на границе модели FOS.</w:t>
      </w:r>
    </w:p>
    <w:p>
      <w:pPr>
        <w:widowControl/>
      </w:pPr>
      <w:r>
        <w:t>Внутри модели PreFold обозначает режим, где сон/явь, знак/событие и образ/реальность ещё не разведены стабильными картами. RPLD есть Складка, связывающая RPLD1 (ощущение и непосредственный поток) с RPLD2 (память, язык, воображение). Енохов оператор не является функцией физического времени; это герменевтическая карта, переводящая текстовый образ в архитектуру познания.</w:t>
      </w:r>
    </w:p>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RPLD = Fold(RPLD1,RPLD2;D_fold,Dom_fold,σ)</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T4-F115</w:t>
              <w:br/>
              <w:t>IMPORT FROM v0.4</w:t>
            </w:r>
          </w:p>
        </w:tc>
        <w:trPr>
          <w:trHeight w:hRule="atLeast"/>
          <w:tblHeader/>
        </w:trPr>
      </w:tr>
    </w:tbl>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χ:FOS ⇀ Beyond(FOS)</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T4-F116</w:t>
              <w:br/>
              <w:t>UNDEFINED WITHOUT DOMAIN</w:t>
            </w:r>
          </w:p>
        </w:tc>
        <w:trPr>
          <w:trHeight w:hRule="atLeast"/>
          <w:tblHeader/>
        </w:trPr>
      </w:tr>
    </w:tbl>
    <w:tbl>
      <w:tblPr>
        <w:tblStyle w:val="TableGrid"/>
        <w:tblW w:type="auto" w:w="0"/>
        <w:jc w:val="center"/>
        <w:tblLook w:firstColumn="1" w:firstRow="1" w:lastColumn="0" w:lastRow="0" w:noHBand="0" w:noVBand="1" w:val="04A0"/>
      </w:tblPr>
      <w:tblGrid>
        <w:gridCol w:w="9865"/>
      </w:tblGrid>
      <w:tr>
        <w:tc>
          <w:tcPr>
            <w:tcW w:type="dxa" w:w="9865"/>
            <w:shd w:fill="FBEDEE"/>
            <w:tcMar>
              <w:top w:w="90" w:type="dxa"/>
              <w:start w:w="100" w:type="dxa"/>
              <w:bottom w:w="90" w:type="dxa"/>
              <w:end w:w="100" w:type="dxa"/>
            </w:tcMar>
            <w:vAlign w:val="center"/>
          </w:tcPr>
          <w:p>
            <w:pPr>
              <w:widowControl/>
              <w:spacing w:after="0"/>
            </w:pPr>
            <w:r>
              <w:rPr>
                <w:rFonts w:ascii="DejaVu Sans" w:hAnsi="DejaVu Sans"/>
                <w:b/>
                <w:color w:val="9B2D30"/>
                <w:sz w:val="19"/>
              </w:rPr>
              <w:t>МАТЕМАТИЧЕСКИЙ ЗАПРЕТ.</w:t>
            </w:r>
            <w:r>
              <w:rPr>
                <w:b/>
                <w:color w:val="9B2D30"/>
                <w:sz w:val="18"/>
              </w:rPr>
              <w:t xml:space="preserve">  [OPEN]</w:t>
            </w:r>
          </w:p>
          <w:p>
            <w:pPr>
              <w:widowControl/>
              <w:spacing w:after="0" w:line="259" w:lineRule="auto"/>
            </w:pPr>
            <w:r>
              <w:rPr>
                <w:rFonts w:ascii="DejaVu Serif" w:hAnsi="DejaVu Serif"/>
                <w:sz w:val="18"/>
              </w:rPr>
              <w:t>Оператор χ не определён одной метафорой «проткнуть FOS». Для математического статуса необходимо задать носитель Beyond(FOS), область определения, тип морфизма, сохраняемые инварианты и критерий ненулевого перехода. До этого формула остаётся HERM-MODEL.</w:t>
            </w:r>
          </w:p>
        </w:tc>
        <w:trPr>
          <w:trHeight w:hRule="atLeast"/>
          <w:tblHeader/>
        </w:trPr>
      </w:tr>
    </w:tbl>
    <w:p>
      <w:pPr>
        <w:widowControl/>
      </w:pPr>
      <w:r>
        <w:t>Фигуры Моисея, Канта и Христа в авторской схеме могут служить индексами переходов: Моисей — упорядочение мира законом и памятью; Кант — критический gate от R−02 к R−03; Христос — образ выхода за замкнутый мир достаточных оснований. Но это не историческая периодизация и не теорема религиоведения. В каноническом тексте Тома IV они оформляются как именованные герменевтические гипотезы с собственными status-cards.</w:t>
      </w:r>
    </w:p>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H_Moses: R−1⇀R−2,   H_Kant:R−02⇀R−03,   H_Christ:FOS⇀Beyond(FOS)</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T4-F117</w:t>
              <w:br/>
              <w:t>AUTHORIAL HERM-MAPS</w:t>
            </w:r>
          </w:p>
        </w:tc>
        <w:trPr>
          <w:trHeight w:hRule="atLeast"/>
          <w:tblHeader/>
        </w:trPr>
      </w:tr>
    </w:tbl>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σ_herm=(textual,tradition,interpretive,historical,empirical,theological)</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T4-F118</w:t>
              <w:br/>
              <w:t>STATUS VECTOR</w:t>
            </w:r>
          </w:p>
        </w:tc>
        <w:trPr>
          <w:trHeight w:hRule="atLeast"/>
          <w:tblHeader/>
        </w:trPr>
      </w:tr>
    </w:tbl>
    <w:tbl>
      <w:tblPr>
        <w:tblStyle w:val="TableGrid"/>
        <w:tblW w:type="auto" w:w="0"/>
        <w:jc w:val="center"/>
        <w:tblLayout w:type="fixed"/>
        <w:tblLook w:firstColumn="1" w:firstRow="1" w:lastColumn="0" w:lastRow="0" w:noHBand="0" w:noVBand="1" w:val="04A0"/>
      </w:tblPr>
      <w:tblGrid>
        <w:gridCol w:w="3288"/>
        <w:gridCol w:w="3288"/>
        <w:gridCol w:w="3288"/>
      </w:tblGrid>
      <w:tr>
        <w:trPr>
          <w:trHeight w:hRule="atLeast"/>
          <w:tblHeader w:val="true"/>
        </w:trPr>
        <w:tc>
          <w:tcPr>
            <w:tcW w:type="dxa" w:w="3515"/>
            <w:vAlign w:val="center"/>
            <w:tcMar>
              <w:top w:w="90" w:type="dxa"/>
              <w:start w:w="100" w:type="dxa"/>
              <w:bottom w:w="90" w:type="dxa"/>
              <w:end w:w="100" w:type="dxa"/>
            </w:tcMar>
            <w:shd w:fill="17345F"/>
          </w:tcPr>
          <w:p>
            <w:pPr>
              <w:widowControl/>
              <w:spacing w:after="0" w:before="0" w:line="259" w:lineRule="auto"/>
              <w:jc w:val="center"/>
            </w:pPr>
            <w:r/>
            <w:r>
              <w:rPr>
                <w:rFonts w:ascii="DejaVu Serif" w:hAnsi="DejaVu Serif" w:eastAsia="DejaVu Serif"/>
                <w:b/>
                <w:color w:val="FFFFFF"/>
                <w:sz w:val="15"/>
              </w:rPr>
              <w:t>Тезис заметки</w:t>
            </w:r>
          </w:p>
        </w:tc>
        <w:tc>
          <w:tcPr>
            <w:tcW w:type="dxa" w:w="2268"/>
            <w:vAlign w:val="center"/>
            <w:tcMar>
              <w:top w:w="90" w:type="dxa"/>
              <w:start w:w="100" w:type="dxa"/>
              <w:bottom w:w="90" w:type="dxa"/>
              <w:end w:w="100" w:type="dxa"/>
            </w:tcMar>
            <w:shd w:fill="173A61" w:val="clear"/>
          </w:tcPr>
          <w:p>
            <w:pPr>
              <w:widowControl/>
              <w:spacing w:before="0" w:after="0" w:line="252" w:lineRule="auto"/>
              <w:jc w:val="center"/>
            </w:pPr>
            <w:r/>
            <w:r>
              <w:rPr>
                <w:rFonts w:ascii="DejaVu Sans" w:hAnsi="DejaVu Sans" w:eastAsia="DejaVu Sans"/>
                <w:b/>
                <w:i w:val="0"/>
                <w:color w:val="FFFFFF"/>
                <w:sz w:val="16"/>
              </w:rPr>
              <w:t>Статус v0.7</w:t>
            </w:r>
          </w:p>
        </w:tc>
        <w:tc>
          <w:tcPr>
            <w:tcW w:type="dxa" w:w="3742"/>
            <w:vAlign w:val="center"/>
            <w:tcMar>
              <w:top w:w="90" w:type="dxa"/>
              <w:start w:w="100" w:type="dxa"/>
              <w:bottom w:w="90" w:type="dxa"/>
              <w:end w:w="100" w:type="dxa"/>
            </w:tcMar>
            <w:shd w:fill="17345F"/>
          </w:tcPr>
          <w:p>
            <w:pPr>
              <w:widowControl/>
              <w:spacing w:after="0" w:before="0" w:line="259" w:lineRule="auto"/>
              <w:jc w:val="center"/>
            </w:pPr>
            <w:r/>
            <w:r>
              <w:rPr>
                <w:rFonts w:ascii="DejaVu Serif" w:hAnsi="DejaVu Serif" w:eastAsia="DejaVu Serif"/>
                <w:b/>
                <w:color w:val="FFFFFF"/>
                <w:sz w:val="15"/>
              </w:rPr>
              <w:t>Что требуется для повышения</w:t>
            </w:r>
          </w:p>
        </w:tc>
      </w:tr>
      <w:tr>
        <w:trPr>
          <w:trHeight w:hRule="atLeast"/>
        </w:trPr>
        <w:tc>
          <w:tcPr>
            <w:tcW w:type="dxa" w:w="3515"/>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Енох принял весь мир RPLD/Складку</w:t>
            </w:r>
          </w:p>
        </w:tc>
        <w:tc>
          <w:tcPr>
            <w:tcW w:type="dxa" w:w="2268"/>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HERM-MODEL</w:t>
            </w:r>
          </w:p>
        </w:tc>
        <w:tc>
          <w:tcPr>
            <w:tcW w:type="dxa" w:w="3742"/>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сравнительная текстология и явная теория символического соответствия</w:t>
            </w:r>
          </w:p>
        </w:tc>
      </w:tr>
      <w:tr>
        <w:trPr>
          <w:trHeight w:hRule="atLeast"/>
        </w:trPr>
        <w:tc>
          <w:tcPr>
            <w:tcW w:type="dxa" w:w="3515"/>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Енох не умер и является несобственной точкой</w:t>
            </w:r>
          </w:p>
        </w:tc>
        <w:tc>
          <w:tcPr>
            <w:tcW w:type="dxa" w:w="2268"/>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TEXTUAL MOTIF + AUTHORIAL GEOMETRY</w:t>
            </w:r>
          </w:p>
        </w:tc>
        <w:tc>
          <w:tcPr>
            <w:tcW w:type="dxa" w:w="374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различать библейскую формулу, богословскую интерпретацию и проектную модель</w:t>
            </w:r>
          </w:p>
        </w:tc>
      </w:tr>
      <w:tr>
        <w:trPr>
          <w:trHeight w:hRule="atLeast"/>
        </w:trPr>
        <w:tc>
          <w:tcPr>
            <w:tcW w:type="dxa" w:w="3515"/>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Существовал договор Сатаны не уничтожать мир</w:t>
            </w:r>
          </w:p>
        </w:tc>
        <w:tc>
          <w:tcPr>
            <w:tcW w:type="dxa" w:w="2268"/>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UNSUPPORTED CONJECTURE</w:t>
            </w:r>
          </w:p>
        </w:tc>
        <w:tc>
          <w:tcPr>
            <w:tcW w:type="dxa" w:w="3742"/>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прямой текстовый источник; Книга Иова содержит ограничение действия, но не такой договор</w:t>
            </w:r>
          </w:p>
        </w:tc>
      </w:tr>
      <w:tr>
        <w:trPr>
          <w:trHeight w:hRule="atLeast"/>
        </w:trPr>
        <w:tc>
          <w:tcPr>
            <w:tcW w:type="dxa" w:w="3515"/>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Моисей основал R−2</w:t>
            </w:r>
          </w:p>
        </w:tc>
        <w:tc>
          <w:tcPr>
            <w:tcW w:type="dxa" w:w="2268"/>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HIST-HYP</w:t>
            </w:r>
          </w:p>
        </w:tc>
        <w:tc>
          <w:tcPr>
            <w:tcW w:type="dxa" w:w="374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корпусное и сравнительно-историческое исследование</w:t>
            </w:r>
          </w:p>
        </w:tc>
      </w:tr>
      <w:tr>
        <w:trPr>
          <w:trHeight w:hRule="atLeast"/>
        </w:trPr>
        <w:tc>
          <w:tcPr>
            <w:tcW w:type="dxa" w:w="3515"/>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Кант закрыл R−02 и открыл R−03</w:t>
            </w:r>
          </w:p>
        </w:tc>
        <w:tc>
          <w:tcPr>
            <w:tcW w:type="dxa" w:w="2268"/>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PHIL-HYP / INDEXICAL</w:t>
            </w:r>
          </w:p>
        </w:tc>
        <w:tc>
          <w:tcPr>
            <w:tcW w:type="dxa" w:w="3742"/>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аргументированная реконструкция корпуса Канта</w:t>
            </w:r>
          </w:p>
        </w:tc>
      </w:tr>
      <w:tr>
        <w:trPr>
          <w:trHeight w:hRule="atLeast"/>
        </w:trPr>
        <w:tc>
          <w:tcPr>
            <w:tcW w:type="dxa" w:w="3515"/>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Христос указал путь за FOS</w:t>
            </w:r>
          </w:p>
        </w:tc>
        <w:tc>
          <w:tcPr>
            <w:tcW w:type="dxa" w:w="2268"/>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THEOLOGICAL HERM-MODEL</w:t>
            </w:r>
          </w:p>
        </w:tc>
        <w:tc>
          <w:tcPr>
            <w:tcW w:type="dxa" w:w="374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остаётся исповедально-философской интерпретацией, не математическим фактом</w:t>
            </w:r>
          </w:p>
        </w:tc>
      </w:tr>
    </w:tbl>
    <w:p>
      <w:pPr>
        <w:widowControl/>
      </w:pPr>
      <w:r>
        <w:t>Термин «Мелихрон» не обнаружен как устойчивый внешний термин и пока не имеет проектной дефиниции с этимологией, носителем и отношением к FOS. Он сохраняется в кавычках как авторское имя и получает blocker T4-BLK-MELICHRON-001.</w:t>
      </w:r>
    </w:p>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Melichron := UNDEFINED_AUTHORIAL_NAME until (carrier,relation_to_FOS,etymology,Dom,D) supplied</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T4-F119</w:t>
              <w:br/>
              <w:t>BLOCKER DEF</w:t>
            </w:r>
          </w:p>
        </w:tc>
        <w:trPr>
          <w:trHeight w:hRule="atLeast"/>
          <w:tblHeader/>
        </w:trPr>
      </w:tr>
    </w:tbl>
    <w:tbl>
      <w:tblPr>
        <w:tblStyle w:val="TableGrid"/>
        <w:tblW w:type="auto" w:w="0"/>
        <w:jc w:val="center"/>
        <w:tblLook w:firstColumn="1" w:firstRow="1" w:lastColumn="0" w:lastRow="0" w:noHBand="0" w:noVBand="1" w:val="04A0"/>
      </w:tblPr>
      <w:tblGrid>
        <w:gridCol w:w="9865"/>
      </w:tblGrid>
      <w:tr>
        <w:tc>
          <w:tcPr>
            <w:tcW w:type="dxa" w:w="9865"/>
            <w:shd w:fill="F7F0DF"/>
            <w:tcMar>
              <w:top w:w="90" w:type="dxa"/>
              <w:start w:w="100" w:type="dxa"/>
              <w:bottom w:w="90" w:type="dxa"/>
              <w:end w:w="100" w:type="dxa"/>
            </w:tcMar>
            <w:vAlign w:val="center"/>
          </w:tcPr>
          <w:p>
            <w:pPr>
              <w:widowControl/>
              <w:spacing w:after="0"/>
            </w:pPr>
            <w:r>
              <w:rPr>
                <w:rFonts w:ascii="DejaVu Sans" w:hAnsi="DejaVu Sans"/>
                <w:b/>
                <w:color w:val="9A6B1E"/>
                <w:sz w:val="19"/>
              </w:rPr>
              <w:t>ПРОПОЗИЦИЯ T4.16.1 — ГЕРМЕНЕВТИЧЕСКОЕ НЕПОВЫШЕНИЕ.</w:t>
            </w:r>
            <w:r>
              <w:rPr>
                <w:b/>
                <w:color w:val="9B2D30"/>
                <w:sz w:val="18"/>
              </w:rPr>
              <w:t xml:space="preserve">  [THM-FORMAL/EDITORIAL]</w:t>
            </w:r>
          </w:p>
          <w:p>
            <w:pPr>
              <w:widowControl/>
              <w:spacing w:after="0" w:line="259" w:lineRule="auto"/>
            </w:pPr>
            <w:r>
              <w:rPr>
                <w:rFonts w:ascii="DejaVu Serif" w:hAnsi="DejaVu Serif"/>
                <w:sz w:val="18"/>
              </w:rPr>
              <w:t>Пусть H — символическая интерпретация текста, а E — эмпирическое или историческое утверждение. Без независимого bridge B:H→E с источниками, методом и критериями фальсификации статус E не может быть получен из H.</w:t>
            </w:r>
          </w:p>
        </w:tc>
        <w:trPr>
          <w:trHeight w:hRule="atLeast"/>
          <w:tblHeader/>
        </w:trPr>
      </w:tr>
    </w:tbl>
    <w:p>
      <w:pPr>
        <w:widowControl/>
      </w:pPr>
      <w:r>
        <w:t>Доказательство. По status-preserving rule символическая интерпретация имеет собственный канал σ_herm. Проекция в historical/empirical channel не определена без bridge. Поэтому попытка повышения возвращает ABSTAIN-STATUS. □</w:t>
      </w:r>
    </w:p>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HERM-MODEL + no bridge ⇒ ABSTAIN-STATUS</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T4-F120</w:t>
              <w:br/>
              <w:t>STATUS THEOREM</w:t>
            </w:r>
          </w:p>
        </w:tc>
        <w:trPr>
          <w:trHeight w:hRule="atLeast"/>
          <w:tblHeader/>
        </w:trPr>
      </w:tr>
    </w:tbl>
    <w:tbl>
      <w:tblPr>
        <w:tblStyle w:val="TableGrid"/>
        <w:tblW w:type="auto" w:w="0"/>
        <w:jc w:val="center"/>
        <w:tblLook w:firstColumn="1" w:firstRow="1" w:lastColumn="0" w:lastRow="0" w:noHBand="0" w:noVBand="1" w:val="04A0"/>
      </w:tblPr>
      <w:tblGrid>
        <w:gridCol w:w="9865"/>
      </w:tblGrid>
      <w:tr>
        <w:tc>
          <w:tcPr>
            <w:tcW w:type="dxa" w:w="9865"/>
            <w:shd w:fill="EAF5EF"/>
            <w:tcMar>
              <w:top w:w="90" w:type="dxa"/>
              <w:start w:w="100" w:type="dxa"/>
              <w:bottom w:w="90" w:type="dxa"/>
              <w:end w:w="100" w:type="dxa"/>
            </w:tcMar>
            <w:vAlign w:val="center"/>
          </w:tcPr>
          <w:p>
            <w:pPr>
              <w:widowControl/>
              <w:spacing w:after="0"/>
            </w:pPr>
            <w:r>
              <w:rPr>
                <w:rFonts w:ascii="DejaVu Sans" w:hAnsi="DejaVu Sans"/>
                <w:b/>
                <w:color w:val="2F6B4F"/>
                <w:sz w:val="19"/>
              </w:rPr>
              <w:t>РЕЗУЛЬТАТ ГЛАВЫ 16.</w:t>
            </w:r>
            <w:r>
              <w:rPr>
                <w:b/>
                <w:color w:val="9B2D30"/>
                <w:sz w:val="18"/>
              </w:rPr>
              <w:t xml:space="preserve">  [HERMENEUTIC CORE ACCEPTED]</w:t>
            </w:r>
          </w:p>
          <w:p>
            <w:pPr>
              <w:widowControl/>
              <w:spacing w:after="0" w:line="259" w:lineRule="auto"/>
            </w:pPr>
            <w:r>
              <w:rPr>
                <w:rFonts w:ascii="DejaVu Serif" w:hAnsi="DejaVu Serif"/>
                <w:sz w:val="18"/>
              </w:rPr>
              <w:t>«Загадка Еноха» сохранена в философской силе, но отделена от текстологии, истории и физики. Складка RPLD, точка p∞ и переход χ стали явными частичными объектами. Неподтверждённые тезисы не удалены: они превращены в гипотезы и блокеры, что соответствует общей доказательной дисциплине KLT-RBD.</w:t>
            </w:r>
          </w:p>
        </w:tc>
        <w:trPr>
          <w:trHeight w:hRule="atLeast"/>
          <w:tblHeader/>
        </w:trPr>
      </w:tr>
    </w:tbl>
    <w:p>
      <w:pPr>
        <w:pStyle w:val="Heading2"/>
        <w:keepNext/>
        <w:widowControl/>
      </w:pPr>
      <w:r>
        <w:t>16.8. Точка отката T4-RA5</w:t>
      </w:r>
    </w:p>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T4-RA5 = T4-RA4 ⊞ R-Atlas ⊞ K(A)-Feathers ⊞ SupportFactorization ⊞ Trace/Consequence firewall ⊞ DaemonGap ⊞ Enoch-Hermeneutic gates</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T4-F121</w:t>
              <w:br/>
              <w:t>ROLLBACK DEF</w:t>
            </w:r>
          </w:p>
        </w:tc>
        <w:trPr>
          <w:trHeight w:hRule="atLeast"/>
          <w:tblHeader/>
        </w:trPr>
      </w:tr>
    </w:tbl>
    <w:tbl>
      <w:tblPr>
        <w:tblStyle w:val="TableGrid"/>
        <w:tblW w:type="auto" w:w="0"/>
        <w:jc w:val="center"/>
        <w:tblLayout w:type="fixed"/>
        <w:tblLook w:firstColumn="1" w:firstRow="1" w:lastColumn="0" w:lastRow="0" w:noHBand="0" w:noVBand="1" w:val="04A0"/>
      </w:tblPr>
      <w:tblGrid>
        <w:gridCol w:w="7483"/>
        <w:gridCol w:w="1814"/>
      </w:tblGrid>
      <w:tr>
        <w:tc>
          <w:tcPr>
            <w:tcW w:type="dxa" w:w="493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8"/>
              </w:rPr>
              <w:t>truth_layer_promotion=0; culture ranking=forbidden; HERM≠HIST≠EMP</w:t>
            </w:r>
          </w:p>
        </w:tc>
        <w:tc>
          <w:tcPr>
            <w:tcW w:type="dxa" w:w="4932"/>
            <w:vAlign w:val="center"/>
            <w:tcMar>
              <w:top w:w="90" w:type="dxa"/>
              <w:start w:w="100" w:type="dxa"/>
              <w:bottom w:w="90" w:type="dxa"/>
              <w:end w:w="100" w:type="dxa"/>
            </w:tcMar>
            <w:shd w:fill="EAF0F7"/>
          </w:tcPr>
          <w:p>
            <w:pPr>
              <w:widowControl/>
              <w:spacing w:after="0" w:before="0" w:line="259" w:lineRule="auto"/>
              <w:jc w:val="center"/>
            </w:pPr>
            <w:r/>
            <w:r>
              <w:rPr>
                <w:rFonts w:ascii="DejaVu Serif" w:hAnsi="DejaVu Serif" w:eastAsia="DejaVu Serif"/>
                <w:b/>
                <w:color w:val="17345F"/>
                <w:sz w:val="16"/>
              </w:rPr>
              <w:t>T4-F122</w:t>
              <w:br/>
              <w:t>STATUS LOCK</w:t>
            </w:r>
          </w:p>
        </w:tc>
        <w:trPr>
          <w:trHeight w:hRule="atLeast"/>
          <w:tblHeader/>
        </w:trPr>
      </w:tr>
    </w:tbl>
    <w:tbl>
      <w:tblPr>
        <w:tblStyle w:val="TableGrid"/>
        <w:tblW w:type="auto" w:w="0"/>
        <w:jc w:val="center"/>
        <w:tblLook w:firstColumn="1" w:firstRow="1" w:lastColumn="0" w:lastRow="0" w:noHBand="0" w:noVBand="1" w:val="04A0"/>
      </w:tblPr>
      <w:tblGrid>
        <w:gridCol w:w="9865"/>
      </w:tblGrid>
      <w:tr>
        <w:tc>
          <w:tcPr>
            <w:tcW w:type="dxa" w:w="9865"/>
            <w:shd w:fill="FBEDEE"/>
            <w:tcMar>
              <w:top w:w="90" w:type="dxa"/>
              <w:start w:w="100" w:type="dxa"/>
              <w:bottom w:w="90" w:type="dxa"/>
              <w:end w:w="100" w:type="dxa"/>
            </w:tcMar>
            <w:vAlign w:val="center"/>
          </w:tcPr>
          <w:p>
            <w:pPr>
              <w:widowControl/>
              <w:spacing w:after="0"/>
            </w:pPr>
            <w:r>
              <w:rPr>
                <w:rFonts w:ascii="DejaVu Sans" w:hAnsi="DejaVu Sans"/>
                <w:b/>
                <w:color w:val="9B2D30"/>
                <w:sz w:val="19"/>
              </w:rPr>
              <w:t>ROLLBACK RULE T4-RA5.</w:t>
            </w:r>
            <w:r>
              <w:rPr>
                <w:b/>
                <w:color w:val="9B2D30"/>
                <w:sz w:val="18"/>
              </w:rPr>
              <w:t xml:space="preserve">  [MANDATORY]</w:t>
            </w:r>
          </w:p>
          <w:p>
            <w:pPr>
              <w:widowControl/>
              <w:spacing w:after="0" w:line="259" w:lineRule="auto"/>
            </w:pPr>
            <w:r>
              <w:rPr>
                <w:rFonts w:ascii="DejaVu Serif" w:hAnsi="DejaVu Serif"/>
                <w:sz w:val="18"/>
              </w:rPr>
              <w:t>Откат обязателен, если последующая редакция: (1) превращает R-режимы в шкалу достоинства народов; (2) объявляет K(A) физическим полем без адаптера; (3) выводит причину из неинъективного следа; (4) превращает gap-node в сущность; (5) использует неканонический «демон Галилея» без авторской метки; (6) выдаёт Еноха, Моисея, Канта или Христа за доказанные исторические переключатели R; (7) объявляет χ или Melichron определёнными без Dom/D.</w:t>
            </w:r>
          </w:p>
        </w:tc>
        <w:trPr>
          <w:trHeight w:hRule="atLeast"/>
          <w:tblHeader/>
        </w:trPr>
      </w:tr>
    </w:tbl>
    <w:p>
      <w:pPr>
        <w:pStyle w:val="Heading1"/>
        <w:keepNext/>
        <w:pageBreakBefore/>
        <w:widowControl/>
      </w:pPr>
      <w:r>
        <w:t>ЧАСТЬ V. ТВОРЧЕСКОЕ ПОЗНАНИЕ, РАЗРЫВЫ И ВНЕШНЯЯ ПАМЯТЬ</w:t>
      </w:r>
    </w:p>
    <w:p>
      <w:pPr>
        <w:pStyle w:val="Heading1"/>
        <w:keepNext/>
        <w:widowControl/>
      </w:pPr>
      <w:r>
        <w:t>Глава 17. Открытие, изобретение и математическое видение</w:t>
      </w:r>
    </w:p>
    <w:tbl>
      <w:tblPr>
        <w:tblW w:type="auto" w:w="0"/>
        <w:jc w:val="center"/>
        <w:tblLayout w:type="fixed"/>
        <w:tblLook w:firstColumn="1" w:firstRow="1" w:lastColumn="0" w:lastRow="0" w:noHBand="0" w:noVBand="1" w:val="04A0"/>
      </w:tblPr>
      <w:tblGrid>
        <w:gridCol w:w="9432"/>
      </w:tblGrid>
      <w:tr>
        <w:trPr>
          <w:cantSplit w:val="true"/>
          <w:trHeight w:hRule="atLeast"/>
        </w:trPr>
        <w:tc>
          <w:tcPr>
            <w:tcW w:type="dxa" w:w="9432"/>
            <w:vAlign w:val="center"/>
            <w:shd w:fill="FBF5E8" w:val="clear"/>
            <w:tcBorders>
              <w:top w:val="single" w:sz="12" w:color="A87B20"/>
              <w:left w:val="single" w:sz="12" w:color="A87B20"/>
              <w:bottom w:val="single" w:sz="12" w:color="A87B20"/>
              <w:right w:val="single" w:sz="12" w:color="A87B20"/>
            </w:tcBorders>
            <w:tcMar>
              <w:top w:w="90" w:type="dxa"/>
              <w:start w:w="100" w:type="dxa"/>
              <w:bottom w:w="90" w:type="dxa"/>
              <w:end w:w="100" w:type="dxa"/>
            </w:tcMar>
          </w:tcPr>
          <w:p>
            <w:pPr>
              <w:widowControl/>
              <w:spacing w:after="40"/>
            </w:pPr>
            <w:r/>
            <w:r>
              <w:rPr>
                <w:rFonts w:ascii="DejaVu Sans" w:hAnsi="DejaVu Sans" w:eastAsia="DejaVu Sans"/>
                <w:b/>
                <w:i w:val="0"/>
                <w:color w:val="A87B20"/>
                <w:sz w:val="21"/>
              </w:rPr>
              <w:t>ФИЛОСОФСКИЙ ПРОЛОГ</w:t>
            </w:r>
          </w:p>
          <w:p>
            <w:pPr>
              <w:widowControl/>
              <w:spacing w:line="259" w:lineRule="auto" w:after="0"/>
            </w:pPr>
            <w:r>
              <w:rPr>
                <w:rFonts w:ascii="DejaVu Serif" w:hAnsi="DejaVu Serif" w:eastAsia="DejaVu Serif"/>
                <w:b w:val="0"/>
                <w:i/>
                <w:color w:val="1A2433"/>
                <w:sz w:val="20"/>
              </w:rPr>
              <w:t>Математик переживает истину двойственно. С одной стороны, найденное кажется существовавшим до него: доказательство обнаруживает необходимость, которую нельзя отменить личным желанием. С другой стороны, математик создаёт язык, знак, диаграмму и операцию, без которых эта необходимость не могла бы войти в человеческий мир. Поэтому спор «открывается ли математика или изобретается» нельзя разрешить одним метафизическим словом. Требуется различить среду, объект, акт видения, конструкцию и доказательство.</w:t>
            </w:r>
          </w:p>
        </w:tc>
      </w:tr>
    </w:tbl>
    <w:tbl>
      <w:tblPr>
        <w:tblW w:type="auto" w:w="0"/>
        <w:jc w:val="center"/>
        <w:tblLayout w:type="fixed"/>
        <w:tblLook w:firstColumn="1" w:firstRow="1" w:lastColumn="0" w:lastRow="0" w:noHBand="0" w:noVBand="1" w:val="04A0"/>
      </w:tblPr>
      <w:tblGrid>
        <w:gridCol w:w="4932"/>
        <w:gridCol w:w="4932"/>
      </w:tblGrid>
      <w:tr>
        <w:trPr>
          <w:trHeight w:hRule="atLeast"/>
          <w:tblHeader w:val="true"/>
        </w:trPr>
        <w:tc>
          <w:tcPr>
            <w:tcW w:type="dxa" w:w="1872"/>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7"/>
              </w:rPr>
              <w:t>Слой</w:t>
            </w:r>
          </w:p>
        </w:tc>
        <w:tc>
          <w:tcPr>
            <w:tcW w:type="dxa" w:w="7488"/>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7"/>
              </w:rPr>
              <w:t>Формулировка</w:t>
            </w:r>
          </w:p>
        </w:tc>
      </w:tr>
      <w:tr>
        <w:trPr>
          <w:trHeight w:hRule="atLeast"/>
        </w:trPr>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7"/>
              </w:rPr>
              <w:t>ОНТОЛОГИЯ</w:t>
            </w:r>
          </w:p>
        </w:tc>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7"/>
              </w:rPr>
              <w:t>В модели существуют формальные среды, допустимые объекты, операции перехода и Reper-узлы знания.</w:t>
            </w:r>
          </w:p>
        </w:tc>
      </w:tr>
      <w:tr>
        <w:trPr>
          <w:trHeight w:hRule="atLeast"/>
        </w:trPr>
        <w:tc>
          <w:tcPr>
            <w:tcW w:type="dxa" w:w="493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7"/>
              </w:rPr>
              <w:t>ГНОСЕОЛОГИЯ</w:t>
            </w:r>
          </w:p>
        </w:tc>
        <w:tc>
          <w:tcPr>
            <w:tcW w:type="dxa" w:w="493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7"/>
              </w:rPr>
              <w:t>Знание возникает лишь после отделения proposal от proof и фиксации достаточного основания D.</w:t>
            </w:r>
          </w:p>
        </w:tc>
      </w:tr>
      <w:tr>
        <w:trPr>
          <w:trHeight w:hRule="atLeast"/>
        </w:trPr>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7"/>
              </w:rPr>
              <w:t>ФЕНОМЕНОЛОГИЯ</w:t>
            </w:r>
          </w:p>
        </w:tc>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7"/>
              </w:rPr>
              <w:t>Открытие переживается как узнавание инварианта; изобретение — как разворот языка; видение — как предварительное схватывание целого.</w:t>
            </w:r>
          </w:p>
        </w:tc>
      </w:tr>
      <w:tr>
        <w:trPr>
          <w:trHeight w:hRule="atLeast"/>
        </w:trPr>
        <w:tc>
          <w:tcPr>
            <w:tcW w:type="dxa" w:w="493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7"/>
              </w:rPr>
              <w:t>ОГРАНИЧЕНИЕ</w:t>
            </w:r>
          </w:p>
        </w:tc>
        <w:tc>
          <w:tcPr>
            <w:tcW w:type="dxa" w:w="493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7"/>
              </w:rPr>
              <w:t>Модель не решает окончательно спор платонизма и конструктивизма и не превращает интуицию в теорему.</w:t>
            </w:r>
          </w:p>
        </w:tc>
      </w:tr>
      <w:tr>
        <w:trPr>
          <w:trHeight w:hRule="atLeast"/>
        </w:trPr>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7"/>
              </w:rPr>
              <w:t>АВТОРСКАЯ НОВИЗНА</w:t>
            </w:r>
          </w:p>
        </w:tc>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7"/>
              </w:rPr>
              <w:t>KLT связывает открытие, изобретение и видение с Reper, Δ/Ξ/Υ, D/Dom и нескалярным статусом.</w:t>
            </w:r>
          </w:p>
        </w:tc>
      </w:tr>
    </w:tbl>
    <w:p>
      <w:pPr>
        <w:pStyle w:val="Heading2"/>
        <w:keepNext/>
        <w:widowControl/>
      </w:pPr>
      <w:r>
        <w:t>17.1. Формальная среда как условие различения</w:t>
      </w:r>
    </w:p>
    <w:p>
      <w:pPr>
        <w:keepNext w:val="0"/>
        <w:widowControl/>
        <w:spacing w:after="80" w:line="269" w:lineRule="auto"/>
      </w:pPr>
      <w:r>
        <w:rPr>
          <w:rFonts w:ascii="DejaVu Serif" w:hAnsi="DejaVu Serif" w:eastAsia="DejaVu Serif"/>
          <w:b w:val="0"/>
          <w:i w:val="0"/>
          <w:color w:val="1A2433"/>
          <w:sz w:val="21"/>
        </w:rPr>
        <w:t>Операционное различение начинается с явной фиксации формальной среды. Без неё фраза «объект уже существовал» остаётся неопределённой: неясно, в каком языке, при каких аксиомах, правилах построения, допусках и доказательных основаниях он считался допустимым. Среда не является всей математической реальностью; это версионированный горизонт, внутри которого можно проверять утверждения.</w:t>
      </w:r>
    </w:p>
    <w:tbl>
      <w:tblPr>
        <w:tblW w:type="auto" w:w="0"/>
        <w:jc w:val="center"/>
        <w:tblLayout w:type="fixed"/>
        <w:tblLook w:firstColumn="1" w:firstRow="1" w:lastColumn="0" w:lastRow="0" w:noHBand="0" w:noVBand="1" w:val="04A0"/>
      </w:tblPr>
      <w:tblGrid>
        <w:gridCol w:w="4932"/>
        <w:gridCol w:w="4932"/>
      </w:tblGrid>
      <w:tr>
        <w:trPr>
          <w:trHeight w:hRule="atLeast"/>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E = (Σ, Ax, Rules, Dom, D, Prov, σ)</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T4-F123</w:t>
              <w:br/>
              <w:t>AUTHORIAL DEF</w:t>
            </w:r>
          </w:p>
        </w:tc>
      </w:tr>
    </w:tbl>
    <w:p>
      <w:pPr>
        <w:keepNext w:val="0"/>
        <w:widowControl/>
        <w:spacing w:after="80" w:line="269" w:lineRule="auto"/>
      </w:pPr>
      <w:r>
        <w:rPr>
          <w:rFonts w:ascii="DejaVu Serif" w:hAnsi="DejaVu Serif" w:eastAsia="DejaVu Serif"/>
          <w:b w:val="0"/>
          <w:i w:val="0"/>
          <w:color w:val="1A2433"/>
          <w:sz w:val="21"/>
        </w:rPr>
        <w:t>Здесь Σ — сигнатура, Ax — аксиомы, Rules — правила вывода и построения, Dom — область допустимости, D — достаточное основание, Prov — происхождение версий и σ — статусный вектор. Множество решений некоторой задачи P внутри E обозначается Sol_E(P).</w:t>
      </w:r>
    </w:p>
    <w:tbl>
      <w:tblPr>
        <w:tblW w:type="auto" w:w="0"/>
        <w:jc w:val="center"/>
        <w:tblLayout w:type="fixed"/>
        <w:tblLook w:firstColumn="1" w:firstRow="1" w:lastColumn="0" w:lastRow="0" w:noHBand="0" w:noVBand="1" w:val="04A0"/>
      </w:tblPr>
      <w:tblGrid>
        <w:gridCol w:w="4932"/>
        <w:gridCol w:w="4932"/>
      </w:tblGrid>
      <w:tr>
        <w:trPr>
          <w:trHeight w:hRule="atLeast"/>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Sol_E(P) = {x ∈ Obj(E) | P_E(x)=true and all gates closed}</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T4-F124</w:t>
              <w:br/>
              <w:t>DEF/COND</w:t>
            </w:r>
          </w:p>
        </w:tc>
      </w:tr>
    </w:tbl>
    <w:p>
      <w:pPr>
        <w:widowControl/>
        <w:spacing w:after="40"/>
        <w:jc w:val="center"/>
      </w:pPr>
      <w:r>
        <w:drawing>
          <wp:inline xmlns:a="http://schemas.openxmlformats.org/drawingml/2006/main" xmlns:pic="http://schemas.openxmlformats.org/drawingml/2006/picture">
            <wp:extent cx="5715000" cy="3989558"/>
            <wp:docPr id="17" name="Picture 17" descr="Диаграмма различает фиксированную формальную среду, поле кандидатов, изменённую среду, операции открытия, видения и изобретения, сходящиеся к Reper знания." title="Рисунок 17. Открытие, изобретение и математическое видение в Reper-архитектуре знания."/>
            <wp:cNvGraphicFramePr>
              <a:graphicFrameLocks noChangeAspect="1"/>
            </wp:cNvGraphicFramePr>
            <a:graphic>
              <a:graphicData uri="http://schemas.openxmlformats.org/drawingml/2006/picture">
                <pic:pic>
                  <pic:nvPicPr>
                    <pic:cNvPr id="0" name="fig17_discovery_invention.png"/>
                    <pic:cNvPicPr/>
                  </pic:nvPicPr>
                  <pic:blipFill>
                    <a:blip r:embed="rId31"/>
                    <a:stretch>
                      <a:fillRect/>
                    </a:stretch>
                  </pic:blipFill>
                  <pic:spPr>
                    <a:xfrm>
                      <a:off x="0" y="0"/>
                      <a:ext cx="5715000" cy="3989558"/>
                    </a:xfrm>
                    <a:prstGeom prst="rect"/>
                  </pic:spPr>
                </pic:pic>
              </a:graphicData>
            </a:graphic>
          </wp:inline>
        </w:drawing>
      </w:r>
    </w:p>
    <w:p>
      <w:pPr>
        <w:pStyle w:val="Caption"/>
        <w:keepLines/>
        <w:widowControl/>
        <w:spacing w:after="120"/>
        <w:jc w:val="center"/>
      </w:pPr>
      <w:r>
        <w:rPr>
          <w:rFonts w:ascii="DejaVu Serif" w:hAnsi="DejaVu Serif" w:eastAsia="DejaVu Serif"/>
          <w:b/>
          <w:i w:val="0"/>
          <w:color w:val="4F81BD"/>
          <w:sz w:val="18"/>
        </w:rPr>
        <w:t>Рисунок 17. Открытие, изобретение и математическое видение в Reper-архитектуре знания.</w:t>
      </w:r>
    </w:p>
    <w:p>
      <w:pPr>
        <w:pStyle w:val="Heading2"/>
        <w:keepNext/>
        <w:widowControl/>
      </w:pPr>
      <w:r>
        <w:t>17.2. Открытие и изобретение как разные типы операций</w:t>
      </w:r>
    </w:p>
    <w:tbl>
      <w:tblPr>
        <w:tblW w:type="auto" w:w="0"/>
        <w:jc w:val="center"/>
        <w:tblLayout w:type="fixed"/>
        <w:tblLook w:firstColumn="1" w:firstRow="1" w:lastColumn="0" w:lastRow="0" w:noHBand="0" w:noVBand="1" w:val="04A0"/>
      </w:tblPr>
      <w:tblGrid>
        <w:gridCol w:w="4932"/>
        <w:gridCol w:w="4932"/>
      </w:tblGrid>
      <w:tr>
        <w:trPr>
          <w:trHeight w:hRule="atLeast"/>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Disc_E : Trace_E ⇀ Sol_E(P)</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T4-F125</w:t>
              <w:br/>
              <w:t>AUTHORIAL DEF</w:t>
            </w:r>
          </w:p>
        </w:tc>
      </w:tr>
    </w:tbl>
    <w:tbl>
      <w:tblPr>
        <w:tblW w:type="auto" w:w="0"/>
        <w:jc w:val="center"/>
        <w:tblLayout w:type="fixed"/>
        <w:tblLook w:firstColumn="1" w:firstRow="1" w:lastColumn="0" w:lastRow="0" w:noHBand="0" w:noVBand="1" w:val="04A0"/>
      </w:tblPr>
      <w:tblGrid>
        <w:gridCol w:w="4932"/>
        <w:gridCol w:w="4932"/>
      </w:tblGrid>
      <w:tr>
        <w:trPr>
          <w:trHeight w:hRule="atLeast"/>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Inv : E ⇀ E′,   E′ ≠ E by signature, rule, representation or admissible operation</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T4-F126</w:t>
              <w:br/>
              <w:t>AUTHORIAL DEF</w:t>
            </w:r>
          </w:p>
        </w:tc>
      </w:tr>
    </w:tbl>
    <w:tbl>
      <w:tblPr>
        <w:tblW w:type="auto" w:w="0"/>
        <w:jc w:val="center"/>
        <w:tblLayout w:type="fixed"/>
        <w:tblLook w:firstColumn="1" w:firstRow="1" w:lastColumn="0" w:lastRow="0" w:noHBand="0" w:noVBand="1" w:val="04A0"/>
      </w:tblPr>
      <w:tblGrid>
        <w:gridCol w:w="9432"/>
      </w:tblGrid>
      <w:tr>
        <w:trPr>
          <w:cantSplit w:val="true"/>
          <w:trHeight w:hRule="atLeast"/>
        </w:trPr>
        <w:tc>
          <w:tcPr>
            <w:tcW w:type="dxa" w:w="9432"/>
            <w:vAlign w:val="center"/>
            <w:shd w:fill="EDF7EF" w:val="clear"/>
            <w:tcBorders>
              <w:top w:val="single" w:sz="12" w:color="3F7D5B"/>
              <w:left w:val="single" w:sz="12" w:color="3F7D5B"/>
              <w:bottom w:val="single" w:sz="12" w:color="3F7D5B"/>
              <w:right w:val="single" w:sz="12" w:color="3F7D5B"/>
            </w:tcBorders>
            <w:tcMar>
              <w:top w:w="90" w:type="dxa"/>
              <w:start w:w="100" w:type="dxa"/>
              <w:bottom w:w="90" w:type="dxa"/>
              <w:end w:w="100" w:type="dxa"/>
            </w:tcMar>
          </w:tcPr>
          <w:p>
            <w:pPr>
              <w:widowControl/>
              <w:spacing w:after="40"/>
            </w:pPr>
            <w:r/>
            <w:r>
              <w:rPr>
                <w:rFonts w:ascii="DejaVu Sans" w:hAnsi="DejaVu Sans" w:eastAsia="DejaVu Sans"/>
                <w:b/>
                <w:i w:val="0"/>
                <w:color w:val="3F7D5B"/>
                <w:sz w:val="21"/>
              </w:rPr>
              <w:t>ТЕОРЕМА T4.17.1 — ОПЕРАЦИОННОЕ РАЗЛИЧЕНИЕ</w:t>
            </w:r>
          </w:p>
          <w:p>
            <w:pPr>
              <w:widowControl/>
              <w:spacing w:line="259" w:lineRule="auto" w:after="0"/>
            </w:pPr>
            <w:r>
              <w:rPr>
                <w:rFonts w:ascii="DejaVu Serif" w:hAnsi="DejaVu Serif" w:eastAsia="DejaVu Serif"/>
                <w:b w:val="0"/>
                <w:i w:val="0"/>
                <w:color w:val="1A2433"/>
                <w:sz w:val="20"/>
              </w:rPr>
              <w:t>Пусть среда E зафиксирована до акта исследователя. Если объект x уже принадлежит Sol_E(P), а акт лишь строит проверяемый путь к x без изменения Σ, Ax, Rules и Dom, то акт классифицируется как открытие относительно E. Если акт изменяет хотя бы один структурный компонент среды и объект становится допустимым только в E′, то акт содержит изобретение относительно E. Один исторический эпизод может включать обе операции.</w:t>
            </w:r>
          </w:p>
        </w:tc>
      </w:tr>
    </w:tbl>
    <w:p>
      <w:pPr>
        <w:keepNext w:val="0"/>
        <w:widowControl/>
        <w:spacing w:after="80" w:line="269" w:lineRule="auto"/>
      </w:pPr>
      <w:r>
        <w:rPr>
          <w:rFonts w:ascii="DejaVu Serif" w:hAnsi="DejaVu Serif" w:eastAsia="DejaVu Serif"/>
          <w:b w:val="0"/>
          <w:i w:val="0"/>
          <w:color w:val="1A2433"/>
          <w:sz w:val="21"/>
        </w:rPr>
        <w:t>Доказательство. В первом случае принадлежность x множеству допустимых решений не зависит от изменения среды: исследователь создаёт trace и proof object, но не саму допустимость x. Во втором случае без перехода E→E′ объект либо не типизирован, либо невыразим, либо не допускается правилами построения. Следовательно, различие определяется относительно версии среды. Теорема операционна и не утверждает, что математические объекты метафизически существуют независимо от человека. □</w:t>
      </w:r>
    </w:p>
    <w:p>
      <w:pPr>
        <w:keepNext w:val="0"/>
        <w:widowControl/>
        <w:spacing w:after="80" w:line="269" w:lineRule="auto"/>
      </w:pPr>
      <w:r>
        <w:rPr>
          <w:rFonts w:ascii="DejaVu Serif" w:hAnsi="DejaVu Serif" w:eastAsia="DejaVu Serif"/>
          <w:b w:val="0"/>
          <w:i w:val="0"/>
          <w:color w:val="1A2433"/>
          <w:sz w:val="21"/>
        </w:rPr>
        <w:t>Философское значение теоремы состоит в снятии ложной альтернативы. Платоническое переживание необходимости и конструктивная работа со знаками относятся к разным слоям одного события@состояния знания. Необходимость проявляется как устойчивость инварианта; человеческое созидание — как построение маршрута, языка и общественного носителя этой устойчивости.</w:t>
      </w:r>
    </w:p>
    <w:p>
      <w:pPr>
        <w:pStyle w:val="Heading2"/>
        <w:keepNext/>
        <w:widowControl/>
      </w:pPr>
      <w:r>
        <w:t>17.3. Математическое видение как proposal-оператор</w:t>
      </w:r>
    </w:p>
    <w:tbl>
      <w:tblPr>
        <w:tblW w:type="auto" w:w="0"/>
        <w:jc w:val="center"/>
        <w:tblLayout w:type="fixed"/>
        <w:tblLook w:firstColumn="1" w:firstRow="1" w:lastColumn="0" w:lastRow="0" w:noHBand="0" w:noVBand="1" w:val="04A0"/>
      </w:tblPr>
      <w:tblGrid>
        <w:gridCol w:w="4932"/>
        <w:gridCol w:w="4932"/>
      </w:tblGrid>
      <w:tr>
        <w:trPr>
          <w:trHeight w:hRule="atLeast"/>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Vis_h : (H_h, M_h, U(E)) ⇀ Conj(E)</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T4-F127</w:t>
              <w:br/>
              <w:t>AUTHORIAL MODEL</w:t>
            </w:r>
          </w:p>
        </w:tc>
      </w:tr>
    </w:tbl>
    <w:tbl>
      <w:tblPr>
        <w:tblW w:type="auto" w:w="0"/>
        <w:jc w:val="center"/>
        <w:tblLayout w:type="fixed"/>
        <w:tblLook w:firstColumn="1" w:firstRow="1" w:lastColumn="0" w:lastRow="0" w:noHBand="0" w:noVBand="1" w:val="04A0"/>
      </w:tblPr>
      <w:tblGrid>
        <w:gridCol w:w="4932"/>
        <w:gridCol w:w="4932"/>
      </w:tblGrid>
      <w:tr>
        <w:trPr>
          <w:trHeight w:hRule="atLeast"/>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σ(Vis_h(...)) ⪯ CONJ  until  Gate_proof = CLOSED</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T4-F128</w:t>
              <w:br/>
              <w:t>STATUS LOCK</w:t>
            </w:r>
          </w:p>
        </w:tc>
      </w:tr>
    </w:tbl>
    <w:p>
      <w:pPr>
        <w:keepNext w:val="0"/>
        <w:widowControl/>
        <w:spacing w:after="80" w:line="269" w:lineRule="auto"/>
      </w:pPr>
      <w:r>
        <w:rPr>
          <w:rFonts w:ascii="DejaVu Serif" w:hAnsi="DejaVu Serif" w:eastAsia="DejaVu Serif"/>
          <w:b w:val="0"/>
          <w:i w:val="0"/>
          <w:color w:val="1A2433"/>
          <w:sz w:val="21"/>
        </w:rPr>
        <w:t>Математическое видение определяется не как сверхъестественная способность, а как частичный оператор, который из горизонта задачи H_h, памяти методов M_h и поля возможностей U(E) выдаёт кандидат-инвариант, диаграмму или направление доказательства. Его феноменологическая сила состоит в схватывании структуры до полного дискурсивного развёртывания. Его гносеологическая слабость — в отсутствии гарантии истинности.</w:t>
      </w:r>
    </w:p>
    <w:tbl>
      <w:tblPr>
        <w:tblW w:type="auto" w:w="0"/>
        <w:jc w:val="center"/>
        <w:tblLayout w:type="fixed"/>
        <w:tblLook w:firstColumn="1" w:firstRow="1" w:lastColumn="0" w:lastRow="0" w:noHBand="0" w:noVBand="1" w:val="04A0"/>
      </w:tblPr>
      <w:tblGrid>
        <w:gridCol w:w="9432"/>
      </w:tblGrid>
      <w:tr>
        <w:trPr>
          <w:cantSplit w:val="true"/>
          <w:trHeight w:hRule="atLeast"/>
        </w:trPr>
        <w:tc>
          <w:tcPr>
            <w:tcW w:type="dxa" w:w="9432"/>
            <w:vAlign w:val="center"/>
            <w:shd w:fill="EDF7EF" w:val="clear"/>
            <w:tcBorders>
              <w:top w:val="single" w:sz="12" w:color="3F7D5B"/>
              <w:left w:val="single" w:sz="12" w:color="3F7D5B"/>
              <w:bottom w:val="single" w:sz="12" w:color="3F7D5B"/>
              <w:right w:val="single" w:sz="12" w:color="3F7D5B"/>
            </w:tcBorders>
            <w:tcMar>
              <w:top w:w="90" w:type="dxa"/>
              <w:start w:w="100" w:type="dxa"/>
              <w:bottom w:w="90" w:type="dxa"/>
              <w:end w:w="100" w:type="dxa"/>
            </w:tcMar>
          </w:tcPr>
          <w:p>
            <w:pPr>
              <w:widowControl/>
              <w:spacing w:after="40"/>
            </w:pPr>
            <w:r/>
            <w:r>
              <w:rPr>
                <w:rFonts w:ascii="DejaVu Sans" w:hAnsi="DejaVu Sans" w:eastAsia="DejaVu Sans"/>
                <w:b/>
                <w:i w:val="0"/>
                <w:color w:val="3F7D5B"/>
                <w:sz w:val="21"/>
              </w:rPr>
              <w:t>ТЕОРЕМА T4.17.2 — ВИДЕНИЕ НЕ АВТОРИЗУЕТ ИСТИНУ</w:t>
            </w:r>
          </w:p>
          <w:p>
            <w:pPr>
              <w:widowControl/>
              <w:spacing w:line="259" w:lineRule="auto" w:after="0"/>
            </w:pPr>
            <w:r>
              <w:rPr>
                <w:rFonts w:ascii="DejaVu Serif" w:hAnsi="DejaVu Serif" w:eastAsia="DejaVu Serif"/>
                <w:b w:val="0"/>
                <w:i w:val="0"/>
                <w:color w:val="1A2433"/>
                <w:sz w:val="20"/>
              </w:rPr>
              <w:t>Если Vis_h выдаёт кандидат q, но отсутствует независимый proof object с закрытыми Dom и D, то статус q не может быть выше CONJ/MODEL. Ни интенсивность переживания, ни авторитет исследователя, ни красота формулы не заменяют доказательный шлюз.</w:t>
            </w:r>
          </w:p>
        </w:tc>
      </w:tr>
    </w:tbl>
    <w:p>
      <w:pPr>
        <w:keepNext w:val="0"/>
        <w:widowControl/>
        <w:spacing w:after="80" w:line="269" w:lineRule="auto"/>
      </w:pPr>
      <w:r>
        <w:rPr>
          <w:rFonts w:ascii="DejaVu Serif" w:hAnsi="DejaVu Serif" w:eastAsia="DejaVu Serif"/>
          <w:b w:val="0"/>
          <w:i w:val="0"/>
          <w:color w:val="1A2433"/>
          <w:sz w:val="21"/>
        </w:rPr>
        <w:t>Доказательство следует из status-preserving rule: proposal и proof принадлежат разным типам данных. Проекция proposal→THM не определена без proof bridge. Поэтому корректный результат — CONJ либо ABSTAIN-PROOF. □</w:t>
      </w:r>
    </w:p>
    <w:p>
      <w:pPr>
        <w:pStyle w:val="Heading2"/>
        <w:keepNext/>
        <w:widowControl/>
      </w:pPr>
      <w:r>
        <w:t>17.4. Диалог с философией математики</w:t>
      </w:r>
    </w:p>
    <w:tbl>
      <w:tblPr>
        <w:tblW w:type="auto" w:w="0"/>
        <w:jc w:val="center"/>
        <w:tblLayout w:type="fixed"/>
        <w:tblLook w:firstColumn="1" w:firstRow="1" w:lastColumn="0" w:lastRow="0" w:noHBand="0" w:noVBand="1" w:val="04A0"/>
      </w:tblPr>
      <w:tblGrid>
        <w:gridCol w:w="3288"/>
        <w:gridCol w:w="3288"/>
        <w:gridCol w:w="3288"/>
      </w:tblGrid>
      <w:tr>
        <w:trPr>
          <w:trHeight w:hRule="atLeast"/>
          <w:tblHeader w:val="true"/>
        </w:trPr>
        <w:tc>
          <w:tcPr>
            <w:tcW w:type="dxa" w:w="1872"/>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Линия</w:t>
            </w:r>
          </w:p>
        </w:tc>
        <w:tc>
          <w:tcPr>
            <w:tcW w:type="dxa" w:w="3816"/>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Что она проясняет</w:t>
            </w:r>
          </w:p>
        </w:tc>
        <w:tc>
          <w:tcPr>
            <w:tcW w:type="dxa" w:w="3672"/>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KLT-перевод</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Платон</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Истина переживается как припоминание и узнавание того, что превосходит частный акт.</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Disc_E и устойчивость инварианта; без утверждения обязательного платонизма.</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Аристотель</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Доказательство требует начал, типов причин и правил перехода.</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D, Dom, proof object и различение основания от следствия.</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Кант</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Продуктивное воображение и способность суждения связывают данное с формой.</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Vis_h как предварительный синтез; gate не позволяет ему стать теоремой автоматически.</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Пирс</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Абдукция предлагает объясняющую гипотезу.</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proposal-узел и последующая проверка в RBD.</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Пуанкаре и Адамар</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Созревание, бессознательная комбинация и эстетический отбор участвуют в изобретении.</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Поле U(E), память методов и отбор кандидатов.</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Полани</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Знаем больше, чем можем сразу высказать.</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Неявный горизонт H_h, который должен быть преобразован в публичный D.</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Курпишев</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Новый узел знания есть разворот поля возможностей в Reper с доказательным основанием.</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C@C_knowledge→Rep(R,I,U;D)→status→RBD.</w:t>
            </w:r>
          </w:p>
        </w:tc>
      </w:tr>
    </w:tbl>
    <w:p>
      <w:pPr>
        <w:pStyle w:val="Heading2"/>
        <w:keepNext/>
        <w:widowControl/>
      </w:pPr>
      <w:r>
        <w:t>17.5. Reper открытия и вектор новизны</w:t>
      </w:r>
    </w:p>
    <w:tbl>
      <w:tblPr>
        <w:tblW w:type="auto" w:w="0"/>
        <w:jc w:val="center"/>
        <w:tblLayout w:type="fixed"/>
        <w:tblLook w:firstColumn="1" w:firstRow="1" w:lastColumn="0" w:lastRow="0" w:noHBand="0" w:noVBand="1" w:val="04A0"/>
      </w:tblPr>
      <w:tblGrid>
        <w:gridCol w:w="4932"/>
        <w:gridCol w:w="4932"/>
      </w:tblGrid>
      <w:tr>
        <w:trPr>
          <w:trHeight w:hRule="atLeast"/>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Rep_disc(x) = (R_x, I_inv, U_alt ; D_proof)</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T4-F129</w:t>
              <w:br/>
              <w:t>AUTHORIAL DEF</w:t>
            </w:r>
          </w:p>
        </w:tc>
      </w:tr>
    </w:tbl>
    <w:tbl>
      <w:tblPr>
        <w:tblW w:type="auto" w:w="0"/>
        <w:jc w:val="center"/>
        <w:tblLayout w:type="fixed"/>
        <w:tblLook w:firstColumn="1" w:firstRow="1" w:lastColumn="0" w:lastRow="0" w:noHBand="0" w:noVBand="1" w:val="04A0"/>
      </w:tblPr>
      <w:tblGrid>
        <w:gridCol w:w="4932"/>
        <w:gridCol w:w="4932"/>
      </w:tblGrid>
      <w:tr>
        <w:trPr>
          <w:trHeight w:hRule="atLeast"/>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N(x) = (n_obj, n_rule, n_repr, n_proof, n_use)</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T4-F130</w:t>
              <w:br/>
              <w:t>AUTHORIAL VECTOR</w:t>
            </w:r>
          </w:p>
        </w:tc>
      </w:tr>
    </w:tbl>
    <w:p>
      <w:pPr>
        <w:keepNext w:val="0"/>
        <w:widowControl/>
        <w:spacing w:after="80" w:line="269" w:lineRule="auto"/>
      </w:pPr>
      <w:r>
        <w:rPr>
          <w:rFonts w:ascii="DejaVu Serif" w:hAnsi="DejaVu Serif" w:eastAsia="DejaVu Serif"/>
          <w:b w:val="0"/>
          <w:i w:val="0"/>
          <w:color w:val="1A2433"/>
          <w:sz w:val="21"/>
        </w:rPr>
        <w:t>Новизна не сворачивается в одно слово «новое». Формула может быть объектно старой, но доказательно новой; операция — известной, но впервые встроенной в иной тип; представление — новым, хотя теорема эквивалентна прежней. Вектор N фиксирует эти различия и препятствует переатрибуции prior art.</w:t>
      </w:r>
    </w:p>
    <w:tbl>
      <w:tblPr>
        <w:tblW w:type="auto" w:w="0"/>
        <w:jc w:val="center"/>
        <w:tblLayout w:type="fixed"/>
        <w:tblLook w:firstColumn="1" w:firstRow="1" w:lastColumn="0" w:lastRow="0" w:noHBand="0" w:noVBand="1" w:val="04A0"/>
      </w:tblPr>
      <w:tblGrid>
        <w:gridCol w:w="1973"/>
        <w:gridCol w:w="1973"/>
        <w:gridCol w:w="1973"/>
        <w:gridCol w:w="1973"/>
        <w:gridCol w:w="1973"/>
      </w:tblGrid>
      <w:tr>
        <w:trPr>
          <w:trHeight w:hRule="atLeast"/>
          <w:tblHeader w:val="true"/>
        </w:trPr>
        <w:tc>
          <w:tcPr>
            <w:tcW w:type="dxa" w:w="2520"/>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Случай</w:t>
            </w:r>
          </w:p>
        </w:tc>
        <w:tc>
          <w:tcPr>
            <w:tcW w:type="dxa" w:w="1080"/>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Disc</w:t>
            </w:r>
          </w:p>
        </w:tc>
        <w:tc>
          <w:tcPr>
            <w:tcW w:type="dxa" w:w="1224"/>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Inv</w:t>
            </w:r>
          </w:p>
        </w:tc>
        <w:tc>
          <w:tcPr>
            <w:tcW w:type="dxa" w:w="1080"/>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Vis</w:t>
            </w:r>
          </w:p>
        </w:tc>
        <w:tc>
          <w:tcPr>
            <w:tcW w:type="dxa" w:w="3384"/>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Допустимый статус</w:t>
            </w:r>
          </w:p>
        </w:tc>
      </w:tr>
      <w:tr>
        <w:trPr>
          <w:trHeight w:hRule="atLeast"/>
        </w:trPr>
        <w:tc>
          <w:tcPr>
            <w:tcW w:type="dxa" w:w="1973"/>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Найдено новое доказательство известной теоремы</w:t>
            </w:r>
          </w:p>
        </w:tc>
        <w:tc>
          <w:tcPr>
            <w:tcW w:type="dxa" w:w="1973"/>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да</w:t>
            </w:r>
          </w:p>
        </w:tc>
        <w:tc>
          <w:tcPr>
            <w:tcW w:type="dxa" w:w="1973"/>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частично: новый proof path</w:t>
            </w:r>
          </w:p>
        </w:tc>
        <w:tc>
          <w:tcPr>
            <w:tcW w:type="dxa" w:w="1973"/>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возможно</w:t>
            </w:r>
          </w:p>
        </w:tc>
        <w:tc>
          <w:tcPr>
            <w:tcW w:type="dxa" w:w="1973"/>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THM после проверки доказательства</w:t>
            </w:r>
          </w:p>
        </w:tc>
      </w:tr>
      <w:tr>
        <w:trPr>
          <w:trHeight w:hRule="atLeast"/>
        </w:trPr>
        <w:tc>
          <w:tcPr>
            <w:tcW w:type="dxa" w:w="1973"/>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Создана новая нотация для известной структуры</w:t>
            </w:r>
          </w:p>
        </w:tc>
        <w:tc>
          <w:tcPr>
            <w:tcW w:type="dxa" w:w="1973"/>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нет/частично</w:t>
            </w:r>
          </w:p>
        </w:tc>
        <w:tc>
          <w:tcPr>
            <w:tcW w:type="dxa" w:w="1973"/>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да: representation</w:t>
            </w:r>
          </w:p>
        </w:tc>
        <w:tc>
          <w:tcPr>
            <w:tcW w:type="dxa" w:w="1973"/>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возможно</w:t>
            </w:r>
          </w:p>
        </w:tc>
        <w:tc>
          <w:tcPr>
            <w:tcW w:type="dxa" w:w="1973"/>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DEF/EDITORIAL</w:t>
            </w:r>
          </w:p>
        </w:tc>
      </w:tr>
      <w:tr>
        <w:trPr>
          <w:trHeight w:hRule="atLeast"/>
        </w:trPr>
        <w:tc>
          <w:tcPr>
            <w:tcW w:type="dxa" w:w="1973"/>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Предложен новый объект без аксиом</w:t>
            </w:r>
          </w:p>
        </w:tc>
        <w:tc>
          <w:tcPr>
            <w:tcW w:type="dxa" w:w="1973"/>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нет</w:t>
            </w:r>
          </w:p>
        </w:tc>
        <w:tc>
          <w:tcPr>
            <w:tcW w:type="dxa" w:w="1973"/>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proposal</w:t>
            </w:r>
          </w:p>
        </w:tc>
        <w:tc>
          <w:tcPr>
            <w:tcW w:type="dxa" w:w="1973"/>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да</w:t>
            </w:r>
          </w:p>
        </w:tc>
        <w:tc>
          <w:tcPr>
            <w:tcW w:type="dxa" w:w="1973"/>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CONJ/OPEN</w:t>
            </w:r>
          </w:p>
        </w:tc>
      </w:tr>
      <w:tr>
        <w:trPr>
          <w:trHeight w:hRule="atLeast"/>
        </w:trPr>
        <w:tc>
          <w:tcPr>
            <w:tcW w:type="dxa" w:w="1973"/>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Создан алгоритм для ранее невычислимой на практике процедуры</w:t>
            </w:r>
          </w:p>
        </w:tc>
        <w:tc>
          <w:tcPr>
            <w:tcW w:type="dxa" w:w="1973"/>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может быть</w:t>
            </w:r>
          </w:p>
        </w:tc>
        <w:tc>
          <w:tcPr>
            <w:tcW w:type="dxa" w:w="1973"/>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да: computational environment</w:t>
            </w:r>
          </w:p>
        </w:tc>
        <w:tc>
          <w:tcPr>
            <w:tcW w:type="dxa" w:w="1973"/>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возможно</w:t>
            </w:r>
          </w:p>
        </w:tc>
        <w:tc>
          <w:tcPr>
            <w:tcW w:type="dxa" w:w="1973"/>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NUM/ALGO, не физический закон</w:t>
            </w:r>
          </w:p>
        </w:tc>
      </w:tr>
      <w:tr>
        <w:trPr>
          <w:trHeight w:hRule="atLeast"/>
        </w:trPr>
        <w:tc>
          <w:tcPr>
            <w:tcW w:type="dxa" w:w="1973"/>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Красивое совпадение на примерах</w:t>
            </w:r>
          </w:p>
        </w:tc>
        <w:tc>
          <w:tcPr>
            <w:tcW w:type="dxa" w:w="1973"/>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нет</w:t>
            </w:r>
          </w:p>
        </w:tc>
        <w:tc>
          <w:tcPr>
            <w:tcW w:type="dxa" w:w="1973"/>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нет</w:t>
            </w:r>
          </w:p>
        </w:tc>
        <w:tc>
          <w:tcPr>
            <w:tcW w:type="dxa" w:w="1973"/>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возможно</w:t>
            </w:r>
          </w:p>
        </w:tc>
        <w:tc>
          <w:tcPr>
            <w:tcW w:type="dxa" w:w="1973"/>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OBS/CONJ; запрещено THM</w:t>
            </w:r>
          </w:p>
        </w:tc>
      </w:tr>
    </w:tbl>
    <w:p>
      <w:pPr>
        <w:pStyle w:val="Heading2"/>
        <w:keepNext/>
        <w:widowControl/>
      </w:pPr>
      <w:r>
        <w:t>17.6. Контрмодели и философское следствие</w:t>
      </w:r>
    </w:p>
    <w:p>
      <w:pPr>
        <w:pStyle w:val="ListBullet"/>
        <w:widowControl/>
        <w:spacing w:after="40" w:line="259" w:lineRule="auto"/>
      </w:pPr>
      <w:r>
        <w:rPr>
          <w:rFonts w:ascii="DejaVu Serif" w:hAnsi="DejaVu Serif" w:eastAsia="DejaVu Serif"/>
          <w:b w:val="0"/>
          <w:i w:val="0"/>
          <w:color w:val="1A2433"/>
          <w:sz w:val="20"/>
        </w:rPr>
        <w:t>CM-040: vision-as-proof — сильное внутреннее убеждение объявлено доказательством.</w:t>
      </w:r>
    </w:p>
    <w:p>
      <w:pPr>
        <w:pStyle w:val="ListBullet"/>
        <w:widowControl/>
        <w:spacing w:after="40" w:line="259" w:lineRule="auto"/>
      </w:pPr>
      <w:r>
        <w:rPr>
          <w:rFonts w:ascii="DejaVu Serif" w:hAnsi="DejaVu Serif" w:eastAsia="DejaVu Serif"/>
          <w:b w:val="0"/>
          <w:i w:val="0"/>
          <w:color w:val="1A2433"/>
          <w:sz w:val="20"/>
        </w:rPr>
        <w:t>CM-041: discovery/invention collapse — изменение языка скрыто, а результат назван чистым открытием.</w:t>
      </w:r>
    </w:p>
    <w:p>
      <w:pPr>
        <w:pStyle w:val="ListBullet"/>
        <w:widowControl/>
        <w:spacing w:after="40" w:line="259" w:lineRule="auto"/>
      </w:pPr>
      <w:r>
        <w:rPr>
          <w:rFonts w:ascii="DejaVu Serif" w:hAnsi="DejaVu Serif" w:eastAsia="DejaVu Serif"/>
          <w:b w:val="0"/>
          <w:i w:val="0"/>
          <w:color w:val="1A2433"/>
          <w:sz w:val="20"/>
        </w:rPr>
        <w:t>CM-042: metaphysical smuggling — операционное существование в E выдано за окончательный ответ о бытии математических объектов.</w:t>
      </w:r>
    </w:p>
    <w:p>
      <w:pPr>
        <w:pStyle w:val="ListBullet"/>
        <w:widowControl/>
        <w:spacing w:after="40" w:line="259" w:lineRule="auto"/>
      </w:pPr>
      <w:r>
        <w:rPr>
          <w:rFonts w:ascii="DejaVu Serif" w:hAnsi="DejaVu Serif" w:eastAsia="DejaVu Serif"/>
          <w:b w:val="0"/>
          <w:i w:val="0"/>
          <w:color w:val="1A2433"/>
          <w:sz w:val="20"/>
        </w:rPr>
        <w:t>CM-043: novelty laundering — классический объект переименован и объявлен новым без вектора N и карты prior art.</w:t>
      </w:r>
    </w:p>
    <w:tbl>
      <w:tblPr>
        <w:tblW w:type="auto" w:w="0"/>
        <w:jc w:val="center"/>
        <w:tblLayout w:type="fixed"/>
        <w:tblLook w:firstColumn="1" w:firstRow="1" w:lastColumn="0" w:lastRow="0" w:noHBand="0" w:noVBand="1" w:val="04A0"/>
      </w:tblPr>
      <w:tblGrid>
        <w:gridCol w:w="9432"/>
      </w:tblGrid>
      <w:tr>
        <w:trPr>
          <w:cantSplit w:val="true"/>
          <w:trHeight w:hRule="atLeast"/>
        </w:trPr>
        <w:tc>
          <w:tcPr>
            <w:tcW w:type="dxa" w:w="9432"/>
            <w:vAlign w:val="center"/>
            <w:shd w:fill="FBF5E8" w:val="clear"/>
            <w:tcBorders>
              <w:top w:val="single" w:sz="12" w:color="A87B20"/>
              <w:left w:val="single" w:sz="12" w:color="A87B20"/>
              <w:bottom w:val="single" w:sz="12" w:color="A87B20"/>
              <w:right w:val="single" w:sz="12" w:color="A87B20"/>
            </w:tcBorders>
            <w:tcMar>
              <w:top w:w="90" w:type="dxa"/>
              <w:start w:w="100" w:type="dxa"/>
              <w:bottom w:w="90" w:type="dxa"/>
              <w:end w:w="100" w:type="dxa"/>
            </w:tcMar>
          </w:tcPr>
          <w:p>
            <w:pPr>
              <w:widowControl/>
              <w:spacing w:after="40"/>
            </w:pPr>
            <w:r/>
            <w:r>
              <w:rPr>
                <w:rFonts w:ascii="DejaVu Sans" w:hAnsi="DejaVu Sans" w:eastAsia="DejaVu Sans"/>
                <w:b/>
                <w:i w:val="0"/>
                <w:color w:val="A87B20"/>
                <w:sz w:val="21"/>
              </w:rPr>
              <w:t>ФИЛОСОФСКОЕ СЛЕДСТВИЕ ГЛАВЫ 17</w:t>
            </w:r>
          </w:p>
          <w:p>
            <w:pPr>
              <w:widowControl/>
              <w:spacing w:line="259" w:lineRule="auto" w:after="0"/>
            </w:pPr>
            <w:r>
              <w:rPr>
                <w:rFonts w:ascii="DejaVu Serif" w:hAnsi="DejaVu Serif" w:eastAsia="DejaVu Serif"/>
                <w:b w:val="0"/>
                <w:i/>
                <w:color w:val="1A2433"/>
                <w:sz w:val="20"/>
              </w:rPr>
              <w:t>Математическое творчество есть не выбор между покорным обнаружением готового и произвольным производством знаков. Оно является Разворотом: человек открывает устойчивость, изобретает путь к ней, предвосхищает её видением и только затем делает её общественным знанием через доказательство, документ и память.</w:t>
            </w:r>
          </w:p>
        </w:tc>
      </w:tr>
    </w:tbl>
    <w:p>
      <w:pPr>
        <w:pStyle w:val="Heading1"/>
        <w:keepNext/>
        <w:pageBreakBefore/>
        <w:widowControl/>
      </w:pPr>
      <w:r>
        <w:t>Глава 18. Ошибка понимания, foreign-D и ремонт основания</w:t>
      </w:r>
    </w:p>
    <w:tbl>
      <w:tblPr>
        <w:tblW w:type="auto" w:w="0"/>
        <w:jc w:val="center"/>
        <w:tblLayout w:type="fixed"/>
        <w:tblLook w:firstColumn="1" w:firstRow="1" w:lastColumn="0" w:lastRow="0" w:noHBand="0" w:noVBand="1" w:val="04A0"/>
      </w:tblPr>
      <w:tblGrid>
        <w:gridCol w:w="9432"/>
      </w:tblGrid>
      <w:tr>
        <w:trPr>
          <w:cantSplit w:val="true"/>
          <w:trHeight w:hRule="atLeast"/>
        </w:trPr>
        <w:tc>
          <w:tcPr>
            <w:tcW w:type="dxa" w:w="9432"/>
            <w:vAlign w:val="center"/>
            <w:shd w:fill="FBF5E8" w:val="clear"/>
            <w:tcBorders>
              <w:top w:val="single" w:sz="12" w:color="A87B20"/>
              <w:left w:val="single" w:sz="12" w:color="A87B20"/>
              <w:bottom w:val="single" w:sz="12" w:color="A87B20"/>
              <w:right w:val="single" w:sz="12" w:color="A87B20"/>
            </w:tcBorders>
            <w:tcMar>
              <w:top w:w="90" w:type="dxa"/>
              <w:start w:w="100" w:type="dxa"/>
              <w:bottom w:w="90" w:type="dxa"/>
              <w:end w:w="100" w:type="dxa"/>
            </w:tcMar>
          </w:tcPr>
          <w:p>
            <w:pPr>
              <w:widowControl/>
              <w:spacing w:after="40"/>
            </w:pPr>
            <w:r/>
            <w:r>
              <w:rPr>
                <w:rFonts w:ascii="DejaVu Sans" w:hAnsi="DejaVu Sans" w:eastAsia="DejaVu Sans"/>
                <w:b/>
                <w:i w:val="0"/>
                <w:color w:val="A87B20"/>
                <w:sz w:val="21"/>
              </w:rPr>
              <w:t>ФИЛОСОФСКИЙ ПРОЛОГ</w:t>
            </w:r>
          </w:p>
          <w:p>
            <w:pPr>
              <w:widowControl/>
              <w:spacing w:line="259" w:lineRule="auto" w:after="0"/>
            </w:pPr>
            <w:r>
              <w:rPr>
                <w:rFonts w:ascii="DejaVu Serif" w:hAnsi="DejaVu Serif" w:eastAsia="DejaVu Serif"/>
                <w:b w:val="0"/>
                <w:i/>
                <w:color w:val="1A2433"/>
                <w:sz w:val="20"/>
              </w:rPr>
              <w:t>Понять — не значит перенести чужой текст в собственную систему координат без остатка. Понимание начинается там, где читатель допускает, что предмет имеет иной горизонт, иной язык и собственное достаточное основание. foreign-D есть не просто логическая ошибка. Это форма насилия над предметом: чужая матрица заставляет его отвечать на вопрос, которого он не задавал.</w:t>
            </w:r>
          </w:p>
        </w:tc>
      </w:tr>
    </w:tbl>
    <w:tbl>
      <w:tblPr>
        <w:tblW w:type="auto" w:w="0"/>
        <w:jc w:val="center"/>
        <w:tblLayout w:type="fixed"/>
        <w:tblLook w:firstColumn="1" w:firstRow="1" w:lastColumn="0" w:lastRow="0" w:noHBand="0" w:noVBand="1" w:val="04A0"/>
      </w:tblPr>
      <w:tblGrid>
        <w:gridCol w:w="4932"/>
        <w:gridCol w:w="4932"/>
      </w:tblGrid>
      <w:tr>
        <w:trPr>
          <w:trHeight w:hRule="atLeast"/>
          <w:tblHeader w:val="true"/>
        </w:trPr>
        <w:tc>
          <w:tcPr>
            <w:tcW w:type="dxa" w:w="1872"/>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7"/>
              </w:rPr>
              <w:t>Слой</w:t>
            </w:r>
          </w:p>
        </w:tc>
        <w:tc>
          <w:tcPr>
            <w:tcW w:type="dxa" w:w="7488"/>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7"/>
              </w:rPr>
              <w:t>Формулировка</w:t>
            </w:r>
          </w:p>
        </w:tc>
      </w:tr>
      <w:tr>
        <w:trPr>
          <w:trHeight w:hRule="atLeast"/>
        </w:trPr>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7"/>
              </w:rPr>
              <w:t>ОНТОЛОГИЯ</w:t>
            </w:r>
          </w:p>
        </w:tc>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7"/>
              </w:rPr>
              <w:t>Существуют объект, контекст, основание, переводящий мост и остаток непереводимого.</w:t>
            </w:r>
          </w:p>
        </w:tc>
      </w:tr>
      <w:tr>
        <w:trPr>
          <w:trHeight w:hRule="atLeast"/>
        </w:trPr>
        <w:tc>
          <w:tcPr>
            <w:tcW w:type="dxa" w:w="493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7"/>
              </w:rPr>
              <w:t>ГНОСЕОЛОГИЯ</w:t>
            </w:r>
          </w:p>
        </w:tc>
        <w:tc>
          <w:tcPr>
            <w:tcW w:type="dxa" w:w="493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7"/>
              </w:rPr>
              <w:t>Корректность понимания зависит от сохранения смыслового инварианта, Dom и статуса при переносе.</w:t>
            </w:r>
          </w:p>
        </w:tc>
      </w:tr>
      <w:tr>
        <w:trPr>
          <w:trHeight w:hRule="atLeast"/>
        </w:trPr>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7"/>
              </w:rPr>
              <w:t>ФЕНОМЕНОЛОГИЯ</w:t>
            </w:r>
          </w:p>
        </w:tc>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7"/>
              </w:rPr>
              <w:t>Непонимание переживается как ложная ясность: текст кажется понятным именно потому, что подменён привычным контекстом.</w:t>
            </w:r>
          </w:p>
        </w:tc>
      </w:tr>
      <w:tr>
        <w:trPr>
          <w:trHeight w:hRule="atLeast"/>
        </w:trPr>
        <w:tc>
          <w:tcPr>
            <w:tcW w:type="dxa" w:w="493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7"/>
              </w:rPr>
              <w:t>ОГРАНИЧЕНИЕ</w:t>
            </w:r>
          </w:p>
        </w:tc>
        <w:tc>
          <w:tcPr>
            <w:tcW w:type="dxa" w:w="493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7"/>
              </w:rPr>
              <w:t>Не всякое несогласие является foreign-D; интерпретации могут различаться при сохранении доказательной корректности.</w:t>
            </w:r>
          </w:p>
        </w:tc>
      </w:tr>
      <w:tr>
        <w:trPr>
          <w:trHeight w:hRule="atLeast"/>
        </w:trPr>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7"/>
              </w:rPr>
              <w:t>АВТОРСКАЯ НОВИЗНА</w:t>
            </w:r>
          </w:p>
        </w:tc>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7"/>
              </w:rPr>
              <w:t>foreign-D получает тип, коммутирующую диаграмму, дефект-вектор и repair-оператор.</w:t>
            </w:r>
          </w:p>
        </w:tc>
      </w:tr>
    </w:tbl>
    <w:p>
      <w:pPr>
        <w:pStyle w:val="Heading2"/>
        <w:keepNext/>
        <w:widowControl/>
      </w:pPr>
      <w:r>
        <w:t>18.1. Контекст и достаточное основание</w:t>
      </w:r>
    </w:p>
    <w:tbl>
      <w:tblPr>
        <w:tblW w:type="auto" w:w="0"/>
        <w:jc w:val="center"/>
        <w:tblLayout w:type="fixed"/>
        <w:tblLook w:firstColumn="1" w:firstRow="1" w:lastColumn="0" w:lastRow="0" w:noHBand="0" w:noVBand="1" w:val="04A0"/>
      </w:tblPr>
      <w:tblGrid>
        <w:gridCol w:w="4932"/>
        <w:gridCol w:w="4932"/>
      </w:tblGrid>
      <w:tr>
        <w:trPr>
          <w:trHeight w:hRule="atLeast"/>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Ctx = (Lang, Epoch, Genre, Practice, Goal, Community, Horizon)</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T4-F131</w:t>
              <w:br/>
              <w:t>AUTHORIAL DEF</w:t>
            </w:r>
          </w:p>
        </w:tc>
      </w:tr>
    </w:tbl>
    <w:tbl>
      <w:tblPr>
        <w:tblW w:type="auto" w:w="0"/>
        <w:jc w:val="center"/>
        <w:tblLayout w:type="fixed"/>
        <w:tblLook w:firstColumn="1" w:firstRow="1" w:lastColumn="0" w:lastRow="0" w:noHBand="0" w:noVBand="1" w:val="04A0"/>
      </w:tblPr>
      <w:tblGrid>
        <w:gridCol w:w="4932"/>
        <w:gridCol w:w="4932"/>
      </w:tblGrid>
      <w:tr>
        <w:trPr>
          <w:trHeight w:hRule="atLeast"/>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D = (source-card, rule, Dom_D, challenge, provenance, σ_D)</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T4-F132</w:t>
              <w:br/>
              <w:t>IMPORT/REFINED DEF</w:t>
            </w:r>
          </w:p>
        </w:tc>
      </w:tr>
    </w:tbl>
    <w:p>
      <w:pPr>
        <w:keepNext w:val="0"/>
        <w:widowControl/>
        <w:spacing w:after="80" w:line="269" w:lineRule="auto"/>
      </w:pPr>
      <w:r>
        <w:rPr>
          <w:rFonts w:ascii="DejaVu Serif" w:hAnsi="DejaVu Serif" w:eastAsia="DejaVu Serif"/>
          <w:b w:val="0"/>
          <w:i w:val="0"/>
          <w:color w:val="1A2433"/>
          <w:sz w:val="21"/>
        </w:rPr>
        <w:t>Контекст не является произвольным фоном. Он задаёт типы вопросов, допустимые различения, практику проверки и способ применения утверждения. D указывает, почему конкретный вывод поддерживается в этом контексте. Одна и та же цитата может быть подлинной, но недостаточной для данного вывода; одна и та же формула — верной в своём домене и ложной после безмостового переноса.</w:t>
      </w:r>
    </w:p>
    <w:p>
      <w:pPr>
        <w:widowControl/>
        <w:spacing w:after="40"/>
        <w:jc w:val="center"/>
      </w:pPr>
      <w:r>
        <w:drawing>
          <wp:inline xmlns:a="http://schemas.openxmlformats.org/drawingml/2006/main" xmlns:pic="http://schemas.openxmlformats.org/drawingml/2006/picture">
            <wp:extent cx="5715000" cy="3879908"/>
            <wp:docPr id="18" name="Picture 18" descr="Диаграмма показывает исходный и целевой контексты, собственные основания, переводящий мост, ошибочную прямую подстановку и результат ABSTAIN или REPAIR." title="Рисунок 18. Коммутирующий квадрат понимания и возникновение foreign-D."/>
            <wp:cNvGraphicFramePr>
              <a:graphicFrameLocks noChangeAspect="1"/>
            </wp:cNvGraphicFramePr>
            <a:graphic>
              <a:graphicData uri="http://schemas.openxmlformats.org/drawingml/2006/picture">
                <pic:pic>
                  <pic:nvPicPr>
                    <pic:cNvPr id="0" name="fig18_foreign_d.png"/>
                    <pic:cNvPicPr/>
                  </pic:nvPicPr>
                  <pic:blipFill>
                    <a:blip r:embed="rId32"/>
                    <a:stretch>
                      <a:fillRect/>
                    </a:stretch>
                  </pic:blipFill>
                  <pic:spPr>
                    <a:xfrm>
                      <a:off x="0" y="0"/>
                      <a:ext cx="5715000" cy="3879908"/>
                    </a:xfrm>
                    <a:prstGeom prst="rect"/>
                  </pic:spPr>
                </pic:pic>
              </a:graphicData>
            </a:graphic>
          </wp:inline>
        </w:drawing>
      </w:r>
    </w:p>
    <w:p>
      <w:pPr>
        <w:pStyle w:val="Caption"/>
        <w:keepLines/>
        <w:widowControl/>
        <w:spacing w:after="120"/>
        <w:jc w:val="center"/>
      </w:pPr>
      <w:r>
        <w:rPr>
          <w:rFonts w:ascii="DejaVu Serif" w:hAnsi="DejaVu Serif" w:eastAsia="DejaVu Serif"/>
          <w:b/>
          <w:i w:val="0"/>
          <w:color w:val="4F81BD"/>
          <w:sz w:val="18"/>
        </w:rPr>
        <w:t>Рисунок 18. Коммутирующий квадрат понимания и возникновение foreign-D.</w:t>
      </w:r>
    </w:p>
    <w:p>
      <w:pPr>
        <w:pStyle w:val="Heading2"/>
        <w:keepNext/>
        <w:widowControl/>
      </w:pPr>
      <w:r>
        <w:t>18.2. Переводящий мост и теорема сохранения основания</w:t>
      </w:r>
    </w:p>
    <w:tbl>
      <w:tblPr>
        <w:tblW w:type="auto" w:w="0"/>
        <w:jc w:val="center"/>
        <w:tblLayout w:type="fixed"/>
        <w:tblLook w:firstColumn="1" w:firstRow="1" w:lastColumn="0" w:lastRow="0" w:noHBand="0" w:noVBand="1" w:val="04A0"/>
      </w:tblPr>
      <w:tblGrid>
        <w:gridCol w:w="4932"/>
        <w:gridCol w:w="4932"/>
      </w:tblGrid>
      <w:tr>
        <w:trPr>
          <w:trHeight w:hRule="atLeast"/>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τ = (τ_C : C_s ⇀ C_t,  τ_D : D_s ⇀ D_t,  residual_τ)</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T4-F133</w:t>
              <w:br/>
              <w:t>AUTHORIAL DEF</w:t>
            </w:r>
          </w:p>
        </w:tc>
      </w:tr>
    </w:tbl>
    <w:tbl>
      <w:tblPr>
        <w:tblW w:type="auto" w:w="0"/>
        <w:jc w:val="center"/>
        <w:tblLayout w:type="fixed"/>
        <w:tblLook w:firstColumn="1" w:firstRow="1" w:lastColumn="0" w:lastRow="0" w:noHBand="0" w:noVBand="1" w:val="04A0"/>
      </w:tblPr>
      <w:tblGrid>
        <w:gridCol w:w="4932"/>
        <w:gridCol w:w="4932"/>
      </w:tblGrid>
      <w:tr>
        <w:trPr>
          <w:trHeight w:hRule="atLeast"/>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τ_C ∘ Just_s = Just_t ∘ τ_D   on Dom(τ)</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T4-F134</w:t>
              <w:br/>
              <w:t>COMMUTING GATE</w:t>
            </w:r>
          </w:p>
        </w:tc>
      </w:tr>
    </w:tbl>
    <w:tbl>
      <w:tblPr>
        <w:tblW w:type="auto" w:w="0"/>
        <w:jc w:val="center"/>
        <w:tblLayout w:type="fixed"/>
        <w:tblLook w:firstColumn="1" w:firstRow="1" w:lastColumn="0" w:lastRow="0" w:noHBand="0" w:noVBand="1" w:val="04A0"/>
      </w:tblPr>
      <w:tblGrid>
        <w:gridCol w:w="9432"/>
      </w:tblGrid>
      <w:tr>
        <w:trPr>
          <w:cantSplit w:val="true"/>
          <w:trHeight w:hRule="atLeast"/>
        </w:trPr>
        <w:tc>
          <w:tcPr>
            <w:tcW w:type="dxa" w:w="9432"/>
            <w:vAlign w:val="center"/>
            <w:shd w:fill="EDF7EF" w:val="clear"/>
            <w:tcBorders>
              <w:top w:val="single" w:sz="12" w:color="3F7D5B"/>
              <w:left w:val="single" w:sz="12" w:color="3F7D5B"/>
              <w:bottom w:val="single" w:sz="12" w:color="3F7D5B"/>
              <w:right w:val="single" w:sz="12" w:color="3F7D5B"/>
            </w:tcBorders>
            <w:tcMar>
              <w:top w:w="90" w:type="dxa"/>
              <w:start w:w="100" w:type="dxa"/>
              <w:bottom w:w="90" w:type="dxa"/>
              <w:end w:w="100" w:type="dxa"/>
            </w:tcMar>
          </w:tcPr>
          <w:p>
            <w:pPr>
              <w:widowControl/>
              <w:spacing w:after="40"/>
            </w:pPr>
            <w:r/>
            <w:r>
              <w:rPr>
                <w:rFonts w:ascii="DejaVu Sans" w:hAnsi="DejaVu Sans" w:eastAsia="DejaVu Sans"/>
                <w:b/>
                <w:i w:val="0"/>
                <w:color w:val="3F7D5B"/>
                <w:sz w:val="21"/>
              </w:rPr>
              <w:t>ТЕОРЕМА T4.18.1 — КОРРЕКТНЫЙ ПЕРЕНОС D</w:t>
            </w:r>
          </w:p>
          <w:p>
            <w:pPr>
              <w:widowControl/>
              <w:spacing w:line="259" w:lineRule="auto" w:after="0"/>
            </w:pPr>
            <w:r>
              <w:rPr>
                <w:rFonts w:ascii="DejaVu Serif" w:hAnsi="DejaVu Serif" w:eastAsia="DejaVu Serif"/>
                <w:b w:val="0"/>
                <w:i w:val="0"/>
                <w:color w:val="1A2433"/>
                <w:sz w:val="20"/>
              </w:rPr>
              <w:t>Пусть утверждение c_s авторизовано основанием D_s в контексте C_s. Перенос в C_t сохраняет допустимость вывода только если определены τ_C и τ_D, целевой объект лежит в Dom(D_t), диаграмма обоснования коммутирует, provenance не разорван, а статус не повышен. При нарушении любого обязательного условия результатом является ABSTAIN-HERM.</w:t>
            </w:r>
          </w:p>
        </w:tc>
      </w:tr>
    </w:tbl>
    <w:p>
      <w:pPr>
        <w:keepNext w:val="0"/>
        <w:widowControl/>
        <w:spacing w:after="80" w:line="269" w:lineRule="auto"/>
      </w:pPr>
      <w:r>
        <w:rPr>
          <w:rFonts w:ascii="DejaVu Serif" w:hAnsi="DejaVu Serif" w:eastAsia="DejaVu Serif"/>
          <w:b w:val="0"/>
          <w:i w:val="0"/>
          <w:color w:val="1A2433"/>
          <w:sz w:val="21"/>
        </w:rPr>
        <w:t>Доказательство. Just_s связывает D_s с c_s, Just_t — D_t с c_t. Если диаграмма не коммутирует, перенесённое основание поддерживает иной объект или иной тип вывода. Если c_t вне Dom(D_t), отношение авторизации не определено. Разрыв provenance исключает проверку идентичности источника, а повышение статуса нарушает weakest-link rule. □</w:t>
      </w:r>
    </w:p>
    <w:p>
      <w:pPr>
        <w:pStyle w:val="Heading2"/>
        <w:keepNext/>
        <w:widowControl/>
      </w:pPr>
      <w:r>
        <w:t>18.3. foreign-D, disagreement и status-mix</w:t>
      </w:r>
    </w:p>
    <w:tbl>
      <w:tblPr>
        <w:tblW w:type="auto" w:w="0"/>
        <w:jc w:val="center"/>
        <w:tblLayout w:type="fixed"/>
        <w:tblLook w:firstColumn="1" w:firstRow="1" w:lastColumn="0" w:lastRow="0" w:noHBand="0" w:noVBand="1" w:val="04A0"/>
      </w:tblPr>
      <w:tblGrid>
        <w:gridCol w:w="4932"/>
        <w:gridCol w:w="4932"/>
      </w:tblGrid>
      <w:tr>
        <w:trPr>
          <w:trHeight w:hRule="atLeast"/>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foreign(D_s,c_t) ⇔ D_s ≠ ⊥ ∧ c_t ∉ Dom(D_s) ∧ no certified τ_D</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T4-F135</w:t>
              <w:br/>
              <w:t>DEF</w:t>
            </w:r>
          </w:p>
        </w:tc>
      </w:tr>
    </w:tbl>
    <w:tbl>
      <w:tblPr>
        <w:tblW w:type="auto" w:w="0"/>
        <w:jc w:val="center"/>
        <w:tblLayout w:type="fixed"/>
        <w:tblLook w:firstColumn="1" w:firstRow="1" w:lastColumn="0" w:lastRow="0" w:noHBand="0" w:noVBand="1" w:val="04A0"/>
      </w:tblPr>
      <w:tblGrid>
        <w:gridCol w:w="4932"/>
        <w:gridCol w:w="4932"/>
      </w:tblGrid>
      <w:tr>
        <w:trPr>
          <w:trHeight w:hRule="atLeast"/>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Misreading = foreign-D ∨ translation-gap ∨ provenance-break ∨ status-mix</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T4-F136</w:t>
              <w:br/>
              <w:t>AUTHORIAL CLASSIFIER</w:t>
            </w:r>
          </w:p>
        </w:tc>
      </w:tr>
    </w:tbl>
    <w:tbl>
      <w:tblPr>
        <w:tblW w:type="auto" w:w="0"/>
        <w:jc w:val="center"/>
        <w:tblLayout w:type="fixed"/>
        <w:tblLook w:firstColumn="1" w:firstRow="1" w:lastColumn="0" w:lastRow="0" w:noHBand="0" w:noVBand="1" w:val="04A0"/>
      </w:tblPr>
      <w:tblGrid>
        <w:gridCol w:w="3288"/>
        <w:gridCol w:w="3288"/>
        <w:gridCol w:w="3288"/>
      </w:tblGrid>
      <w:tr>
        <w:trPr>
          <w:trHeight w:hRule="atLeast"/>
          <w:tblHeader w:val="true"/>
        </w:trPr>
        <w:tc>
          <w:tcPr>
            <w:tcW w:type="dxa" w:w="1944"/>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Случай</w:t>
            </w:r>
          </w:p>
        </w:tc>
        <w:tc>
          <w:tcPr>
            <w:tcW w:type="dxa" w:w="5472"/>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Что произошло</w:t>
            </w:r>
          </w:p>
        </w:tc>
        <w:tc>
          <w:tcPr>
            <w:tcW w:type="dxa" w:w="1944"/>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Вердикт</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Несогласие</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Два основания применимы, но ведут к различным оценкам или гипотезам.</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DIALOGUE / COMPARE; не foreign-D автоматически</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Переинтерпретация</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Сохранились локальные данные, изменился регулярный фон и явно указан новый D.</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INTERPRETATION CHANGE</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Ошибка перевода</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τ_C и τ_D не сохраняют смысловой инвариант.</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ABSTAIN-TRANSLATION</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foreign-D</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Основание корректно в другом домене, но применено напрямую.</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ABSTAIN-HERM / REPAIR</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Подделка</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Источник или provenance изменены.</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ABSTAIN-PROV</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Status-mix</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Философская, историческая или модельная интерпретация выдана за факт.</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ABSTAIN-STATUS</w:t>
            </w:r>
          </w:p>
        </w:tc>
      </w:tr>
    </w:tbl>
    <w:p>
      <w:pPr>
        <w:pStyle w:val="Heading2"/>
        <w:keepNext/>
        <w:widowControl/>
      </w:pPr>
      <w:r>
        <w:t>18.4. Дефект понимания и repair-оператор</w:t>
      </w:r>
    </w:p>
    <w:tbl>
      <w:tblPr>
        <w:tblW w:type="auto" w:w="0"/>
        <w:jc w:val="center"/>
        <w:tblLayout w:type="fixed"/>
        <w:tblLook w:firstColumn="1" w:firstRow="1" w:lastColumn="0" w:lastRow="0" w:noHBand="0" w:noVBand="1" w:val="04A0"/>
      </w:tblPr>
      <w:tblGrid>
        <w:gridCol w:w="4932"/>
        <w:gridCol w:w="4932"/>
      </w:tblGrid>
      <w:tr>
        <w:trPr>
          <w:trHeight w:hRule="atLeast"/>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g_D = (g_sem, g_Dom, g_hist, g_norm, g_prov, g_status)</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T4-F137</w:t>
              <w:br/>
              <w:t>VECTOR DEF</w:t>
            </w:r>
          </w:p>
        </w:tc>
      </w:tr>
    </w:tbl>
    <w:tbl>
      <w:tblPr>
        <w:tblW w:type="auto" w:w="0"/>
        <w:jc w:val="center"/>
        <w:tblLayout w:type="fixed"/>
        <w:tblLook w:firstColumn="1" w:firstRow="1" w:lastColumn="0" w:lastRow="0" w:noHBand="0" w:noVBand="1" w:val="04A0"/>
      </w:tblPr>
      <w:tblGrid>
        <w:gridCol w:w="4932"/>
        <w:gridCol w:w="4932"/>
      </w:tblGrid>
      <w:tr>
        <w:trPr>
          <w:trHeight w:hRule="atLeast"/>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Repair_D(c,D) = (recover-source, reconstruct-context, build-τ, recheck-Dom, preserve-status)</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T4-F138</w:t>
              <w:br/>
              <w:t>PARTIAL OPERATOR</w:t>
            </w:r>
          </w:p>
        </w:tc>
      </w:tr>
    </w:tbl>
    <w:tbl>
      <w:tblPr>
        <w:tblW w:type="auto" w:w="0"/>
        <w:jc w:val="center"/>
        <w:tblLayout w:type="fixed"/>
        <w:tblLook w:firstColumn="1" w:firstRow="1" w:lastColumn="0" w:lastRow="0" w:noHBand="0" w:noVBand="1" w:val="04A0"/>
      </w:tblPr>
      <w:tblGrid>
        <w:gridCol w:w="4932"/>
        <w:gridCol w:w="4932"/>
      </w:tblGrid>
      <w:tr>
        <w:trPr>
          <w:trHeight w:hRule="atLeast"/>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no τ or unresolved residual ⇒ Repair_D = ABSTAIN-HERM</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T4-F139</w:t>
              <w:br/>
              <w:t>STATUS GATE</w:t>
            </w:r>
          </w:p>
        </w:tc>
      </w:tr>
    </w:tbl>
    <w:p>
      <w:pPr>
        <w:keepNext w:val="0"/>
        <w:widowControl/>
        <w:spacing w:after="80" w:line="269" w:lineRule="auto"/>
      </w:pPr>
      <w:r>
        <w:rPr>
          <w:rFonts w:ascii="DejaVu Serif" w:hAnsi="DejaVu Serif" w:eastAsia="DejaVu Serif"/>
          <w:b w:val="0"/>
          <w:i w:val="0"/>
          <w:color w:val="1A2433"/>
          <w:sz w:val="21"/>
        </w:rPr>
        <w:t>Repair не означает принудительное приведение всех интерпретаций к единству. Он восстанавливает условия честного диалога: кто говорит, в каком жанре, на каком основании, в какой области и с каким остатком непереводимого. Если остаток существенен, различие сохраняется как blocker, а не стирается усреднением.</w:t>
      </w:r>
    </w:p>
    <w:p>
      <w:pPr>
        <w:pStyle w:val="Heading2"/>
        <w:keepNext/>
        <w:widowControl/>
      </w:pPr>
      <w:r>
        <w:t>18.5. Философский диалог</w:t>
      </w:r>
    </w:p>
    <w:tbl>
      <w:tblPr>
        <w:tblW w:type="auto" w:w="0"/>
        <w:jc w:val="center"/>
        <w:tblLayout w:type="fixed"/>
        <w:tblLook w:firstColumn="1" w:firstRow="1" w:lastColumn="0" w:lastRow="0" w:noHBand="0" w:noVBand="1" w:val="04A0"/>
      </w:tblPr>
      <w:tblGrid>
        <w:gridCol w:w="3288"/>
        <w:gridCol w:w="3288"/>
        <w:gridCol w:w="3288"/>
      </w:tblGrid>
      <w:tr>
        <w:trPr>
          <w:trHeight w:hRule="atLeast"/>
          <w:tblHeader w:val="true"/>
        </w:trPr>
        <w:tc>
          <w:tcPr>
            <w:tcW w:type="dxa" w:w="1800"/>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Традиция</w:t>
            </w:r>
          </w:p>
        </w:tc>
        <w:tc>
          <w:tcPr>
            <w:tcW w:type="dxa" w:w="3816"/>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Проблема</w:t>
            </w:r>
          </w:p>
        </w:tc>
        <w:tc>
          <w:tcPr>
            <w:tcW w:type="dxa" w:w="3672"/>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KLT-следствие</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Кант</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Условия возможности опыта и суждения не извлекаются из одного факта.</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Контекст и Dom входят в объект знания.</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Гадамер</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Понимание происходит как встреча горизонтов, а не нейтральное копирование.</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τ обязан хранить исходный и целевой горизонты.</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Рикёр</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Интерпретация допускает конфликт, дистанцию и повторное присвоение смысла.</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Несогласие не равно foreign-D; нужен реестр альтернатив.</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Библер</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Иной текст нельзя без остатка вставить в готовую матрицу.</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Misreading фиксируется как чужое D.</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Кассирер</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Символические формы организуют доступ к миру.</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Lang/Genre/Practice входят в Ctx.</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Курпишев</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Понимание есть Reper-переход с достаточным основанием и статусным firewall.</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C@C_text→Rep→τ→D/Dom→verdict.</w:t>
            </w:r>
          </w:p>
        </w:tc>
      </w:tr>
    </w:tbl>
    <w:p>
      <w:pPr>
        <w:pStyle w:val="Heading2"/>
        <w:keepNext/>
        <w:widowControl/>
      </w:pPr>
      <w:r>
        <w:t>18.6. Контрмодели и философское следствие</w:t>
      </w:r>
    </w:p>
    <w:p>
      <w:pPr>
        <w:pStyle w:val="ListBullet"/>
        <w:widowControl/>
        <w:spacing w:after="40" w:line="259" w:lineRule="auto"/>
      </w:pPr>
      <w:r>
        <w:rPr>
          <w:rFonts w:ascii="DejaVu Serif" w:hAnsi="DejaVu Serif" w:eastAsia="DejaVu Serif"/>
          <w:b w:val="0"/>
          <w:i w:val="0"/>
          <w:color w:val="1A2433"/>
          <w:sz w:val="20"/>
        </w:rPr>
        <w:t>CM-044: disagreement-as-error — всякое несогласие объявлено foreign-D.</w:t>
      </w:r>
    </w:p>
    <w:p>
      <w:pPr>
        <w:pStyle w:val="ListBullet"/>
        <w:widowControl/>
        <w:spacing w:after="40" w:line="259" w:lineRule="auto"/>
      </w:pPr>
      <w:r>
        <w:rPr>
          <w:rFonts w:ascii="DejaVu Serif" w:hAnsi="DejaVu Serif" w:eastAsia="DejaVu Serif"/>
          <w:b w:val="0"/>
          <w:i w:val="0"/>
          <w:color w:val="1A2433"/>
          <w:sz w:val="20"/>
        </w:rPr>
        <w:t>CM-045: contextless-quotation — подлинная цитата используется без жанра, адресата и Dom.</w:t>
      </w:r>
    </w:p>
    <w:p>
      <w:pPr>
        <w:pStyle w:val="ListBullet"/>
        <w:widowControl/>
        <w:spacing w:after="40" w:line="259" w:lineRule="auto"/>
      </w:pPr>
      <w:r>
        <w:rPr>
          <w:rFonts w:ascii="DejaVu Serif" w:hAnsi="DejaVu Serif" w:eastAsia="DejaVu Serif"/>
          <w:b w:val="0"/>
          <w:i w:val="0"/>
          <w:color w:val="1A2433"/>
          <w:sz w:val="20"/>
        </w:rPr>
        <w:t>CM-046: translation-without-residual — непереводимое содержание скрыто ради гладкой схемы.</w:t>
      </w:r>
    </w:p>
    <w:p>
      <w:pPr>
        <w:pStyle w:val="ListBullet"/>
        <w:widowControl/>
        <w:spacing w:after="40" w:line="259" w:lineRule="auto"/>
      </w:pPr>
      <w:r>
        <w:rPr>
          <w:rFonts w:ascii="DejaVu Serif" w:hAnsi="DejaVu Serif" w:eastAsia="DejaVu Serif"/>
          <w:b w:val="0"/>
          <w:i w:val="0"/>
          <w:color w:val="1A2433"/>
          <w:sz w:val="20"/>
        </w:rPr>
        <w:t>CM-047: status laundering — философская интерпретация повышена до исторического или эмпирического факта.</w:t>
      </w:r>
    </w:p>
    <w:tbl>
      <w:tblPr>
        <w:tblW w:type="auto" w:w="0"/>
        <w:jc w:val="center"/>
        <w:tblLayout w:type="fixed"/>
        <w:tblLook w:firstColumn="1" w:firstRow="1" w:lastColumn="0" w:lastRow="0" w:noHBand="0" w:noVBand="1" w:val="04A0"/>
      </w:tblPr>
      <w:tblGrid>
        <w:gridCol w:w="9432"/>
      </w:tblGrid>
      <w:tr>
        <w:trPr>
          <w:cantSplit w:val="true"/>
          <w:trHeight w:hRule="atLeast"/>
        </w:trPr>
        <w:tc>
          <w:tcPr>
            <w:tcW w:type="dxa" w:w="9432"/>
            <w:vAlign w:val="center"/>
            <w:shd w:fill="FBF5E8" w:val="clear"/>
            <w:tcBorders>
              <w:top w:val="single" w:sz="12" w:color="A87B20"/>
              <w:left w:val="single" w:sz="12" w:color="A87B20"/>
              <w:bottom w:val="single" w:sz="12" w:color="A87B20"/>
              <w:right w:val="single" w:sz="12" w:color="A87B20"/>
            </w:tcBorders>
            <w:tcMar>
              <w:top w:w="90" w:type="dxa"/>
              <w:start w:w="100" w:type="dxa"/>
              <w:bottom w:w="90" w:type="dxa"/>
              <w:end w:w="100" w:type="dxa"/>
            </w:tcMar>
          </w:tcPr>
          <w:p>
            <w:pPr>
              <w:widowControl/>
              <w:spacing w:after="40"/>
            </w:pPr>
            <w:r/>
            <w:r>
              <w:rPr>
                <w:rFonts w:ascii="DejaVu Sans" w:hAnsi="DejaVu Sans" w:eastAsia="DejaVu Sans"/>
                <w:b/>
                <w:i w:val="0"/>
                <w:color w:val="A87B20"/>
                <w:sz w:val="21"/>
              </w:rPr>
              <w:t>ФИЛОСОФСКОЕ СЛЕДСТВИЕ ГЛАВЫ 18</w:t>
            </w:r>
          </w:p>
          <w:p>
            <w:pPr>
              <w:widowControl/>
              <w:spacing w:line="259" w:lineRule="auto" w:after="0"/>
            </w:pPr>
            <w:r>
              <w:rPr>
                <w:rFonts w:ascii="DejaVu Serif" w:hAnsi="DejaVu Serif" w:eastAsia="DejaVu Serif"/>
                <w:b w:val="0"/>
                <w:i/>
                <w:color w:val="1A2433"/>
                <w:sz w:val="20"/>
              </w:rPr>
              <w:t>Истина требует не только верной фразы, но и верного отношения между фразой, основанием и миром её применения. foreign-D показывает, что ошибка часто возникает не внутри высказывания, а в пространстве между мирами понимания. Ремонт этого пространства — не устранение различий, а построение моста, который делает различие видимым и ответственным.</w:t>
            </w:r>
          </w:p>
        </w:tc>
      </w:tr>
    </w:tbl>
    <w:p>
      <w:pPr>
        <w:pStyle w:val="Heading1"/>
        <w:keepNext/>
        <w:pageBreakBefore/>
        <w:widowControl/>
      </w:pPr>
      <w:r>
        <w:t>Глава 19. Антропологический CGI как вектор разрывов</w:t>
      </w:r>
    </w:p>
    <w:tbl>
      <w:tblPr>
        <w:tblW w:type="auto" w:w="0"/>
        <w:jc w:val="center"/>
        <w:tblLayout w:type="fixed"/>
        <w:tblLook w:firstColumn="1" w:firstRow="1" w:lastColumn="0" w:lastRow="0" w:noHBand="0" w:noVBand="1" w:val="04A0"/>
      </w:tblPr>
      <w:tblGrid>
        <w:gridCol w:w="9432"/>
      </w:tblGrid>
      <w:tr>
        <w:trPr>
          <w:cantSplit w:val="true"/>
          <w:trHeight w:hRule="atLeast"/>
        </w:trPr>
        <w:tc>
          <w:tcPr>
            <w:tcW w:type="dxa" w:w="9432"/>
            <w:vAlign w:val="center"/>
            <w:shd w:fill="FBF5E8" w:val="clear"/>
            <w:tcBorders>
              <w:top w:val="single" w:sz="12" w:color="A87B20"/>
              <w:left w:val="single" w:sz="12" w:color="A87B20"/>
              <w:bottom w:val="single" w:sz="12" w:color="A87B20"/>
              <w:right w:val="single" w:sz="12" w:color="A87B20"/>
            </w:tcBorders>
            <w:tcMar>
              <w:top w:w="90" w:type="dxa"/>
              <w:start w:w="100" w:type="dxa"/>
              <w:bottom w:w="90" w:type="dxa"/>
              <w:end w:w="100" w:type="dxa"/>
            </w:tcMar>
          </w:tcPr>
          <w:p>
            <w:pPr>
              <w:widowControl/>
              <w:spacing w:after="40"/>
            </w:pPr>
            <w:r/>
            <w:r>
              <w:rPr>
                <w:rFonts w:ascii="DejaVu Sans" w:hAnsi="DejaVu Sans" w:eastAsia="DejaVu Sans"/>
                <w:b/>
                <w:i w:val="0"/>
                <w:color w:val="A87B20"/>
                <w:sz w:val="21"/>
              </w:rPr>
              <w:t>ФИЛОСОФСКИЙ ПРОЛОГ</w:t>
            </w:r>
          </w:p>
          <w:p>
            <w:pPr>
              <w:widowControl/>
              <w:spacing w:line="259" w:lineRule="auto" w:after="0"/>
            </w:pPr>
            <w:r>
              <w:rPr>
                <w:rFonts w:ascii="DejaVu Serif" w:hAnsi="DejaVu Serif" w:eastAsia="DejaVu Serif"/>
                <w:b w:val="0"/>
                <w:i/>
                <w:color w:val="1A2433"/>
                <w:sz w:val="20"/>
              </w:rPr>
              <w:t>Человек не является суммой показателей. Разрыв памяти не равен разрыву ответственности; утрата слова не тождественна утрате действия; документарная неполнота не позволяет судить о достоинстве личности. Число удобно администрации, но человеческое бытие сопротивляется преждевременной скаляризации. Поэтому антропологический CGI должен измерять не человека, а состояние связей, в которых он действует и понимает.</w:t>
            </w:r>
          </w:p>
        </w:tc>
      </w:tr>
    </w:tbl>
    <w:tbl>
      <w:tblPr>
        <w:tblW w:type="auto" w:w="0"/>
        <w:jc w:val="center"/>
        <w:tblLayout w:type="fixed"/>
        <w:tblLook w:firstColumn="1" w:firstRow="1" w:lastColumn="0" w:lastRow="0" w:noHBand="0" w:noVBand="1" w:val="04A0"/>
      </w:tblPr>
      <w:tblGrid>
        <w:gridCol w:w="4932"/>
        <w:gridCol w:w="4932"/>
      </w:tblGrid>
      <w:tr>
        <w:trPr>
          <w:trHeight w:hRule="atLeast"/>
          <w:tblHeader w:val="true"/>
        </w:trPr>
        <w:tc>
          <w:tcPr>
            <w:tcW w:type="dxa" w:w="1872"/>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7"/>
              </w:rPr>
              <w:t>Слой</w:t>
            </w:r>
          </w:p>
        </w:tc>
        <w:tc>
          <w:tcPr>
            <w:tcW w:type="dxa" w:w="7488"/>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7"/>
              </w:rPr>
              <w:t>Формулировка</w:t>
            </w:r>
          </w:p>
        </w:tc>
      </w:tr>
      <w:tr>
        <w:trPr>
          <w:trHeight w:hRule="atLeast"/>
        </w:trPr>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7"/>
              </w:rPr>
              <w:t>ОНТОЛОГИЯ</w:t>
            </w:r>
          </w:p>
        </w:tc>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7"/>
              </w:rPr>
              <w:t>Объектом диагностики являются отношения и мосты Human_R, а не скрытая «величина человека».</w:t>
            </w:r>
          </w:p>
        </w:tc>
      </w:tr>
      <w:tr>
        <w:trPr>
          <w:trHeight w:hRule="atLeast"/>
        </w:trPr>
        <w:tc>
          <w:tcPr>
            <w:tcW w:type="dxa" w:w="493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7"/>
              </w:rPr>
              <w:t>ГНОСЕОЛОГИЯ</w:t>
            </w:r>
          </w:p>
        </w:tc>
        <w:tc>
          <w:tcPr>
            <w:tcW w:type="dxa" w:w="493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7"/>
              </w:rPr>
              <w:t>Каждый разрыв имеет собственный тип данных, шкалу, Dom, источник и процедуру проверки.</w:t>
            </w:r>
          </w:p>
        </w:tc>
      </w:tr>
      <w:tr>
        <w:trPr>
          <w:trHeight w:hRule="atLeast"/>
        </w:trPr>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7"/>
              </w:rPr>
              <w:t>ФЕНОМЕНОЛОГИЯ</w:t>
            </w:r>
          </w:p>
        </w:tc>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7"/>
              </w:rPr>
              <w:t>Разрыв проявляется как невозможность продолжить действие, рассказ, свидетельство или ответственность.</w:t>
            </w:r>
          </w:p>
        </w:tc>
      </w:tr>
      <w:tr>
        <w:trPr>
          <w:trHeight w:hRule="atLeast"/>
        </w:trPr>
        <w:tc>
          <w:tcPr>
            <w:tcW w:type="dxa" w:w="493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7"/>
              </w:rPr>
              <w:t>ОГРАНИЧЕНИЕ</w:t>
            </w:r>
          </w:p>
        </w:tc>
        <w:tc>
          <w:tcPr>
            <w:tcW w:type="dxa" w:w="493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7"/>
              </w:rPr>
              <w:t>AnthroCGI не является медицинским диагнозом, моральным рейтингом, юридической квалификацией или тестом интеллекта.</w:t>
            </w:r>
          </w:p>
        </w:tc>
      </w:tr>
      <w:tr>
        <w:trPr>
          <w:trHeight w:hRule="atLeast"/>
        </w:trPr>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7"/>
              </w:rPr>
              <w:t>АВТОРСКАЯ НОВИЗНА</w:t>
            </w:r>
          </w:p>
        </w:tc>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7"/>
              </w:rPr>
              <w:t>Вместо одного коэффициента вводится векторный профиль с blocker-safe repair и запретом неявной агрегации.</w:t>
            </w:r>
          </w:p>
        </w:tc>
      </w:tr>
    </w:tbl>
    <w:p>
      <w:pPr>
        <w:widowControl/>
        <w:spacing w:after="40"/>
        <w:jc w:val="center"/>
      </w:pPr>
      <w:r>
        <w:drawing>
          <wp:inline xmlns:a="http://schemas.openxmlformats.org/drawingml/2006/main" xmlns:pic="http://schemas.openxmlformats.org/drawingml/2006/picture">
            <wp:extent cx="5715000" cy="3933558"/>
            <wp:docPr id="19" name="Picture 19" descr="Схема показывает Human_R в центре и отдельные компоненты действия, памяти, языка, свидетельства, ответственности, документа, другого и телесно-временной ориентации; внизу приведён вектор Γ_h." title="Рисунок 19. AnthroCGI как вектор разрывов отношений Human_R."/>
            <wp:cNvGraphicFramePr>
              <a:graphicFrameLocks noChangeAspect="1"/>
            </wp:cNvGraphicFramePr>
            <a:graphic>
              <a:graphicData uri="http://schemas.openxmlformats.org/drawingml/2006/picture">
                <pic:pic>
                  <pic:nvPicPr>
                    <pic:cNvPr id="0" name="fig19_anthro_cgi_vector.png"/>
                    <pic:cNvPicPr/>
                  </pic:nvPicPr>
                  <pic:blipFill>
                    <a:blip r:embed="rId33"/>
                    <a:stretch>
                      <a:fillRect/>
                    </a:stretch>
                  </pic:blipFill>
                  <pic:spPr>
                    <a:xfrm>
                      <a:off x="0" y="0"/>
                      <a:ext cx="5715000" cy="3933558"/>
                    </a:xfrm>
                    <a:prstGeom prst="rect"/>
                  </pic:spPr>
                </pic:pic>
              </a:graphicData>
            </a:graphic>
          </wp:inline>
        </w:drawing>
      </w:r>
    </w:p>
    <w:p>
      <w:pPr>
        <w:pStyle w:val="Caption"/>
        <w:keepLines/>
        <w:widowControl/>
        <w:spacing w:after="120"/>
        <w:jc w:val="center"/>
      </w:pPr>
      <w:r>
        <w:rPr>
          <w:rFonts w:ascii="DejaVu Serif" w:hAnsi="DejaVu Serif" w:eastAsia="DejaVu Serif"/>
          <w:b/>
          <w:i w:val="0"/>
          <w:color w:val="4F81BD"/>
          <w:sz w:val="18"/>
        </w:rPr>
        <w:t>Рисунок 19. AnthroCGI как вектор разрывов отношений Human_R.</w:t>
      </w:r>
    </w:p>
    <w:p>
      <w:pPr>
        <w:pStyle w:val="Heading2"/>
        <w:keepNext/>
        <w:widowControl/>
      </w:pPr>
      <w:r>
        <w:t>19.1. Типизированный профиль разрывов</w:t>
      </w:r>
    </w:p>
    <w:tbl>
      <w:tblPr>
        <w:tblW w:type="auto" w:w="0"/>
        <w:jc w:val="center"/>
        <w:tblLayout w:type="fixed"/>
        <w:tblLook w:firstColumn="1" w:firstRow="1" w:lastColumn="0" w:lastRow="0" w:noHBand="0" w:noVBand="1" w:val="04A0"/>
      </w:tblPr>
      <w:tblGrid>
        <w:gridCol w:w="4932"/>
        <w:gridCol w:w="4932"/>
      </w:tblGrid>
      <w:tr>
        <w:trPr>
          <w:trHeight w:hRule="atLeast"/>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Γ_h = (g_act, g_mem, g_lang, g_wit, g_resp, g_doc, g_other, g_body, g_time, g_prov)</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T4-F140</w:t>
              <w:br/>
              <w:t>AUTHORIAL VECTOR</w:t>
            </w:r>
          </w:p>
        </w:tc>
      </w:tr>
    </w:tbl>
    <w:tbl>
      <w:tblPr>
        <w:tblW w:type="auto" w:w="0"/>
        <w:jc w:val="center"/>
        <w:tblLayout w:type="fixed"/>
        <w:tblLook w:firstColumn="1" w:firstRow="1" w:lastColumn="0" w:lastRow="0" w:noHBand="0" w:noVBand="1" w:val="04A0"/>
      </w:tblPr>
      <w:tblGrid>
        <w:gridCol w:w="4932"/>
        <w:gridCol w:w="4932"/>
      </w:tblGrid>
      <w:tr>
        <w:trPr>
          <w:trHeight w:hRule="atLeast"/>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g_j ∈ G_j(Dom_j, Scale_j, Evidence_j, Repair_j)</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T4-F141</w:t>
              <w:br/>
              <w:t>TYPED COMPONENT</w:t>
            </w:r>
          </w:p>
        </w:tc>
      </w:tr>
    </w:tbl>
    <w:p>
      <w:pPr>
        <w:keepNext w:val="0"/>
        <w:widowControl/>
        <w:spacing w:after="80" w:line="269" w:lineRule="auto"/>
      </w:pPr>
      <w:r>
        <w:rPr>
          <w:rFonts w:ascii="DejaVu Serif" w:hAnsi="DejaVu Serif" w:eastAsia="DejaVu Serif"/>
          <w:b w:val="0"/>
          <w:i w:val="0"/>
          <w:color w:val="1A2433"/>
          <w:sz w:val="21"/>
        </w:rPr>
        <w:t>Компоненты не обязаны быть числами одного типа. g_act может быть графовым разрывом действия, g_mem — множеством несовместимых версий памяти, g_lang — отсутствием переводящей карты, g_wit — конфликтом свидетельств, g_resp — незакрытым авторством или контролем, g_doc — отсутствующим документом, g_prov — разорванной цепью происхождения.</w:t>
      </w:r>
    </w:p>
    <w:p>
      <w:pPr>
        <w:pStyle w:val="Heading2"/>
        <w:keepNext/>
        <w:widowControl/>
      </w:pPr>
      <w:r>
        <w:t>19.2. Частичный порядок и запрет канонической скаляризации</w:t>
      </w:r>
    </w:p>
    <w:tbl>
      <w:tblPr>
        <w:tblW w:type="auto" w:w="0"/>
        <w:jc w:val="center"/>
        <w:tblLayout w:type="fixed"/>
        <w:tblLook w:firstColumn="1" w:firstRow="1" w:lastColumn="0" w:lastRow="0" w:noHBand="0" w:noVBand="1" w:val="04A0"/>
      </w:tblPr>
      <w:tblGrid>
        <w:gridCol w:w="4932"/>
        <w:gridCol w:w="4932"/>
      </w:tblGrid>
      <w:tr>
        <w:trPr>
          <w:trHeight w:hRule="atLeast"/>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Γ ⪯ Γ′ ⇔ ∀j: g_j ⪯_j g′_j  where components are comparable</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T4-F142</w:t>
              <w:br/>
              <w:t>PARTIAL ORDER</w:t>
            </w:r>
          </w:p>
        </w:tc>
      </w:tr>
    </w:tbl>
    <w:tbl>
      <w:tblPr>
        <w:tblW w:type="auto" w:w="0"/>
        <w:jc w:val="center"/>
        <w:tblLayout w:type="fixed"/>
        <w:tblLook w:firstColumn="1" w:firstRow="1" w:lastColumn="0" w:lastRow="0" w:noHBand="0" w:noVBand="1" w:val="04A0"/>
      </w:tblPr>
      <w:tblGrid>
        <w:gridCol w:w="4932"/>
        <w:gridCol w:w="4932"/>
      </w:tblGrid>
      <w:tr>
        <w:trPr>
          <w:trHeight w:hRule="atLeast"/>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AnthroCGI_h := Γ_h   (vector, not scalar)</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T4-F143</w:t>
              <w:br/>
              <w:t>AUTHORIAL DEF</w:t>
            </w:r>
          </w:p>
        </w:tc>
      </w:tr>
    </w:tbl>
    <w:tbl>
      <w:tblPr>
        <w:tblW w:type="auto" w:w="0"/>
        <w:jc w:val="center"/>
        <w:tblLayout w:type="fixed"/>
        <w:tblLook w:firstColumn="1" w:firstRow="1" w:lastColumn="0" w:lastRow="0" w:noHBand="0" w:noVBand="1" w:val="04A0"/>
      </w:tblPr>
      <w:tblGrid>
        <w:gridCol w:w="9432"/>
      </w:tblGrid>
      <w:tr>
        <w:trPr>
          <w:cantSplit w:val="true"/>
          <w:trHeight w:hRule="atLeast"/>
        </w:trPr>
        <w:tc>
          <w:tcPr>
            <w:tcW w:type="dxa" w:w="9432"/>
            <w:vAlign w:val="center"/>
            <w:shd w:fill="EDF7EF" w:val="clear"/>
            <w:tcBorders>
              <w:top w:val="single" w:sz="12" w:color="3F7D5B"/>
              <w:left w:val="single" w:sz="12" w:color="3F7D5B"/>
              <w:bottom w:val="single" w:sz="12" w:color="3F7D5B"/>
              <w:right w:val="single" w:sz="12" w:color="3F7D5B"/>
            </w:tcBorders>
            <w:tcMar>
              <w:top w:w="90" w:type="dxa"/>
              <w:start w:w="100" w:type="dxa"/>
              <w:bottom w:w="90" w:type="dxa"/>
              <w:end w:w="100" w:type="dxa"/>
            </w:tcMar>
          </w:tcPr>
          <w:p>
            <w:pPr>
              <w:widowControl/>
              <w:spacing w:after="40"/>
            </w:pPr>
            <w:r/>
            <w:r>
              <w:rPr>
                <w:rFonts w:ascii="DejaVu Sans" w:hAnsi="DejaVu Sans" w:eastAsia="DejaVu Sans"/>
                <w:b/>
                <w:i w:val="0"/>
                <w:color w:val="3F7D5B"/>
                <w:sz w:val="21"/>
              </w:rPr>
              <w:t>ТЕОРЕМА T4.19.1 — NO CANONICAL SCALARIZATION</w:t>
            </w:r>
          </w:p>
          <w:p>
            <w:pPr>
              <w:widowControl/>
              <w:spacing w:line="259" w:lineRule="auto" w:after="0"/>
            </w:pPr>
            <w:r>
              <w:rPr>
                <w:rFonts w:ascii="DejaVu Serif" w:hAnsi="DejaVu Serif" w:eastAsia="DejaVu Serif"/>
                <w:b w:val="0"/>
                <w:i w:val="0"/>
                <w:color w:val="1A2433"/>
                <w:sz w:val="20"/>
              </w:rPr>
              <w:t>Если хотя бы две обязательные компоненты Γ_h принадлежат различным несводимым шкалам либо дают несравнимые профили, то из одной структуры Γ_h не следует канонический скаляр AnthroCGI∈ℝ. Скаляризация допустима только после объявления домена, функции агрегации, весов, монотонности, процедуры калибровки и этической цели.</w:t>
            </w:r>
          </w:p>
        </w:tc>
      </w:tr>
    </w:tbl>
    <w:p>
      <w:pPr>
        <w:keepNext w:val="0"/>
        <w:widowControl/>
        <w:spacing w:after="80" w:line="269" w:lineRule="auto"/>
      </w:pPr>
      <w:r>
        <w:rPr>
          <w:rFonts w:ascii="DejaVu Serif" w:hAnsi="DejaVu Serif" w:eastAsia="DejaVu Serif"/>
          <w:b w:val="0"/>
          <w:i w:val="0"/>
          <w:color w:val="1A2433"/>
          <w:sz w:val="21"/>
        </w:rPr>
        <w:t>Доказательство. Рассмотрим профили Γ=(high memory gap, low responsibility gap) и Γ′=(low memory gap, high responsibility gap). Без внешнего порядка важности они несравнимы. Любое число, которое ранжирует их, вводит дополнительное правило, отсутствующее в исходных данных. Следовательно, скаляр не является инвариантом Γ, а зависит от выбранного агрегатора. □</w:t>
      </w:r>
    </w:p>
    <w:tbl>
      <w:tblPr>
        <w:tblW w:type="auto" w:w="0"/>
        <w:jc w:val="center"/>
        <w:tblLayout w:type="fixed"/>
        <w:tblLook w:firstColumn="1" w:firstRow="1" w:lastColumn="0" w:lastRow="0" w:noHBand="0" w:noVBand="1" w:val="04A0"/>
      </w:tblPr>
      <w:tblGrid>
        <w:gridCol w:w="4932"/>
        <w:gridCol w:w="4932"/>
      </w:tblGrid>
      <w:tr>
        <w:trPr>
          <w:trHeight w:hRule="atLeast"/>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Agg_w(Γ) = Φ(w_1·g_1, …, w_n·g_n)  only under registered policy Π_agg</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T4-F144</w:t>
              <w:br/>
              <w:t>COND/NO DEFAULT</w:t>
            </w:r>
          </w:p>
        </w:tc>
      </w:tr>
    </w:tbl>
    <w:p>
      <w:pPr>
        <w:pStyle w:val="Heading2"/>
        <w:keepNext/>
        <w:widowControl/>
      </w:pPr>
      <w:r>
        <w:t>19.3. Таксономия антропологических разрывов</w:t>
      </w:r>
    </w:p>
    <w:tbl>
      <w:tblPr>
        <w:tblW w:type="auto" w:w="0"/>
        <w:jc w:val="center"/>
        <w:tblLayout w:type="fixed"/>
        <w:tblLook w:firstColumn="1" w:firstRow="1" w:lastColumn="0" w:lastRow="0" w:noHBand="0" w:noVBand="1" w:val="04A0"/>
      </w:tblPr>
      <w:tblGrid>
        <w:gridCol w:w="3288"/>
        <w:gridCol w:w="3288"/>
        <w:gridCol w:w="3288"/>
      </w:tblGrid>
      <w:tr>
        <w:trPr>
          <w:trHeight w:hRule="atLeast"/>
          <w:tblHeader w:val="true"/>
        </w:trPr>
        <w:tc>
          <w:tcPr>
            <w:tcW w:type="dxa" w:w="1944"/>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5"/>
              </w:rPr>
              <w:t>Разрыв</w:t>
            </w:r>
          </w:p>
        </w:tc>
        <w:tc>
          <w:tcPr>
            <w:tcW w:type="dxa" w:w="4536"/>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5"/>
              </w:rPr>
              <w:t>Формальный признак</w:t>
            </w:r>
          </w:p>
        </w:tc>
        <w:tc>
          <w:tcPr>
            <w:tcW w:type="dxa" w:w="2880"/>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5"/>
              </w:rPr>
              <w:t>Что нельзя заключать</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Действия</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Δ начато, но цепь не замкнута или потерян control bridge.</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Нельзя автоматически выводить вину или отсутствие воли.</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Памяти</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Версии несовместимы; source/witness missing.</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Нельзя отождествлять с ложью или патологией.</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Языка</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Нет τ между контекстами; residual не учтён.</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Нельзя считать другого «нелогичным».</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Свидетельства</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Конфликт показаний либо provenance gap.</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Нельзя выбирать удобную версию без D.</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Ответственности</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Не закрыты authorship/awareness/control/foreseeability.</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Нельзя давать юридическую или моральную квалификацию.</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Документа</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Отсутствует, повреждён, неподлинен либо вне Dom.</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Нельзя считать отсутствие записи отсутствием события.</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Телесно-временной ориентации</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Нарушено согласование near/far, before/after, body/instrument.</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Нельзя ставить клинический диагноз из KLT-схемы.</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Интерсубъективности</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Нет общего объекта, translation map или shared D.</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Нельзя усреднять несовместимые миры одним числом.</w:t>
            </w:r>
          </w:p>
        </w:tc>
      </w:tr>
    </w:tbl>
    <w:p>
      <w:pPr>
        <w:pStyle w:val="Heading2"/>
        <w:keepNext/>
        <w:widowControl/>
      </w:pPr>
      <w:r>
        <w:t>19.4. Repair и weakest-link</w:t>
      </w:r>
    </w:p>
    <w:tbl>
      <w:tblPr>
        <w:tblW w:type="auto" w:w="0"/>
        <w:jc w:val="center"/>
        <w:tblLayout w:type="fixed"/>
        <w:tblLook w:firstColumn="1" w:firstRow="1" w:lastColumn="0" w:lastRow="0" w:noHBand="0" w:noVBand="1" w:val="04A0"/>
      </w:tblPr>
      <w:tblGrid>
        <w:gridCol w:w="4932"/>
        <w:gridCol w:w="4932"/>
      </w:tblGrid>
      <w:tr>
        <w:trPr>
          <w:trHeight w:hRule="atLeast"/>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Bridge_j : Gap_j × Evidence_j ⇀ Closed_j</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T4-F145</w:t>
              <w:br/>
              <w:t>PARTIAL REPAIR</w:t>
            </w:r>
          </w:p>
        </w:tc>
      </w:tr>
    </w:tbl>
    <w:tbl>
      <w:tblPr>
        <w:tblW w:type="auto" w:w="0"/>
        <w:jc w:val="center"/>
        <w:tblLayout w:type="fixed"/>
        <w:tblLook w:firstColumn="1" w:firstRow="1" w:lastColumn="0" w:lastRow="0" w:noHBand="0" w:noVBand="1" w:val="04A0"/>
      </w:tblPr>
      <w:tblGrid>
        <w:gridCol w:w="4932"/>
        <w:gridCol w:w="4932"/>
      </w:tblGrid>
      <w:tr>
        <w:trPr>
          <w:trHeight w:hRule="atLeast"/>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Repair(Γ_h) = (Bridge_j(g_j,e_j))_j  with unresolved components preserved</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T4-F146</w:t>
              <w:br/>
              <w:t>AUTHORIAL OPERATOR</w:t>
            </w:r>
          </w:p>
        </w:tc>
      </w:tr>
    </w:tbl>
    <w:tbl>
      <w:tblPr>
        <w:tblW w:type="auto" w:w="0"/>
        <w:jc w:val="center"/>
        <w:tblLayout w:type="fixed"/>
        <w:tblLook w:firstColumn="1" w:firstRow="1" w:lastColumn="0" w:lastRow="0" w:noHBand="0" w:noVBand="1" w:val="04A0"/>
      </w:tblPr>
      <w:tblGrid>
        <w:gridCol w:w="4932"/>
        <w:gridCol w:w="4932"/>
      </w:tblGrid>
      <w:tr>
        <w:trPr>
          <w:trHeight w:hRule="atLeast"/>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mandatory unresolved g_j ⇒ verdict = ABSTAIN-ANTHRO</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T4-F147</w:t>
              <w:br/>
              <w:t>WEAKEST-LINK</w:t>
            </w:r>
          </w:p>
        </w:tc>
      </w:tr>
    </w:tbl>
    <w:p>
      <w:pPr>
        <w:keepNext w:val="0"/>
        <w:widowControl/>
        <w:spacing w:after="80" w:line="269" w:lineRule="auto"/>
      </w:pPr>
      <w:r>
        <w:rPr>
          <w:rFonts w:ascii="DejaVu Serif" w:hAnsi="DejaVu Serif" w:eastAsia="DejaVu Serif"/>
          <w:b w:val="0"/>
          <w:i w:val="0"/>
          <w:color w:val="1A2433"/>
          <w:sz w:val="21"/>
        </w:rPr>
        <w:t>Ремонт компоненты не означает исцеление или исправление человека. Он означает восстановление конкретной связи: найден документ, уточнён перевод, разведены версии памяти, определено авторство, восстановлена временная последовательность. Неразрешённые компоненты остаются видимыми; система не компенсирует разрыв ответственности избытком документов или разрыв provenance красотой повествования.</w:t>
      </w:r>
    </w:p>
    <w:tbl>
      <w:tblPr>
        <w:tblW w:type="auto" w:w="0"/>
        <w:jc w:val="center"/>
        <w:tblLayout w:type="fixed"/>
        <w:tblLook w:firstColumn="1" w:firstRow="1" w:lastColumn="0" w:lastRow="0" w:noHBand="0" w:noVBand="1" w:val="04A0"/>
      </w:tblPr>
      <w:tblGrid>
        <w:gridCol w:w="9432"/>
      </w:tblGrid>
      <w:tr>
        <w:trPr>
          <w:cantSplit w:val="true"/>
          <w:trHeight w:hRule="atLeast"/>
        </w:trPr>
        <w:tc>
          <w:tcPr>
            <w:tcW w:type="dxa" w:w="9432"/>
            <w:vAlign w:val="center"/>
            <w:shd w:fill="EDF7EF" w:val="clear"/>
            <w:tcBorders>
              <w:top w:val="single" w:sz="12" w:color="3F7D5B"/>
              <w:left w:val="single" w:sz="12" w:color="3F7D5B"/>
              <w:bottom w:val="single" w:sz="12" w:color="3F7D5B"/>
              <w:right w:val="single" w:sz="12" w:color="3F7D5B"/>
            </w:tcBorders>
            <w:tcMar>
              <w:top w:w="90" w:type="dxa"/>
              <w:start w:w="100" w:type="dxa"/>
              <w:bottom w:w="90" w:type="dxa"/>
              <w:end w:w="100" w:type="dxa"/>
            </w:tcMar>
          </w:tcPr>
          <w:p>
            <w:pPr>
              <w:widowControl/>
              <w:spacing w:after="40"/>
            </w:pPr>
            <w:r/>
            <w:r>
              <w:rPr>
                <w:rFonts w:ascii="DejaVu Sans" w:hAnsi="DejaVu Sans" w:eastAsia="DejaVu Sans"/>
                <w:b/>
                <w:i w:val="0"/>
                <w:color w:val="3F7D5B"/>
                <w:sz w:val="21"/>
              </w:rPr>
              <w:t>ПРОПОЗИЦИЯ T4.19.2 — МОНОТОННОСТЬ ЛОКАЛЬНОГО РЕМОНТА</w:t>
            </w:r>
          </w:p>
          <w:p>
            <w:pPr>
              <w:widowControl/>
              <w:spacing w:line="259" w:lineRule="auto" w:after="0"/>
            </w:pPr>
            <w:r>
              <w:rPr>
                <w:rFonts w:ascii="DejaVu Serif" w:hAnsi="DejaVu Serif" w:eastAsia="DejaVu Serif"/>
                <w:b w:val="0"/>
                <w:i w:val="0"/>
                <w:color w:val="1A2433"/>
                <w:sz w:val="20"/>
              </w:rPr>
              <w:t>Если для каждой изменённой компоненты Bridge_j монотонно уменьшает её дефект в частичном порядке ⪯_j и не ухудшает остальные компоненты, то Repair(Γ)⪯Γ. Из этого не следует единственный числовой размер улучшения.</w:t>
            </w:r>
          </w:p>
        </w:tc>
      </w:tr>
    </w:tbl>
    <w:p>
      <w:pPr>
        <w:pStyle w:val="Heading2"/>
        <w:keepNext/>
        <w:widowControl/>
      </w:pPr>
      <w:r>
        <w:t>19.5. Философский диалог и этическая граница</w:t>
      </w:r>
    </w:p>
    <w:tbl>
      <w:tblPr>
        <w:tblW w:type="auto" w:w="0"/>
        <w:jc w:val="center"/>
        <w:tblLayout w:type="fixed"/>
        <w:tblLook w:firstColumn="1" w:firstRow="1" w:lastColumn="0" w:lastRow="0" w:noHBand="0" w:noVBand="1" w:val="04A0"/>
      </w:tblPr>
      <w:tblGrid>
        <w:gridCol w:w="3288"/>
        <w:gridCol w:w="3288"/>
        <w:gridCol w:w="3288"/>
      </w:tblGrid>
      <w:tr>
        <w:trPr>
          <w:trHeight w:hRule="atLeast"/>
          <w:tblHeader w:val="true"/>
        </w:trPr>
        <w:tc>
          <w:tcPr>
            <w:tcW w:type="dxa" w:w="1728"/>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Линия</w:t>
            </w:r>
          </w:p>
        </w:tc>
        <w:tc>
          <w:tcPr>
            <w:tcW w:type="dxa" w:w="3960"/>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Философский смысл</w:t>
            </w:r>
          </w:p>
        </w:tc>
        <w:tc>
          <w:tcPr>
            <w:tcW w:type="dxa" w:w="3672"/>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KLT-ограничение</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Мерло-Понти</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Тело — не объект среди объектов, а исходная ориентация мира.</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g_body описывает связь, а не «дефект тела».</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Рикёр</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Идентичность удерживается рассказом, обещанием, памятью и ответственностью.</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Компоненты Γ не заменяют личную идентичность.</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Хайдеггер</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Разрыв проявляется в нарушении способа быть-в-мире, а не только в ошибочном сообщении.</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AnthroCGI относится к отношениям и проектам.</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Кассирер</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Символические формы дают разные способы мирового порядка.</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g_lang требует translation map, а не шкалы культурной ценности.</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Курпишев</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Human_R дыроват, но способен пересобирать связность через действие, память, документ и D.</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Repair сохраняет blockers и возвращает ABSTAIN при недостаточном основании.</w:t>
            </w:r>
          </w:p>
        </w:tc>
      </w:tr>
    </w:tbl>
    <w:p>
      <w:pPr>
        <w:pStyle w:val="ListBullet"/>
        <w:widowControl/>
        <w:spacing w:after="40" w:line="259" w:lineRule="auto"/>
      </w:pPr>
      <w:r>
        <w:rPr>
          <w:rFonts w:ascii="DejaVu Serif" w:hAnsi="DejaVu Serif" w:eastAsia="DejaVu Serif"/>
          <w:b w:val="0"/>
          <w:i w:val="0"/>
          <w:color w:val="1A2433"/>
          <w:sz w:val="20"/>
        </w:rPr>
        <w:t>CM-048: scalar-person-score — Γ_h свёрнут в универсальный рейтинг человека.</w:t>
      </w:r>
    </w:p>
    <w:p>
      <w:pPr>
        <w:pStyle w:val="ListBullet"/>
        <w:widowControl/>
        <w:spacing w:after="40" w:line="259" w:lineRule="auto"/>
      </w:pPr>
      <w:r>
        <w:rPr>
          <w:rFonts w:ascii="DejaVu Serif" w:hAnsi="DejaVu Serif" w:eastAsia="DejaVu Serif"/>
          <w:b w:val="0"/>
          <w:i w:val="0"/>
          <w:color w:val="1A2433"/>
          <w:sz w:val="20"/>
        </w:rPr>
        <w:t>CM-049: clinical-promotion — структурный gap объявлен диагнозом.</w:t>
      </w:r>
    </w:p>
    <w:p>
      <w:pPr>
        <w:pStyle w:val="ListBullet"/>
        <w:widowControl/>
        <w:spacing w:after="40" w:line="259" w:lineRule="auto"/>
      </w:pPr>
      <w:r>
        <w:rPr>
          <w:rFonts w:ascii="DejaVu Serif" w:hAnsi="DejaVu Serif" w:eastAsia="DejaVu Serif"/>
          <w:b w:val="0"/>
          <w:i w:val="0"/>
          <w:color w:val="1A2433"/>
          <w:sz w:val="20"/>
        </w:rPr>
        <w:t>CM-050: compensation fallacy — сильная документарная компонента скрывает разрыв ответственности.</w:t>
      </w:r>
    </w:p>
    <w:p>
      <w:pPr>
        <w:pStyle w:val="ListBullet"/>
        <w:widowControl/>
        <w:spacing w:after="40" w:line="259" w:lineRule="auto"/>
      </w:pPr>
      <w:r>
        <w:rPr>
          <w:rFonts w:ascii="DejaVu Serif" w:hAnsi="DejaVu Serif" w:eastAsia="DejaVu Serif"/>
          <w:b w:val="0"/>
          <w:i w:val="0"/>
          <w:color w:val="1A2433"/>
          <w:sz w:val="20"/>
        </w:rPr>
        <w:t>CM-051: repair-totalization — локальное восстановление одного моста объявлено полным восстановлением Human_R.</w:t>
      </w:r>
    </w:p>
    <w:tbl>
      <w:tblPr>
        <w:tblW w:type="auto" w:w="0"/>
        <w:jc w:val="center"/>
        <w:tblLayout w:type="fixed"/>
        <w:tblLook w:firstColumn="1" w:firstRow="1" w:lastColumn="0" w:lastRow="0" w:noHBand="0" w:noVBand="1" w:val="04A0"/>
      </w:tblPr>
      <w:tblGrid>
        <w:gridCol w:w="9432"/>
      </w:tblGrid>
      <w:tr>
        <w:trPr>
          <w:cantSplit w:val="true"/>
          <w:trHeight w:hRule="atLeast"/>
        </w:trPr>
        <w:tc>
          <w:tcPr>
            <w:tcW w:type="dxa" w:w="9432"/>
            <w:vAlign w:val="center"/>
            <w:shd w:fill="FBF5E8" w:val="clear"/>
            <w:tcBorders>
              <w:top w:val="single" w:sz="12" w:color="A87B20"/>
              <w:left w:val="single" w:sz="12" w:color="A87B20"/>
              <w:bottom w:val="single" w:sz="12" w:color="A87B20"/>
              <w:right w:val="single" w:sz="12" w:color="A87B20"/>
            </w:tcBorders>
            <w:tcMar>
              <w:top w:w="90" w:type="dxa"/>
              <w:start w:w="100" w:type="dxa"/>
              <w:bottom w:w="90" w:type="dxa"/>
              <w:end w:w="100" w:type="dxa"/>
            </w:tcMar>
          </w:tcPr>
          <w:p>
            <w:pPr>
              <w:widowControl/>
              <w:spacing w:after="40"/>
            </w:pPr>
            <w:r/>
            <w:r>
              <w:rPr>
                <w:rFonts w:ascii="DejaVu Sans" w:hAnsi="DejaVu Sans" w:eastAsia="DejaVu Sans"/>
                <w:b/>
                <w:i w:val="0"/>
                <w:color w:val="A87B20"/>
                <w:sz w:val="21"/>
              </w:rPr>
              <w:t>ФИЛОСОФСКОЕ СЛЕДСТВИЕ ГЛАВЫ 19</w:t>
            </w:r>
          </w:p>
          <w:p>
            <w:pPr>
              <w:widowControl/>
              <w:spacing w:line="259" w:lineRule="auto" w:after="0"/>
            </w:pPr>
            <w:r>
              <w:rPr>
                <w:rFonts w:ascii="DejaVu Serif" w:hAnsi="DejaVu Serif" w:eastAsia="DejaVu Serif"/>
                <w:b w:val="0"/>
                <w:i/>
                <w:color w:val="1A2433"/>
                <w:sz w:val="20"/>
              </w:rPr>
              <w:t>Дыроватость не является унижением человека. Она есть условие его истории: там, где связь разорвана, возможны ответственность, обещание, свидетельство и новый акт начала. Антропология не должна превращать эту открытость в рейтинг. Её задача — показать, какие мосты существуют, какие разрушены и где требуется честное воздержание от вывода.</w:t>
            </w:r>
          </w:p>
        </w:tc>
      </w:tr>
    </w:tbl>
    <w:p>
      <w:pPr>
        <w:pStyle w:val="Heading1"/>
        <w:keepNext/>
        <w:pageBreakBefore/>
        <w:widowControl/>
      </w:pPr>
      <w:r>
        <w:t>Глава 20. Документ, архив и внешняя память</w:t>
      </w:r>
    </w:p>
    <w:tbl>
      <w:tblPr>
        <w:tblW w:type="auto" w:w="0"/>
        <w:jc w:val="center"/>
        <w:tblLayout w:type="fixed"/>
        <w:tblLook w:firstColumn="1" w:firstRow="1" w:lastColumn="0" w:lastRow="0" w:noHBand="0" w:noVBand="1" w:val="04A0"/>
      </w:tblPr>
      <w:tblGrid>
        <w:gridCol w:w="9432"/>
      </w:tblGrid>
      <w:tr>
        <w:trPr>
          <w:cantSplit w:val="true"/>
          <w:trHeight w:hRule="atLeast"/>
        </w:trPr>
        <w:tc>
          <w:tcPr>
            <w:tcW w:type="dxa" w:w="9432"/>
            <w:vAlign w:val="center"/>
            <w:shd w:fill="FBF5E8" w:val="clear"/>
            <w:tcBorders>
              <w:top w:val="single" w:sz="12" w:color="A87B20"/>
              <w:left w:val="single" w:sz="12" w:color="A87B20"/>
              <w:bottom w:val="single" w:sz="12" w:color="A87B20"/>
              <w:right w:val="single" w:sz="12" w:color="A87B20"/>
            </w:tcBorders>
            <w:tcMar>
              <w:top w:w="90" w:type="dxa"/>
              <w:start w:w="100" w:type="dxa"/>
              <w:bottom w:w="90" w:type="dxa"/>
              <w:end w:w="100" w:type="dxa"/>
            </w:tcMar>
          </w:tcPr>
          <w:p>
            <w:pPr>
              <w:widowControl/>
              <w:spacing w:after="40"/>
            </w:pPr>
            <w:r/>
            <w:r>
              <w:rPr>
                <w:rFonts w:ascii="DejaVu Sans" w:hAnsi="DejaVu Sans" w:eastAsia="DejaVu Sans"/>
                <w:b/>
                <w:i w:val="0"/>
                <w:color w:val="A87B20"/>
                <w:sz w:val="21"/>
              </w:rPr>
              <w:t>ФИЛОСОФСКИЙ ПРОЛОГ</w:t>
            </w:r>
          </w:p>
          <w:p>
            <w:pPr>
              <w:widowControl/>
              <w:spacing w:line="259" w:lineRule="auto" w:after="0"/>
            </w:pPr>
            <w:r>
              <w:rPr>
                <w:rFonts w:ascii="DejaVu Serif" w:hAnsi="DejaVu Serif" w:eastAsia="DejaVu Serif"/>
                <w:b w:val="0"/>
                <w:i/>
                <w:color w:val="1A2433"/>
                <w:sz w:val="20"/>
              </w:rPr>
              <w:t>Память становится документом, когда покидает только внутреннее время человека и получает внешний носитель. Она выигрывает длительность, повторяемость и публичность, но теряет полноту присутствия. Архив спасает след от исчезновения и одновременно решает, что считать достойным сохранения. Поэтому документ — не безмолвная вещь: это замороженное действие, переданное будущему вместе с основанием, пробелом и ответственностью.</w:t>
            </w:r>
          </w:p>
        </w:tc>
      </w:tr>
    </w:tbl>
    <w:tbl>
      <w:tblPr>
        <w:tblW w:type="auto" w:w="0"/>
        <w:jc w:val="center"/>
        <w:tblLayout w:type="fixed"/>
        <w:tblLook w:firstColumn="1" w:firstRow="1" w:lastColumn="0" w:lastRow="0" w:noHBand="0" w:noVBand="1" w:val="04A0"/>
      </w:tblPr>
      <w:tblGrid>
        <w:gridCol w:w="4932"/>
        <w:gridCol w:w="4932"/>
      </w:tblGrid>
      <w:tr>
        <w:trPr>
          <w:trHeight w:hRule="atLeast"/>
          <w:tblHeader w:val="true"/>
        </w:trPr>
        <w:tc>
          <w:tcPr>
            <w:tcW w:type="dxa" w:w="1872"/>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7"/>
              </w:rPr>
              <w:t>Слой</w:t>
            </w:r>
          </w:p>
        </w:tc>
        <w:tc>
          <w:tcPr>
            <w:tcW w:type="dxa" w:w="7488"/>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7"/>
              </w:rPr>
              <w:t>Формулировка</w:t>
            </w:r>
          </w:p>
        </w:tc>
      </w:tr>
      <w:tr>
        <w:trPr>
          <w:trHeight w:hRule="atLeast"/>
        </w:trPr>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7"/>
              </w:rPr>
              <w:t>ОНТОЛОГИЯ</w:t>
            </w:r>
          </w:p>
        </w:tc>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7"/>
              </w:rPr>
              <w:t>Документ есть артефакт события@состояния; архив — версионированная сеть документов, переходов и правил хранения.</w:t>
            </w:r>
          </w:p>
        </w:tc>
      </w:tr>
      <w:tr>
        <w:trPr>
          <w:trHeight w:hRule="atLeast"/>
        </w:trPr>
        <w:tc>
          <w:tcPr>
            <w:tcW w:type="dxa" w:w="493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7"/>
              </w:rPr>
              <w:t>ГНОСЕОЛОГИЯ</w:t>
            </w:r>
          </w:p>
        </w:tc>
        <w:tc>
          <w:tcPr>
            <w:tcW w:type="dxa" w:w="493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7"/>
              </w:rPr>
              <w:t>Документ поддерживает вывод только через подлинность, provenance, релевантность, Dom и достаточность.</w:t>
            </w:r>
          </w:p>
        </w:tc>
      </w:tr>
      <w:tr>
        <w:trPr>
          <w:trHeight w:hRule="atLeast"/>
        </w:trPr>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7"/>
              </w:rPr>
              <w:t>ФЕНОМЕНОЛОГИЯ</w:t>
            </w:r>
          </w:p>
        </w:tc>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7"/>
              </w:rPr>
              <w:t>Запись делает отсутствующее доступным, но никогда не возвращает тождественно живое настоящее.</w:t>
            </w:r>
          </w:p>
        </w:tc>
      </w:tr>
      <w:tr>
        <w:trPr>
          <w:trHeight w:hRule="atLeast"/>
        </w:trPr>
        <w:tc>
          <w:tcPr>
            <w:tcW w:type="dxa" w:w="493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7"/>
              </w:rPr>
              <w:t>ОГРАНИЧЕНИЕ</w:t>
            </w:r>
          </w:p>
        </w:tc>
        <w:tc>
          <w:tcPr>
            <w:tcW w:type="dxa" w:w="493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7"/>
              </w:rPr>
              <w:t>Хеш подтверждает байты, подпись — происхождение в заданной схеме, но ни то ни другое само по себе не доказывает истинность содержания.</w:t>
            </w:r>
          </w:p>
        </w:tc>
      </w:tr>
      <w:tr>
        <w:trPr>
          <w:trHeight w:hRule="atLeast"/>
        </w:trPr>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7"/>
              </w:rPr>
              <w:t>АВТОРСКАЯ НОВИЗНА</w:t>
            </w:r>
          </w:p>
        </w:tc>
        <w:tc>
          <w:tcPr>
            <w:tcW w:type="dxa" w:w="493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7"/>
              </w:rPr>
              <w:t>KLT превращает документ в Reper-узел с D/Dom, статусом, версиями, blocker list и маршрутом реконструкции.</w:t>
            </w:r>
          </w:p>
        </w:tc>
      </w:tr>
    </w:tbl>
    <w:p>
      <w:pPr>
        <w:widowControl/>
        <w:spacing w:after="40"/>
        <w:jc w:val="center"/>
      </w:pPr>
      <w:r>
        <w:drawing>
          <wp:inline xmlns:a="http://schemas.openxmlformats.org/drawingml/2006/main" xmlns:pic="http://schemas.openxmlformats.org/drawingml/2006/picture">
            <wp:extent cx="5715000" cy="6310239"/>
            <wp:docPr id="20" name="Picture 20" descr="Вертикальная схема показывает последовательность живое событие, память, документ, архив, KLT-RBD, а также потери полноты, медиальную редукцию, селекцию архива и частичный reconstruction gate." title="Рисунок 20. От живого события к документу, архиву и внешней памяти KLT-RBD."/>
            <wp:cNvGraphicFramePr>
              <a:graphicFrameLocks noChangeAspect="1"/>
            </wp:cNvGraphicFramePr>
            <a:graphic>
              <a:graphicData uri="http://schemas.openxmlformats.org/drawingml/2006/picture">
                <pic:pic>
                  <pic:nvPicPr>
                    <pic:cNvPr id="0" name="fig20_archive_memory.png"/>
                    <pic:cNvPicPr/>
                  </pic:nvPicPr>
                  <pic:blipFill>
                    <a:blip r:embed="rId34"/>
                    <a:stretch>
                      <a:fillRect/>
                    </a:stretch>
                  </pic:blipFill>
                  <pic:spPr>
                    <a:xfrm>
                      <a:off x="0" y="0"/>
                      <a:ext cx="5715000" cy="6310239"/>
                    </a:xfrm>
                    <a:prstGeom prst="rect"/>
                  </pic:spPr>
                </pic:pic>
              </a:graphicData>
            </a:graphic>
          </wp:inline>
        </w:drawing>
      </w:r>
    </w:p>
    <w:p>
      <w:pPr>
        <w:pStyle w:val="Caption"/>
        <w:keepLines/>
        <w:widowControl/>
        <w:spacing w:after="120"/>
        <w:jc w:val="center"/>
      </w:pPr>
      <w:r>
        <w:rPr>
          <w:rFonts w:ascii="DejaVu Serif" w:hAnsi="DejaVu Serif" w:eastAsia="DejaVu Serif"/>
          <w:b/>
          <w:i w:val="0"/>
          <w:color w:val="4F81BD"/>
          <w:sz w:val="18"/>
        </w:rPr>
        <w:t>Рисунок 20. От живого события к документу, архиву и внешней памяти KLT-RBD.</w:t>
      </w:r>
    </w:p>
    <w:p>
      <w:pPr>
        <w:pStyle w:val="Heading2"/>
        <w:keepNext/>
        <w:widowControl/>
      </w:pPr>
      <w:r>
        <w:t>20.1. Тип документа</w:t>
      </w:r>
    </w:p>
    <w:tbl>
      <w:tblPr>
        <w:tblW w:type="auto" w:w="0"/>
        <w:jc w:val="center"/>
        <w:tblLayout w:type="fixed"/>
        <w:tblLook w:firstColumn="1" w:firstRow="1" w:lastColumn="0" w:lastRow="0" w:noHBand="0" w:noVBand="1" w:val="04A0"/>
      </w:tblPr>
      <w:tblGrid>
        <w:gridCol w:w="4932"/>
        <w:gridCol w:w="4932"/>
      </w:tblGrid>
      <w:tr>
        <w:trPr>
          <w:trHeight w:hRule="atLeast"/>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Doc_h = (content, event-state, author, time, medium, signature, hash, provenance, Dom, D, σ)</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T4-F148</w:t>
              <w:br/>
              <w:t>AUTHORIAL DEF</w:t>
            </w:r>
          </w:p>
        </w:tc>
      </w:tr>
    </w:tbl>
    <w:p>
      <w:pPr>
        <w:keepNext w:val="0"/>
        <w:widowControl/>
        <w:spacing w:after="80" w:line="269" w:lineRule="auto"/>
      </w:pPr>
      <w:r>
        <w:rPr>
          <w:rFonts w:ascii="DejaVu Serif" w:hAnsi="DejaVu Serif" w:eastAsia="DejaVu Serif"/>
          <w:b w:val="0"/>
          <w:i w:val="0"/>
          <w:color w:val="1A2433"/>
          <w:sz w:val="21"/>
        </w:rPr>
        <w:t>Документ может быть текстом, изображением, измерительным файлом, чертежом, протоколом, подписью, исходным кодом или иным носителем. Его физическая сохранность, юридическая сила, доказательная релевантность и истинность содержания образуют разные каналы статуса. Один и тот же файл может быть подлинным артефактом заблуждения; копия может воспроизводить истинную формулу, оставаясь неподлинной в конкретной цепи custody.</w:t>
      </w:r>
    </w:p>
    <w:tbl>
      <w:tblPr>
        <w:tblW w:type="auto" w:w="0"/>
        <w:jc w:val="center"/>
        <w:tblLayout w:type="fixed"/>
        <w:tblLook w:firstColumn="1" w:firstRow="1" w:lastColumn="0" w:lastRow="0" w:noHBand="0" w:noVBand="1" w:val="04A0"/>
      </w:tblPr>
      <w:tblGrid>
        <w:gridCol w:w="4932"/>
        <w:gridCol w:w="4932"/>
      </w:tblGrid>
      <w:tr>
        <w:trPr>
          <w:trHeight w:hRule="atLeast"/>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Authenticity ≠ Truth ≠ Reliability ≠ Relevance ≠ Sufficiency</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T4-F149</w:t>
              <w:br/>
              <w:t>TYPE FIREWALL</w:t>
            </w:r>
          </w:p>
        </w:tc>
      </w:tr>
    </w:tbl>
    <w:tbl>
      <w:tblPr>
        <w:tblW w:type="auto" w:w="0"/>
        <w:jc w:val="center"/>
        <w:tblLayout w:type="fixed"/>
        <w:tblLook w:firstColumn="1" w:firstRow="1" w:lastColumn="0" w:lastRow="0" w:noHBand="0" w:noVBand="1" w:val="04A0"/>
      </w:tblPr>
      <w:tblGrid>
        <w:gridCol w:w="9432"/>
      </w:tblGrid>
      <w:tr>
        <w:trPr>
          <w:cantSplit w:val="true"/>
          <w:trHeight w:hRule="atLeast"/>
        </w:trPr>
        <w:tc>
          <w:tcPr>
            <w:tcW w:type="dxa" w:w="9432"/>
            <w:vAlign w:val="center"/>
            <w:shd w:fill="EDF7EF" w:val="clear"/>
            <w:tcBorders>
              <w:top w:val="single" w:sz="12" w:color="3F7D5B"/>
              <w:left w:val="single" w:sz="12" w:color="3F7D5B"/>
              <w:bottom w:val="single" w:sz="12" w:color="3F7D5B"/>
              <w:right w:val="single" w:sz="12" w:color="3F7D5B"/>
            </w:tcBorders>
            <w:tcMar>
              <w:top w:w="90" w:type="dxa"/>
              <w:start w:w="100" w:type="dxa"/>
              <w:bottom w:w="90" w:type="dxa"/>
              <w:end w:w="100" w:type="dxa"/>
            </w:tcMar>
          </w:tcPr>
          <w:p>
            <w:pPr>
              <w:widowControl/>
              <w:spacing w:after="40"/>
            </w:pPr>
            <w:r/>
            <w:r>
              <w:rPr>
                <w:rFonts w:ascii="DejaVu Sans" w:hAnsi="DejaVu Sans" w:eastAsia="DejaVu Sans"/>
                <w:b/>
                <w:i w:val="0"/>
                <w:color w:val="3F7D5B"/>
                <w:sz w:val="21"/>
              </w:rPr>
              <w:t>ТЕОРЕМА T4.20.1 — ПОДЛИННОСТЬ НЕ ВЛЕЧЁТ ИСТИННОСТЬ</w:t>
            </w:r>
          </w:p>
          <w:p>
            <w:pPr>
              <w:widowControl/>
              <w:spacing w:line="259" w:lineRule="auto" w:after="0"/>
            </w:pPr>
            <w:r>
              <w:rPr>
                <w:rFonts w:ascii="DejaVu Serif" w:hAnsi="DejaVu Serif" w:eastAsia="DejaVu Serif"/>
                <w:b w:val="0"/>
                <w:i w:val="0"/>
                <w:color w:val="1A2433"/>
                <w:sz w:val="20"/>
              </w:rPr>
              <w:t>Из того, что документ подлинно создан заявленным автором в указанное время и не изменён, не следует истинность всех содержащихся в нём утверждений. И наоборот, истинное утверждение может находиться в копии с повреждённой provenance. Поэтому доказательный gate обязан проверять каналы раздельно.</w:t>
            </w:r>
          </w:p>
        </w:tc>
      </w:tr>
    </w:tbl>
    <w:p>
      <w:pPr>
        <w:keepNext w:val="0"/>
        <w:widowControl/>
        <w:spacing w:after="80" w:line="269" w:lineRule="auto"/>
      </w:pPr>
      <w:r>
        <w:rPr>
          <w:rFonts w:ascii="DejaVu Serif" w:hAnsi="DejaVu Serif" w:eastAsia="DejaVu Serif"/>
          <w:b w:val="0"/>
          <w:i w:val="0"/>
          <w:color w:val="1A2433"/>
          <w:sz w:val="21"/>
        </w:rPr>
        <w:t>Доказательство даётся контрпримером: подлинная лабораторная запись может содержать ошибочное измерение; неподписанная копия может точно воспроизводить доказанную теорему. Следовательно, отношения логически независимы. □</w:t>
      </w:r>
    </w:p>
    <w:p>
      <w:pPr>
        <w:pStyle w:val="Heading2"/>
        <w:keepNext/>
        <w:widowControl/>
      </w:pPr>
      <w:r>
        <w:t>20.2. Архив как категория версий и custody</w:t>
      </w:r>
    </w:p>
    <w:tbl>
      <w:tblPr>
        <w:tblW w:type="auto" w:w="0"/>
        <w:jc w:val="center"/>
        <w:tblLayout w:type="fixed"/>
        <w:tblLook w:firstColumn="1" w:firstRow="1" w:lastColumn="0" w:lastRow="0" w:noHBand="0" w:noVBand="1" w:val="04A0"/>
      </w:tblPr>
      <w:tblGrid>
        <w:gridCol w:w="4932"/>
        <w:gridCol w:w="4932"/>
      </w:tblGrid>
      <w:tr>
        <w:trPr>
          <w:trHeight w:hRule="atLeast"/>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Archive_h = (Ob_Doc, Mor_custody/derive/correct, Version, Policy, Prov, σ)</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T4-F150</w:t>
              <w:br/>
              <w:t>AUTHORIAL CATEGORY</w:t>
            </w:r>
          </w:p>
        </w:tc>
      </w:tr>
    </w:tbl>
    <w:tbl>
      <w:tblPr>
        <w:tblW w:type="auto" w:w="0"/>
        <w:jc w:val="center"/>
        <w:tblLayout w:type="fixed"/>
        <w:tblLook w:firstColumn="1" w:firstRow="1" w:lastColumn="0" w:lastRow="0" w:noHBand="0" w:noVBand="1" w:val="04A0"/>
      </w:tblPr>
      <w:tblGrid>
        <w:gridCol w:w="4932"/>
        <w:gridCol w:w="4932"/>
      </w:tblGrid>
      <w:tr>
        <w:trPr>
          <w:trHeight w:hRule="atLeast"/>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Custody(d_0→…→d_n) = (hash_i, actor_i, time_i, operation_i, receipt_i)_i</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T4-F151</w:t>
              <w:br/>
              <w:t>PROVENANCE CHAIN</w:t>
            </w:r>
          </w:p>
        </w:tc>
      </w:tr>
    </w:tbl>
    <w:p>
      <w:pPr>
        <w:keepNext w:val="0"/>
        <w:widowControl/>
        <w:spacing w:after="80" w:line="269" w:lineRule="auto"/>
      </w:pPr>
      <w:r>
        <w:rPr>
          <w:rFonts w:ascii="DejaVu Serif" w:hAnsi="DejaVu Serif" w:eastAsia="DejaVu Serif"/>
          <w:b w:val="0"/>
          <w:i w:val="0"/>
          <w:color w:val="1A2433"/>
          <w:sz w:val="21"/>
        </w:rPr>
        <w:t>Объектами архива являются версии документов и их пакеты. Морфизмы фиксируют передачу, копирование, перевод, исправление, аннотирование и включение в сборку. Исправление не удаляет предшествующую версию; оно создаёт новый узел с явной связью derivation/correction. Так архив становится не складом файлов, а памятью различий.</w:t>
      </w:r>
    </w:p>
    <w:tbl>
      <w:tblPr>
        <w:tblW w:type="auto" w:w="0"/>
        <w:jc w:val="center"/>
        <w:tblLayout w:type="fixed"/>
        <w:tblLook w:firstColumn="1" w:firstRow="1" w:lastColumn="0" w:lastRow="0" w:noHBand="0" w:noVBand="1" w:val="04A0"/>
      </w:tblPr>
      <w:tblGrid>
        <w:gridCol w:w="9432"/>
      </w:tblGrid>
      <w:tr>
        <w:trPr>
          <w:cantSplit w:val="true"/>
          <w:trHeight w:hRule="atLeast"/>
        </w:trPr>
        <w:tc>
          <w:tcPr>
            <w:tcW w:type="dxa" w:w="9432"/>
            <w:vAlign w:val="center"/>
            <w:shd w:fill="EDF7EF" w:val="clear"/>
            <w:tcBorders>
              <w:top w:val="single" w:sz="12" w:color="3F7D5B"/>
              <w:left w:val="single" w:sz="12" w:color="3F7D5B"/>
              <w:bottom w:val="single" w:sz="12" w:color="3F7D5B"/>
              <w:right w:val="single" w:sz="12" w:color="3F7D5B"/>
            </w:tcBorders>
            <w:tcMar>
              <w:top w:w="90" w:type="dxa"/>
              <w:start w:w="100" w:type="dxa"/>
              <w:bottom w:w="90" w:type="dxa"/>
              <w:end w:w="100" w:type="dxa"/>
            </w:tcMar>
          </w:tcPr>
          <w:p>
            <w:pPr>
              <w:widowControl/>
              <w:spacing w:after="40"/>
            </w:pPr>
            <w:r/>
            <w:r>
              <w:rPr>
                <w:rFonts w:ascii="DejaVu Sans" w:hAnsi="DejaVu Sans" w:eastAsia="DejaVu Sans"/>
                <w:b/>
                <w:i w:val="0"/>
                <w:color w:val="3F7D5B"/>
                <w:sz w:val="21"/>
              </w:rPr>
              <w:t>ПРОПОЗИЦИЯ T4.20.2 — ЦЕЛОСТНОСТЬ ВЕРСИОННОГО АРХИВА</w:t>
            </w:r>
          </w:p>
          <w:p>
            <w:pPr>
              <w:widowControl/>
              <w:spacing w:line="259" w:lineRule="auto" w:after="0"/>
            </w:pPr>
            <w:r>
              <w:rPr>
                <w:rFonts w:ascii="DejaVu Serif" w:hAnsi="DejaVu Serif" w:eastAsia="DejaVu Serif"/>
                <w:b w:val="0"/>
                <w:i w:val="0"/>
                <w:color w:val="1A2433"/>
                <w:sz w:val="20"/>
              </w:rPr>
              <w:t>Если каждый морфизм архива сохраняет идентификатор исходной версии, фиксирует операцию, время, субъекта, входной и выходной хеши и не удаляет предшественника, то путь происхождения любой версии воспроизводим как конечная цепь custody. Это доказывает трассируемость, но не истинность содержания.</w:t>
            </w:r>
          </w:p>
        </w:tc>
      </w:tr>
    </w:tbl>
    <w:p>
      <w:pPr>
        <w:pStyle w:val="Heading2"/>
        <w:keepNext/>
        <w:widowControl/>
      </w:pPr>
      <w:r>
        <w:t>20.3. Внешняя память и необратимость записи</w:t>
      </w:r>
    </w:p>
    <w:tbl>
      <w:tblPr>
        <w:tblW w:type="auto" w:w="0"/>
        <w:jc w:val="center"/>
        <w:tblLayout w:type="fixed"/>
        <w:tblLook w:firstColumn="1" w:firstRow="1" w:lastColumn="0" w:lastRow="0" w:noHBand="0" w:noVBand="1" w:val="04A0"/>
      </w:tblPr>
      <w:tblGrid>
        <w:gridCol w:w="4932"/>
        <w:gridCol w:w="4932"/>
      </w:tblGrid>
      <w:tr>
        <w:trPr>
          <w:trHeight w:hRule="atLeast"/>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Enc : LivedEvent_h ⇀ Doc_h</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T4-F152</w:t>
              <w:br/>
              <w:t>PARTIAL ENCODING</w:t>
            </w:r>
          </w:p>
        </w:tc>
      </w:tr>
    </w:tbl>
    <w:tbl>
      <w:tblPr>
        <w:tblW w:type="auto" w:w="0"/>
        <w:jc w:val="center"/>
        <w:tblLayout w:type="fixed"/>
        <w:tblLook w:firstColumn="1" w:firstRow="1" w:lastColumn="0" w:lastRow="0" w:noHBand="0" w:noVBand="1" w:val="04A0"/>
      </w:tblPr>
      <w:tblGrid>
        <w:gridCol w:w="4932"/>
        <w:gridCol w:w="4932"/>
      </w:tblGrid>
      <w:tr>
        <w:trPr>
          <w:trHeight w:hRule="atLeast"/>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Enc generally non-injective ⇒ no total inverse Enc⁻¹</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T4-F153</w:t>
              <w:br/>
              <w:t>THM-FORMAL</w:t>
            </w:r>
          </w:p>
        </w:tc>
      </w:tr>
    </w:tbl>
    <w:tbl>
      <w:tblPr>
        <w:tblW w:type="auto" w:w="0"/>
        <w:jc w:val="center"/>
        <w:tblLayout w:type="fixed"/>
        <w:tblLook w:firstColumn="1" w:firstRow="1" w:lastColumn="0" w:lastRow="0" w:noHBand="0" w:noVBand="1" w:val="04A0"/>
      </w:tblPr>
      <w:tblGrid>
        <w:gridCol w:w="9432"/>
      </w:tblGrid>
      <w:tr>
        <w:trPr>
          <w:cantSplit w:val="true"/>
          <w:trHeight w:hRule="atLeast"/>
        </w:trPr>
        <w:tc>
          <w:tcPr>
            <w:tcW w:type="dxa" w:w="9432"/>
            <w:vAlign w:val="center"/>
            <w:shd w:fill="EDF7EF" w:val="clear"/>
            <w:tcBorders>
              <w:top w:val="single" w:sz="12" w:color="3F7D5B"/>
              <w:left w:val="single" w:sz="12" w:color="3F7D5B"/>
              <w:bottom w:val="single" w:sz="12" w:color="3F7D5B"/>
              <w:right w:val="single" w:sz="12" w:color="3F7D5B"/>
            </w:tcBorders>
            <w:tcMar>
              <w:top w:w="90" w:type="dxa"/>
              <w:start w:w="100" w:type="dxa"/>
              <w:bottom w:w="90" w:type="dxa"/>
              <w:end w:w="100" w:type="dxa"/>
            </w:tcMar>
          </w:tcPr>
          <w:p>
            <w:pPr>
              <w:widowControl/>
              <w:spacing w:after="40"/>
            </w:pPr>
            <w:r/>
            <w:r>
              <w:rPr>
                <w:rFonts w:ascii="DejaVu Sans" w:hAnsi="DejaVu Sans" w:eastAsia="DejaVu Sans"/>
                <w:b/>
                <w:i w:val="0"/>
                <w:color w:val="3F7D5B"/>
                <w:sz w:val="21"/>
              </w:rPr>
              <w:t>ТЕОРЕМА T4.20.3 — НЕВОЗВРАТИМОСТЬ ЖИВОГО ОПЫТА ИЗ ДОКУМЕНТА</w:t>
            </w:r>
          </w:p>
          <w:p>
            <w:pPr>
              <w:widowControl/>
              <w:spacing w:line="259" w:lineRule="auto" w:after="0"/>
            </w:pPr>
            <w:r>
              <w:rPr>
                <w:rFonts w:ascii="DejaVu Serif" w:hAnsi="DejaVu Serif" w:eastAsia="DejaVu Serif"/>
                <w:b w:val="0"/>
                <w:i w:val="0"/>
                <w:color w:val="1A2433"/>
                <w:sz w:val="20"/>
              </w:rPr>
              <w:t>Если два различающихся живых события@состояния могут породить один и тот же документарный след, то Enc неинъективно и не существует тотального оператора, восстанавливающего исходное переживание только по документу. Реконструкция возможна лишь как множество кандидатов с дополнительными свидетельствами и D.</w:t>
            </w:r>
          </w:p>
        </w:tc>
      </w:tr>
    </w:tbl>
    <w:p>
      <w:pPr>
        <w:keepNext w:val="0"/>
        <w:widowControl/>
        <w:spacing w:after="80" w:line="269" w:lineRule="auto"/>
      </w:pPr>
      <w:r>
        <w:rPr>
          <w:rFonts w:ascii="DejaVu Serif" w:hAnsi="DejaVu Serif" w:eastAsia="DejaVu Serif"/>
          <w:b w:val="0"/>
          <w:i w:val="0"/>
          <w:color w:val="1A2433"/>
          <w:sz w:val="21"/>
        </w:rPr>
        <w:t>Доказательство. Пусть e₁≠e₂, но Enc(e₁)=Enc(e₂)=d. Если бы существовал тотальный левый обратный R, то R(d)=e₁ и R(d)=e₂, что невозможно. Поэтому архив сохраняет следы, но не отменяет работу интерпретации и свидетельства. □</w:t>
      </w:r>
    </w:p>
    <w:tbl>
      <w:tblPr>
        <w:tblW w:type="auto" w:w="0"/>
        <w:jc w:val="center"/>
        <w:tblLayout w:type="fixed"/>
        <w:tblLook w:firstColumn="1" w:firstRow="1" w:lastColumn="0" w:lastRow="0" w:noHBand="0" w:noVBand="1" w:val="04A0"/>
      </w:tblPr>
      <w:tblGrid>
        <w:gridCol w:w="4932"/>
        <w:gridCol w:w="4932"/>
      </w:tblGrid>
      <w:tr>
        <w:trPr>
          <w:trHeight w:hRule="atLeast"/>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Reconstruct(d,Evidence,D) ⇀ {e_1,…,e_k} × σ  or ABSTAIN</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T4-F154</w:t>
              <w:br/>
              <w:t>PARTIAL RECONSTRUCTION</w:t>
            </w:r>
          </w:p>
        </w:tc>
      </w:tr>
    </w:tbl>
    <w:p>
      <w:pPr>
        <w:pStyle w:val="Heading2"/>
        <w:keepNext/>
        <w:widowControl/>
      </w:pPr>
      <w:r>
        <w:t>20.4. KLT-RBD как внешняя память проекта</w:t>
      </w:r>
    </w:p>
    <w:tbl>
      <w:tblPr>
        <w:tblW w:type="auto" w:w="0"/>
        <w:jc w:val="center"/>
        <w:tblLayout w:type="fixed"/>
        <w:tblLook w:firstColumn="1" w:firstRow="1" w:lastColumn="0" w:lastRow="0" w:noHBand="0" w:noVBand="1" w:val="04A0"/>
      </w:tblPr>
      <w:tblGrid>
        <w:gridCol w:w="4932"/>
        <w:gridCol w:w="4932"/>
      </w:tblGrid>
      <w:tr>
        <w:trPr>
          <w:trHeight w:hRule="atLeast"/>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ExtMem_h = Graph(Doc, Version, Relation, Reper, D/Dom, Prov, Status, Blocker)</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T4-F155</w:t>
              <w:br/>
              <w:t>AUTHORIAL DEF</w:t>
            </w:r>
          </w:p>
        </w:tc>
      </w:tr>
    </w:tbl>
    <w:tbl>
      <w:tblPr>
        <w:tblW w:type="auto" w:w="0"/>
        <w:jc w:val="center"/>
        <w:tblLayout w:type="fixed"/>
        <w:tblLook w:firstColumn="1" w:firstRow="1" w:lastColumn="0" w:lastRow="0" w:noHBand="0" w:noVBand="1" w:val="04A0"/>
      </w:tblPr>
      <w:tblGrid>
        <w:gridCol w:w="4932"/>
        <w:gridCol w:w="4932"/>
      </w:tblGrid>
      <w:tr>
        <w:trPr>
          <w:trHeight w:hRule="atLeast"/>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C@C → Doc → Rep(R,I,U;D) → Gate → Archive/RBD → Reconstruction</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T4-F156</w:t>
              <w:br/>
              <w:t>KLT PIPELINE</w:t>
            </w:r>
          </w:p>
        </w:tc>
      </w:tr>
    </w:tbl>
    <w:p>
      <w:pPr>
        <w:keepNext w:val="0"/>
        <w:widowControl/>
        <w:spacing w:after="80" w:line="269" w:lineRule="auto"/>
      </w:pPr>
      <w:r>
        <w:rPr>
          <w:rFonts w:ascii="DejaVu Serif" w:hAnsi="DejaVu Serif" w:eastAsia="DejaVu Serif"/>
          <w:b w:val="0"/>
          <w:i w:val="0"/>
          <w:color w:val="1A2433"/>
          <w:sz w:val="21"/>
        </w:rPr>
        <w:t>KLT-RBD не должна изображать машину, которая «помнит вместо человека». Она хранит адреса, версии, доказательные основания, разрывы и маршруты пересборки. Ответственность за выбор домена, истолкование остатка, этическое применение и окончательное утверждение не передаётся базе автоматически. Внешняя память расширяет человеческий Reper, но не становится самостоятельным моральным субъектом.</w:t>
      </w:r>
    </w:p>
    <w:p>
      <w:pPr>
        <w:pStyle w:val="Heading2"/>
        <w:keepNext/>
        <w:widowControl/>
      </w:pPr>
      <w:r>
        <w:t>20.5. Диалог философии письма и архива</w:t>
      </w:r>
    </w:p>
    <w:tbl>
      <w:tblPr>
        <w:tblW w:type="auto" w:w="0"/>
        <w:jc w:val="center"/>
        <w:tblLayout w:type="fixed"/>
        <w:tblLook w:firstColumn="1" w:firstRow="1" w:lastColumn="0" w:lastRow="0" w:noHBand="0" w:noVBand="1" w:val="04A0"/>
      </w:tblPr>
      <w:tblGrid>
        <w:gridCol w:w="3288"/>
        <w:gridCol w:w="3288"/>
        <w:gridCol w:w="3288"/>
      </w:tblGrid>
      <w:tr>
        <w:trPr>
          <w:trHeight w:hRule="atLeast"/>
          <w:tblHeader w:val="true"/>
        </w:trPr>
        <w:tc>
          <w:tcPr>
            <w:tcW w:type="dxa" w:w="1800"/>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Линия</w:t>
            </w:r>
          </w:p>
        </w:tc>
        <w:tc>
          <w:tcPr>
            <w:tcW w:type="dxa" w:w="3888"/>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Философская проблема</w:t>
            </w:r>
          </w:p>
        </w:tc>
        <w:tc>
          <w:tcPr>
            <w:tcW w:type="dxa" w:w="3672"/>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KLT-перевод</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Платон, «Федр»</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Письмо одновременно сохраняет и ослабляет живое припоминание.</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Документ увеличивает длительность, но Enc неинъективно.</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Гуссерль</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Запись позволяет идеальным объектам сохранять общественную повторяемость.</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Формула получает version/provenance и публичный proof object.</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Хальбвакс</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Память формируется в социальных рамках.</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Community и archive policy входят в контекст реконструкции.</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Рикёр</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Память, история и забвение связаны с свидетельством и ответственностью.</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Witness/Duty/Version различаются в Human_R.</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Деррида</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Архив хранит и учреждает порядок допуска, то есть несёт власть отбора.</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Policy и excluded/blocked register обязательны.</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Стиглер</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Технический носитель образует внешний слой удержания опыта.</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ExtMem_h как tertiary retention, но без отождествления с сознанием.</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Курпишев</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Документ есть вынесенное D и Reper-узел пересборки.</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source→fragment→Rep→status→RBD→reconstruction.</w:t>
            </w:r>
          </w:p>
        </w:tc>
      </w:tr>
    </w:tbl>
    <w:p>
      <w:pPr>
        <w:pStyle w:val="Heading2"/>
        <w:keepNext/>
        <w:widowControl/>
      </w:pPr>
      <w:r>
        <w:t>20.6. Контрмодели, точка отката и переход</w:t>
      </w:r>
    </w:p>
    <w:p>
      <w:pPr>
        <w:pStyle w:val="ListBullet"/>
        <w:widowControl/>
        <w:spacing w:after="40" w:line="259" w:lineRule="auto"/>
      </w:pPr>
      <w:r>
        <w:rPr>
          <w:rFonts w:ascii="DejaVu Serif" w:hAnsi="DejaVu Serif" w:eastAsia="DejaVu Serif"/>
          <w:b w:val="0"/>
          <w:i w:val="0"/>
          <w:color w:val="1A2433"/>
          <w:sz w:val="20"/>
        </w:rPr>
        <w:t>CM-052: authentic-means-true — подлинный документ объявлен истинным по содержанию.</w:t>
      </w:r>
    </w:p>
    <w:p>
      <w:pPr>
        <w:pStyle w:val="ListBullet"/>
        <w:widowControl/>
        <w:spacing w:after="40" w:line="259" w:lineRule="auto"/>
      </w:pPr>
      <w:r>
        <w:rPr>
          <w:rFonts w:ascii="DejaVu Serif" w:hAnsi="DejaVu Serif" w:eastAsia="DejaVu Serif"/>
          <w:b w:val="0"/>
          <w:i w:val="0"/>
          <w:color w:val="1A2433"/>
          <w:sz w:val="20"/>
        </w:rPr>
        <w:t>CM-053: archive-equals-memory — версия архива отождествлена с живым переживанием.</w:t>
      </w:r>
    </w:p>
    <w:p>
      <w:pPr>
        <w:pStyle w:val="ListBullet"/>
        <w:widowControl/>
        <w:spacing w:after="40" w:line="259" w:lineRule="auto"/>
      </w:pPr>
      <w:r>
        <w:rPr>
          <w:rFonts w:ascii="DejaVu Serif" w:hAnsi="DejaVu Serif" w:eastAsia="DejaVu Serif"/>
          <w:b w:val="0"/>
          <w:i w:val="0"/>
          <w:color w:val="1A2433"/>
          <w:sz w:val="20"/>
        </w:rPr>
        <w:t>CM-054: hash-equals-meaning — совпадение байтов объявлено доказательством смысла и применимости.</w:t>
      </w:r>
    </w:p>
    <w:p>
      <w:pPr>
        <w:pStyle w:val="ListBullet"/>
        <w:widowControl/>
        <w:spacing w:after="40" w:line="259" w:lineRule="auto"/>
      </w:pPr>
      <w:r>
        <w:rPr>
          <w:rFonts w:ascii="DejaVu Serif" w:hAnsi="DejaVu Serif" w:eastAsia="DejaVu Serif"/>
          <w:b w:val="0"/>
          <w:i w:val="0"/>
          <w:color w:val="1A2433"/>
          <w:sz w:val="20"/>
        </w:rPr>
        <w:t>CM-055: latest-version-erasure — новая редакция удаляет историю изменений и blocker list.</w:t>
      </w:r>
    </w:p>
    <w:tbl>
      <w:tblPr>
        <w:tblW w:type="auto" w:w="0"/>
        <w:jc w:val="center"/>
        <w:tblLayout w:type="fixed"/>
        <w:tblLook w:firstColumn="1" w:firstRow="1" w:lastColumn="0" w:lastRow="0" w:noHBand="0" w:noVBand="1" w:val="04A0"/>
      </w:tblPr>
      <w:tblGrid>
        <w:gridCol w:w="4932"/>
        <w:gridCol w:w="4932"/>
      </w:tblGrid>
      <w:tr>
        <w:trPr>
          <w:trHeight w:hRule="atLeast"/>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T4-RA6 = T4-RA5 ⊞ Disc/Inv/Vis-gate ⊞ D-transport ⊞ vector-AnthroCGI ⊞ Document/Archive-Reper</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T4-F157</w:t>
              <w:br/>
              <w:t>ROLLBACK DEF</w:t>
            </w:r>
          </w:p>
        </w:tc>
      </w:tr>
    </w:tbl>
    <w:tbl>
      <w:tblPr>
        <w:tblW w:type="auto" w:w="0"/>
        <w:jc w:val="center"/>
        <w:tblLayout w:type="fixed"/>
        <w:tblLook w:firstColumn="1" w:firstRow="1" w:lastColumn="0" w:lastRow="0" w:noHBand="0" w:noVBand="1" w:val="04A0"/>
      </w:tblPr>
      <w:tblGrid>
        <w:gridCol w:w="4932"/>
        <w:gridCol w:w="4932"/>
      </w:tblGrid>
      <w:tr>
        <w:trPr>
          <w:trHeight w:hRule="atLeast"/>
        </w:trPr>
        <w:tc>
          <w:tcPr>
            <w:tcW w:type="dxa" w:w="6984"/>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FFFFFF" w:val="clear"/>
          </w:tcPr>
          <w:p>
            <w:pPr>
              <w:widowControl/>
              <w:spacing w:after="0" w:line="240" w:lineRule="auto"/>
              <w:jc w:val="center"/>
            </w:pPr>
            <w:r>
              <w:rPr>
                <w:rFonts w:ascii="DejaVu Serif" w:hAnsi="DejaVu Serif" w:eastAsia="DejaVu Serif"/>
                <w:b w:val="0"/>
                <w:i w:val="0"/>
                <w:color w:val="1A2433"/>
                <w:sz w:val="20"/>
              </w:rPr>
              <w:t>philosophy ≠ proof; vision ≠ theorem; archive ≠ memory; authenticity ≠ truth</w:t>
            </w:r>
          </w:p>
        </w:tc>
        <w:tc>
          <w:tcPr>
            <w:tcW w:type="dxa" w:w="2448"/>
            <w:tcMar>
              <w:top w:w="90" w:type="dxa"/>
              <w:start w:w="100" w:type="dxa"/>
              <w:bottom w:w="90" w:type="dxa"/>
              <w:end w:w="100" w:type="dxa"/>
            </w:tcMar>
            <w:tcBorders>
              <w:top w:val="single" w:sz="8" w:color="AAB7C6"/>
              <w:left w:val="single" w:sz="8" w:color="AAB7C6"/>
              <w:bottom w:val="single" w:sz="8" w:color="AAB7C6"/>
              <w:right w:val="single" w:sz="8" w:color="AAB7C6"/>
            </w:tcBorders>
            <w:vAlign w:val="center"/>
            <w:shd w:fill="EEF3F8" w:val="clear"/>
          </w:tcPr>
          <w:p>
            <w:pPr>
              <w:widowControl/>
              <w:spacing w:after="0" w:line="240" w:lineRule="auto"/>
              <w:jc w:val="center"/>
            </w:pPr>
            <w:r>
              <w:rPr>
                <w:rFonts w:ascii="DejaVu Sans" w:hAnsi="DejaVu Sans" w:eastAsia="DejaVu Sans"/>
                <w:b/>
                <w:i w:val="0"/>
                <w:color w:val="173A61"/>
                <w:sz w:val="17"/>
              </w:rPr>
              <w:t>T4-F158</w:t>
              <w:br/>
              <w:t>STATUS LOCK</w:t>
            </w:r>
          </w:p>
        </w:tc>
      </w:tr>
    </w:tbl>
    <w:tbl>
      <w:tblPr>
        <w:tblW w:type="auto" w:w="0"/>
        <w:jc w:val="center"/>
        <w:tblLayout w:type="fixed"/>
        <w:tblLook w:firstColumn="1" w:firstRow="1" w:lastColumn="0" w:lastRow="0" w:noHBand="0" w:noVBand="1" w:val="04A0"/>
      </w:tblPr>
      <w:tblGrid>
        <w:gridCol w:w="9432"/>
      </w:tblGrid>
      <w:tr>
        <w:trPr>
          <w:cantSplit w:val="true"/>
          <w:trHeight w:hRule="atLeast"/>
        </w:trPr>
        <w:tc>
          <w:tcPr>
            <w:tcW w:type="dxa" w:w="9432"/>
            <w:vAlign w:val="center"/>
            <w:shd w:fill="FCEEEE" w:val="clear"/>
            <w:tcBorders>
              <w:top w:val="single" w:sz="12" w:color="9A3E3E"/>
              <w:left w:val="single" w:sz="12" w:color="9A3E3E"/>
              <w:bottom w:val="single" w:sz="12" w:color="9A3E3E"/>
              <w:right w:val="single" w:sz="12" w:color="9A3E3E"/>
            </w:tcBorders>
            <w:tcMar>
              <w:top w:w="90" w:type="dxa"/>
              <w:start w:w="100" w:type="dxa"/>
              <w:bottom w:w="90" w:type="dxa"/>
              <w:end w:w="100" w:type="dxa"/>
            </w:tcMar>
          </w:tcPr>
          <w:p>
            <w:pPr>
              <w:widowControl/>
              <w:spacing w:after="40"/>
            </w:pPr>
            <w:r/>
            <w:r>
              <w:rPr>
                <w:rFonts w:ascii="DejaVu Sans" w:hAnsi="DejaVu Sans" w:eastAsia="DejaVu Sans"/>
                <w:b/>
                <w:i w:val="0"/>
                <w:color w:val="9A3E3E"/>
                <w:sz w:val="21"/>
              </w:rPr>
              <w:t>ROLLBACK RULE T4-RA6</w:t>
            </w:r>
          </w:p>
          <w:p>
            <w:pPr>
              <w:widowControl/>
              <w:spacing w:line="259" w:lineRule="auto" w:after="0"/>
            </w:pPr>
            <w:r>
              <w:rPr>
                <w:rFonts w:ascii="DejaVu Serif" w:hAnsi="DejaVu Serif" w:eastAsia="DejaVu Serif"/>
                <w:b w:val="0"/>
                <w:i w:val="0"/>
                <w:color w:val="1A2433"/>
                <w:sz w:val="20"/>
              </w:rPr>
              <w:t>Откат обязателен, если последующая редакция: (1) выдаёт математическое видение за доказательство; (2) скрывает изменение формальной среды при заявлении открытия; (3) считает foreign-D всякое несогласие; (4) сворачивает AnthroCGI в универсальную оценку человека; (5) превращает структурный gap в клинический диагноз; (6) отождествляет документ с живой памятью; (7) выводит истинность из подписи или хеша; (8) удаляет версии и происхождение ради гладкой истории.</w:t>
            </w:r>
          </w:p>
        </w:tc>
      </w:tr>
    </w:tbl>
    <w:tbl>
      <w:tblPr>
        <w:tblW w:type="auto" w:w="0"/>
        <w:jc w:val="center"/>
        <w:tblLayout w:type="fixed"/>
        <w:tblLook w:firstColumn="1" w:firstRow="1" w:lastColumn="0" w:lastRow="0" w:noHBand="0" w:noVBand="1" w:val="04A0"/>
      </w:tblPr>
      <w:tblGrid>
        <w:gridCol w:w="9432"/>
      </w:tblGrid>
      <w:tr>
        <w:trPr>
          <w:cantSplit w:val="true"/>
          <w:trHeight w:hRule="atLeast"/>
        </w:trPr>
        <w:tc>
          <w:tcPr>
            <w:tcW w:type="dxa" w:w="9432"/>
            <w:vAlign w:val="center"/>
            <w:shd w:fill="FBF5E8" w:val="clear"/>
            <w:tcBorders>
              <w:top w:val="single" w:sz="12" w:color="A87B20"/>
              <w:left w:val="single" w:sz="12" w:color="A87B20"/>
              <w:bottom w:val="single" w:sz="12" w:color="A87B20"/>
              <w:right w:val="single" w:sz="12" w:color="A87B20"/>
            </w:tcBorders>
            <w:tcMar>
              <w:top w:w="90" w:type="dxa"/>
              <w:start w:w="100" w:type="dxa"/>
              <w:bottom w:w="90" w:type="dxa"/>
              <w:end w:w="100" w:type="dxa"/>
            </w:tcMar>
          </w:tcPr>
          <w:p>
            <w:pPr>
              <w:widowControl/>
              <w:spacing w:after="40"/>
            </w:pPr>
            <w:r/>
            <w:r>
              <w:rPr>
                <w:rFonts w:ascii="DejaVu Sans" w:hAnsi="DejaVu Sans" w:eastAsia="DejaVu Sans"/>
                <w:b/>
                <w:i w:val="0"/>
                <w:color w:val="A87B20"/>
                <w:sz w:val="21"/>
              </w:rPr>
              <w:t>ФИЛОСОФСКОЕ СЛЕДСТВИЕ ГЛАВЫ 20</w:t>
            </w:r>
          </w:p>
          <w:p>
            <w:pPr>
              <w:widowControl/>
              <w:spacing w:line="259" w:lineRule="auto" w:after="0"/>
            </w:pPr>
            <w:r>
              <w:rPr>
                <w:rFonts w:ascii="DejaVu Serif" w:hAnsi="DejaVu Serif" w:eastAsia="DejaVu Serif"/>
                <w:b w:val="0"/>
                <w:i/>
                <w:color w:val="1A2433"/>
                <w:sz w:val="20"/>
              </w:rPr>
              <w:t>Человек преодолевает конечность собственной памяти, отдавая след будущему. Но след не является воскресшим настоящим. Он требует читателя, основания и ответственности. Архив становится человечным не тогда, когда хранит всё, а когда хранит различия, не скрывает утраты и позволяет будущему восстановить путь, не притворяясь владельцем окончательной истины.</w:t>
            </w:r>
          </w:p>
        </w:tc>
      </w:tr>
    </w:tbl>
    <w:p>
      <w:pPr>
        <w:widowControl/>
      </w:pPr>
      <w:r>
        <w:br w:type="page"/>
      </w:r>
    </w:p>
    <w:p>
      <w:pPr>
        <w:pStyle w:val="Heading1"/>
        <w:keepNext/>
        <w:widowControl/>
      </w:pPr>
      <w:r>
        <w:t>ЧАСТЬ VI. ЧЕЛОВЕК, МАШИННАЯ ПАМЯТЬ И ПРЕДМЕТНЫЕ РЕДУКЦИИ</w:t>
      </w:r>
    </w:p>
    <w:p>
      <w:pPr>
        <w:pStyle w:val="Heading1"/>
        <w:keepNext/>
        <w:widowControl/>
      </w:pPr>
      <w:r>
        <w:t>Глава 21. Человек и машинная память KLT-RBD</w:t>
      </w:r>
    </w:p>
    <w:tbl>
      <w:tblPr>
        <w:tblStyle w:val="TableGrid"/>
        <w:tblW w:type="auto" w:w="0"/>
        <w:jc w:val="center"/>
        <w:tblLook w:firstColumn="1" w:firstRow="1" w:lastColumn="0" w:lastRow="0" w:noHBand="0" w:noVBand="1" w:val="04A0"/>
      </w:tblPr>
      <w:tblGrid>
        <w:gridCol w:w="9865"/>
      </w:tblGrid>
      <w:tr>
        <w:trPr>
          <w:trHeight w:hRule="atLeast"/>
        </w:trPr>
        <w:tc>
          <w:tcPr>
            <w:tcW w:type="dxa" w:w="9865"/>
            <w:shd w:fill="EAF0F7" w:val="clear"/>
            <w:tcMar>
              <w:top w:w="90" w:type="dxa"/>
              <w:start w:w="100" w:type="dxa"/>
              <w:bottom w:w="90" w:type="dxa"/>
              <w:end w:w="100" w:type="dxa"/>
            </w:tcMar>
            <w:vAlign w:val="center"/>
          </w:tcPr>
          <w:p>
            <w:pPr>
              <w:widowControl/>
              <w:spacing w:after="0" w:line="252" w:lineRule="auto"/>
            </w:pPr>
            <w:r>
              <w:rPr>
                <w:b/>
                <w:color w:val="17345F"/>
                <w:sz w:val="19"/>
              </w:rPr>
              <w:t xml:space="preserve">РАМКА ГЛАВЫ 21. </w:t>
            </w:r>
            <w:r>
              <w:rPr>
                <w:b/>
                <w:color w:val="9B2D30"/>
                <w:sz w:val="18"/>
              </w:rPr>
              <w:t>[DEF / THM-FORMAL / ETHICS / SOFTWARE-PLAN]</w:t>
            </w:r>
            <w:r>
              <w:br/>
            </w:r>
            <w:r>
              <w:rPr>
                <w:b/>
                <w:color w:val="1A2433"/>
                <w:sz w:val="17"/>
              </w:rPr>
              <w:t xml:space="preserve">ОНТОЛОГИЯ. </w:t>
            </w:r>
            <w:r>
              <w:rPr>
                <w:sz w:val="17"/>
              </w:rPr>
              <w:t>Машинная память существует как внешний граф записей, версий, доказательных оснований и прав доступа; она не тождественна пережитому человеческому событию.</w:t>
            </w:r>
            <w:r>
              <w:br/>
            </w:r>
            <w:r>
              <w:rPr>
                <w:b/>
                <w:color w:val="1A2433"/>
                <w:sz w:val="17"/>
              </w:rPr>
              <w:t xml:space="preserve">ГНОСЕОЛОГИЯ. </w:t>
            </w:r>
            <w:r>
              <w:rPr>
                <w:sz w:val="17"/>
              </w:rPr>
              <w:t>Знание из машины допустимо только как source-bound reconstruction с явными D, Dom, provenance, status и кодом отказа.</w:t>
            </w:r>
            <w:r>
              <w:br/>
            </w:r>
            <w:r>
              <w:rPr>
                <w:b/>
                <w:color w:val="1A2433"/>
                <w:sz w:val="17"/>
              </w:rPr>
              <w:t xml:space="preserve">ФЕНОМЕНОЛОГИЯ. </w:t>
            </w:r>
            <w:r>
              <w:rPr>
                <w:sz w:val="17"/>
              </w:rPr>
              <w:t>Для человека машина проявляется как возможность повторно вызвать след, сопоставить версии и обнаружить разрыв, но не как возвращение самого прошлого.</w:t>
            </w:r>
            <w:r>
              <w:br/>
            </w:r>
            <w:r>
              <w:rPr>
                <w:b/>
                <w:color w:val="1A2433"/>
                <w:sz w:val="17"/>
              </w:rPr>
              <w:t xml:space="preserve">АНТРОПОЛОГИЯ. </w:t>
            </w:r>
            <w:r>
              <w:rPr>
                <w:sz w:val="17"/>
              </w:rPr>
              <w:t>Техническое расширение памяти усиливает действие и ответственность, но одновременно создаёт зависимость от схем, прав, политик отбора и алгоритмов поиска.</w:t>
            </w:r>
            <w:r>
              <w:br/>
            </w:r>
            <w:r>
              <w:rPr>
                <w:b/>
                <w:color w:val="1A2433"/>
                <w:sz w:val="17"/>
              </w:rPr>
              <w:t xml:space="preserve">ОГРАНИЧЕНИЕ. </w:t>
            </w:r>
            <w:r>
              <w:rPr>
                <w:sz w:val="17"/>
              </w:rPr>
              <w:t>Запрещено приписывать базе данных первое лицо, моральную ответственность, полное понимание или право скрытно повышать статус утверждения.</w:t>
            </w:r>
            <w:r>
              <w:br/>
            </w:r>
            <w:r>
              <w:rPr>
                <w:b/>
                <w:color w:val="1A2433"/>
                <w:sz w:val="17"/>
              </w:rPr>
              <w:t xml:space="preserve">АВТОРСКАЯ НОВИЗНА. </w:t>
            </w:r>
            <w:r>
              <w:rPr>
                <w:sz w:val="17"/>
              </w:rPr>
              <w:t>Авторская новизна - включение machine memory в два ядра KLT-RBD: запись порождается контролируемым ingest, а её тождество удерживается инвариантами, provenance и status firewall.</w:t>
            </w:r>
          </w:p>
        </w:tc>
      </w:tr>
    </w:tbl>
    <w:tbl>
      <w:tblPr>
        <w:tblStyle w:val="TableGrid"/>
        <w:tblW w:type="auto" w:w="0"/>
        <w:jc w:val="center"/>
        <w:tblLook w:firstColumn="1" w:firstRow="1" w:lastColumn="0" w:lastRow="0" w:noHBand="0" w:noVBand="1" w:val="04A0"/>
      </w:tblPr>
      <w:tblGrid>
        <w:gridCol w:w="9865"/>
      </w:tblGrid>
      <w:tr>
        <w:trPr>
          <w:trHeight w:hRule="atLeast"/>
        </w:trPr>
        <w:tc>
          <w:tcPr>
            <w:tcW w:type="dxa" w:w="9865"/>
            <w:shd w:fill="F7F1DF" w:val="clear"/>
            <w:tcMar>
              <w:top w:w="90" w:type="dxa"/>
              <w:start w:w="100" w:type="dxa"/>
              <w:bottom w:w="90" w:type="dxa"/>
              <w:end w:w="100" w:type="dxa"/>
            </w:tcMar>
            <w:vAlign w:val="center"/>
          </w:tcPr>
          <w:p>
            <w:pPr>
              <w:widowControl/>
              <w:spacing w:after="0" w:line="259" w:lineRule="auto"/>
            </w:pPr>
            <w:r>
              <w:rPr>
                <w:rFonts w:ascii="DejaVu Sans" w:hAnsi="DejaVu Sans"/>
                <w:b/>
                <w:color w:val="8B6508"/>
                <w:sz w:val="19"/>
              </w:rPr>
              <w:t xml:space="preserve">ФИЛОСОФСКИЙ ПРОЛОГ. </w:t>
            </w:r>
            <w:r>
              <w:rPr>
                <w:i/>
                <w:sz w:val="18"/>
              </w:rPr>
              <w:t>Письмо, архив и вычислительная память освобождают человека от необходимости удерживать всё в живом настоящем. Но всякая внешняя память платит за устойчивость сокращением: она выбирает формат, вырезает контекст и делает пережитое доступным только как запись. Машина не забывает так, как человек, но её «не-забывание» также ограничено - правами доступа, сроками хранения, ошибками схемы и тем, что никогда не было записано.</w:t>
            </w:r>
          </w:p>
        </w:tc>
      </w:tr>
    </w:tbl>
    <w:p>
      <w:pPr>
        <w:pStyle w:val="Heading2"/>
        <w:keepNext/>
        <w:widowControl/>
      </w:pPr>
      <w:r>
        <w:t>21.1. Три несовпадающих типа события@состояния</w:t>
      </w:r>
    </w:p>
    <w:p>
      <w:pPr>
        <w:widowControl/>
        <w:spacing w:before="0" w:after="80"/>
      </w:pPr>
      <w:r>
        <w:rPr>
          <w:b w:val="0"/>
          <w:i w:val="0"/>
        </w:rPr>
        <w:t>Для предотвращения главной антропологической ошибки фиксируются три типа. C@C_world относится к событию в мировой модели. C@C_human относится к телесно, исторически и ответственно проживаемому событию. C@C_database относится к записи, созданной операцией кодирования. Между ними возможны отображения, но не тождества.</w:t>
      </w:r>
    </w:p>
    <w:tbl>
      <w:tblPr>
        <w:tblStyle w:val="TableGrid"/>
        <w:tblW w:type="auto" w:w="0"/>
        <w:jc w:val="center"/>
        <w:tblLook w:firstColumn="1" w:firstRow="1" w:lastColumn="0" w:lastRow="0" w:noHBand="0" w:noVBand="1" w:val="04A0"/>
      </w:tblPr>
      <w:tblGrid>
        <w:gridCol w:w="4932"/>
        <w:gridCol w:w="4932"/>
      </w:tblGrid>
      <w:tr>
        <w:trPr>
          <w:trHeight w:hRule="atLeast"/>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C@C_world≠C@C_human≠C@C_database</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T4-F189</w:t>
              <w:br/>
              <w:t>TYPE FIREWALL</w:t>
            </w:r>
          </w:p>
        </w:tc>
      </w:tr>
    </w:tbl>
    <w:tbl>
      <w:tblPr>
        <w:tblStyle w:val="TableGrid"/>
        <w:tblW w:type="auto" w:w="0"/>
        <w:jc w:val="center"/>
        <w:tblLook w:firstColumn="1" w:firstRow="1" w:lastColumn="0" w:lastRow="0" w:noHBand="0" w:noVBand="1" w:val="04A0"/>
      </w:tblPr>
      <w:tblGrid>
        <w:gridCol w:w="4932"/>
        <w:gridCol w:w="4932"/>
      </w:tblGrid>
      <w:tr>
        <w:trPr>
          <w:trHeight w:hRule="atLeast"/>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Mem_machine=(Records,Schema,Prov,D,Dom,σ,Access,Retention)</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T4-F182</w:t>
              <w:br/>
              <w:t>MACHINE MEMORY DEF</w:t>
            </w:r>
          </w:p>
        </w:tc>
      </w:tr>
    </w:tbl>
    <w:tbl>
      <w:tblPr>
        <w:tblStyle w:val="TableGrid"/>
        <w:tblW w:type="auto" w:w="0"/>
        <w:jc w:val="center"/>
        <w:tblLook w:firstColumn="1" w:firstRow="1" w:lastColumn="0" w:lastRow="0" w:noHBand="0" w:noVBand="1" w:val="04A0"/>
      </w:tblPr>
      <w:tblGrid>
        <w:gridCol w:w="3288"/>
        <w:gridCol w:w="3288"/>
        <w:gridCol w:w="3288"/>
      </w:tblGrid>
      <w:tr>
        <w:trPr>
          <w:trHeight w:hRule="atLeast"/>
          <w:tblHeader w:val="true"/>
        </w:trPr>
        <w:tc>
          <w:tcPr>
            <w:tcW w:type="dxa" w:w="1944"/>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Тип</w:t>
            </w:r>
          </w:p>
        </w:tc>
        <w:tc>
          <w:tcPr>
            <w:tcW w:type="dxa" w:w="3960"/>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Сохраняет</w:t>
            </w:r>
          </w:p>
        </w:tc>
        <w:tc>
          <w:tcPr>
            <w:tcW w:type="dxa" w:w="3816"/>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Теряет / не гарантирует</w:t>
            </w:r>
          </w:p>
        </w:tc>
      </w:tr>
      <w:tr>
        <w:trPr>
          <w:trHeight w:hRule="atLeast"/>
        </w:trPr>
        <w:tc>
          <w:tcPr>
            <w:tcW w:type="dxa" w:w="1944"/>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5"/>
              </w:rPr>
              <w:t>C@C_world</w:t>
            </w:r>
          </w:p>
        </w:tc>
        <w:tc>
          <w:tcPr>
            <w:tcW w:type="dxa" w:w="396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Модельную структуру события, состояние и инварианты.</w:t>
            </w:r>
          </w:p>
        </w:tc>
        <w:tc>
          <w:tcPr>
            <w:tcW w:type="dxa" w:w="381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Полноту физической реализации без empirical bridge.</w:t>
            </w:r>
          </w:p>
        </w:tc>
      </w:tr>
      <w:tr>
        <w:trPr>
          <w:trHeight w:hRule="atLeast"/>
        </w:trPr>
        <w:tc>
          <w:tcPr>
            <w:tcW w:type="dxa" w:w="1944"/>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5"/>
              </w:rPr>
              <w:t>C@C_human</w:t>
            </w:r>
          </w:p>
        </w:tc>
        <w:tc>
          <w:tcPr>
            <w:tcW w:type="dxa" w:w="396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Переживание, телесность, память, значение, действие и ответственность.</w:t>
            </w:r>
          </w:p>
        </w:tc>
        <w:tc>
          <w:tcPr>
            <w:tcW w:type="dxa" w:w="381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Точную доступность другому наблюдателю.</w:t>
            </w:r>
          </w:p>
        </w:tc>
      </w:tr>
      <w:tr>
        <w:trPr>
          <w:trHeight w:hRule="atLeast"/>
        </w:trPr>
        <w:tc>
          <w:tcPr>
            <w:tcW w:type="dxa" w:w="1944"/>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5"/>
              </w:rPr>
              <w:t>C@C_database</w:t>
            </w:r>
          </w:p>
        </w:tc>
        <w:tc>
          <w:tcPr>
            <w:tcW w:type="dxa" w:w="396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Байты, поля схемы, метаданные, версии, provenance и статус.</w:t>
            </w:r>
          </w:p>
        </w:tc>
        <w:tc>
          <w:tcPr>
            <w:tcW w:type="dxa" w:w="381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Полноту переживания, незафиксированный контекст и первое лицо.</w:t>
            </w:r>
          </w:p>
        </w:tc>
      </w:tr>
    </w:tbl>
    <w:p>
      <w:pPr>
        <w:pStyle w:val="Heading2"/>
        <w:keepNext/>
        <w:widowControl/>
      </w:pPr>
      <w:r>
        <w:t>21.2. Необратимость кодирования</w:t>
      </w:r>
    </w:p>
    <w:tbl>
      <w:tblPr>
        <w:tblStyle w:val="TableGrid"/>
        <w:tblW w:type="auto" w:w="0"/>
        <w:jc w:val="center"/>
        <w:tblLook w:firstColumn="1" w:firstRow="1" w:lastColumn="0" w:lastRow="0" w:noHBand="0" w:noVBand="1" w:val="04A0"/>
      </w:tblPr>
      <w:tblGrid>
        <w:gridCol w:w="4932"/>
        <w:gridCol w:w="4932"/>
      </w:tblGrid>
      <w:tr>
        <w:trPr>
          <w:trHeight w:hRule="atLeast"/>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Enc:LivedEvent_h⇀Record_RBD</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T4-F183</w:t>
              <w:br/>
              <w:t>NONINJECTIVE ENCODING</w:t>
            </w:r>
          </w:p>
        </w:tc>
      </w:tr>
    </w:tbl>
    <w:p>
      <w:pPr>
        <w:widowControl/>
        <w:spacing w:before="0" w:after="80"/>
      </w:pPr>
      <w:r>
        <w:rPr>
          <w:b w:val="0"/>
          <w:i w:val="0"/>
        </w:rPr>
        <w:t>Документирование и ingest выбирают конечный набор признаков. Два различных пережитых события могут получить одну запись, если схема не различает их контексты. Поэтому чтение записи не является обратным воспроизведением события.</w:t>
      </w:r>
    </w:p>
    <w:tbl>
      <w:tblPr>
        <w:tblStyle w:val="TableGrid"/>
        <w:tblW w:type="auto" w:w="0"/>
        <w:jc w:val="center"/>
        <w:tblLook w:firstColumn="1" w:firstRow="1" w:lastColumn="0" w:lastRow="0" w:noHBand="0" w:noVBand="1" w:val="04A0"/>
      </w:tblPr>
      <w:tblGrid>
        <w:gridCol w:w="9865"/>
      </w:tblGrid>
      <w:tr>
        <w:trPr>
          <w:trHeight w:hRule="atLeast"/>
        </w:trPr>
        <w:tc>
          <w:tcPr>
            <w:tcW w:type="dxa" w:w="9865"/>
            <w:shd w:fill="EAF6EC" w:val="clear"/>
            <w:tcMar>
              <w:top w:w="90" w:type="dxa"/>
              <w:start w:w="100" w:type="dxa"/>
              <w:bottom w:w="90" w:type="dxa"/>
              <w:end w:w="100" w:type="dxa"/>
            </w:tcMar>
            <w:vAlign w:val="center"/>
          </w:tcPr>
          <w:p>
            <w:pPr>
              <w:widowControl/>
              <w:spacing w:line="254" w:lineRule="auto"/>
            </w:pPr>
            <w:r>
              <w:rPr>
                <w:b/>
                <w:color w:val="2E7D4F"/>
                <w:sz w:val="18"/>
              </w:rPr>
              <w:t xml:space="preserve">ТЕОРЕМА T4.21.1 — Нет универсального возвращения пережитого события. </w:t>
            </w:r>
            <w:r>
              <w:rPr>
                <w:b/>
                <w:color w:val="9B2D30"/>
                <w:sz w:val="17"/>
              </w:rPr>
              <w:t xml:space="preserve">[THM-FORMAL] </w:t>
            </w:r>
            <w:r>
              <w:rPr>
                <w:sz w:val="18"/>
              </w:rPr>
              <w:t>Если Enc неинъективно, то не существует тотального отображения Dec, для которого Dec∘Enc=id на всём пространстве lived events.</w:t>
            </w:r>
            <w:r>
              <w:br/>
            </w:r>
            <w:r>
              <w:rPr>
                <w:b/>
                <w:sz w:val="18"/>
              </w:rPr>
              <w:t xml:space="preserve">Доказательство. </w:t>
            </w:r>
            <w:r>
              <w:rPr>
                <w:sz w:val="18"/>
              </w:rPr>
              <w:t>Пусть x≠y и Enc(x)=Enc(y). Тогда из Dec(Enc(x))=x и Dec(Enc(y))=y следовало бы x=y, противоречие. □</w:t>
            </w:r>
          </w:p>
        </w:tc>
      </w:tr>
    </w:tbl>
    <w:tbl>
      <w:tblPr>
        <w:tblStyle w:val="TableGrid"/>
        <w:tblW w:type="auto" w:w="0"/>
        <w:jc w:val="center"/>
        <w:tblLook w:firstColumn="1" w:firstRow="1" w:lastColumn="0" w:lastRow="0" w:noHBand="0" w:noVBand="1" w:val="04A0"/>
      </w:tblPr>
      <w:tblGrid>
        <w:gridCol w:w="4932"/>
        <w:gridCol w:w="4932"/>
      </w:tblGrid>
      <w:tr>
        <w:trPr>
          <w:trHeight w:hRule="atLeast"/>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Enc noninjective ⇒ no universal total inverse Enc⁻¹</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T4-F184</w:t>
              <w:br/>
              <w:t>NO COMPLETE RETURN THEOREM</w:t>
            </w:r>
          </w:p>
        </w:tc>
      </w:tr>
    </w:tbl>
    <w:tbl>
      <w:tblPr>
        <w:tblStyle w:val="TableGrid"/>
        <w:tblW w:type="auto" w:w="0"/>
        <w:jc w:val="center"/>
        <w:tblLook w:firstColumn="1" w:firstRow="1" w:lastColumn="0" w:lastRow="0" w:noHBand="0" w:noVBand="1" w:val="04A0"/>
      </w:tblPr>
      <w:tblGrid>
        <w:gridCol w:w="9865"/>
      </w:tblGrid>
      <w:tr>
        <w:trPr>
          <w:trHeight w:hRule="atLeast"/>
        </w:trPr>
        <w:tc>
          <w:tcPr>
            <w:tcW w:type="dxa" w:w="9865"/>
            <w:shd w:fill="FBEDED" w:val="clear"/>
            <w:tcMar>
              <w:top w:w="90" w:type="dxa"/>
              <w:start w:w="100" w:type="dxa"/>
              <w:bottom w:w="90" w:type="dxa"/>
              <w:end w:w="100" w:type="dxa"/>
            </w:tcMar>
            <w:vAlign w:val="center"/>
          </w:tcPr>
          <w:p>
            <w:pPr>
              <w:widowControl/>
              <w:spacing w:line="252" w:lineRule="auto"/>
            </w:pPr>
            <w:r>
              <w:rPr>
                <w:b/>
                <w:color w:val="9B2D30"/>
                <w:sz w:val="18"/>
              </w:rPr>
              <w:t xml:space="preserve">CM-063 · record equals lived event. </w:t>
            </w:r>
            <w:r>
              <w:rPr>
                <w:sz w:val="18"/>
              </w:rPr>
              <w:t>A database record is treated as the complete human event although the encoding is noninjective.</w:t>
            </w:r>
          </w:p>
        </w:tc>
      </w:tr>
    </w:tbl>
    <w:p>
      <w:pPr>
        <w:pStyle w:val="Heading2"/>
        <w:keepNext/>
        <w:widowControl/>
      </w:pPr>
      <w:r>
        <w:t>21.3. Proof-carrying record и инварианты машинной памяти</w:t>
      </w:r>
    </w:p>
    <w:tbl>
      <w:tblPr>
        <w:tblStyle w:val="TableGrid"/>
        <w:tblW w:type="auto" w:w="0"/>
        <w:jc w:val="center"/>
        <w:tblLook w:firstColumn="1" w:firstRow="1" w:lastColumn="0" w:lastRow="0" w:noHBand="0" w:noVBand="1" w:val="04A0"/>
      </w:tblPr>
      <w:tblGrid>
        <w:gridCol w:w="4932"/>
        <w:gridCol w:w="4932"/>
      </w:tblGrid>
      <w:tr>
        <w:trPr>
          <w:trHeight w:hRule="atLeast"/>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Record_R=(bytes,metadata,source-card,Reper,D,Dom,Prov,σ,rights)</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T4-F185</w:t>
              <w:br/>
              <w:t>PROOF-CARRYING RECORD</w:t>
            </w:r>
          </w:p>
        </w:tc>
      </w:tr>
    </w:tbl>
    <w:p>
      <w:pPr>
        <w:widowControl/>
        <w:spacing w:before="0" w:after="80"/>
      </w:pPr>
      <w:r>
        <w:rPr>
          <w:b w:val="0"/>
          <w:i w:val="0"/>
        </w:rPr>
        <w:t>Запись сохраняет тождество не потому, что строка неизменна во всех версиях, а потому, что преобразования версии оставляют проверяемый путь к исходнику и не скрывают изменения статуса. Второе постоянное ядро KLT-RBD редуцируется здесь к инвариантам идентификатора, происхождения, схемы, прав и доказательного статуса.</w:t>
      </w:r>
    </w:p>
    <w:tbl>
      <w:tblPr>
        <w:tblStyle w:val="TableGrid"/>
        <w:tblW w:type="auto" w:w="0"/>
        <w:jc w:val="center"/>
        <w:tblLook w:firstColumn="1" w:firstRow="1" w:lastColumn="0" w:lastRow="0" w:noHBand="0" w:noVBand="1" w:val="04A0"/>
      </w:tblPr>
      <w:tblGrid>
        <w:gridCol w:w="9865"/>
      </w:tblGrid>
      <w:tr>
        <w:trPr>
          <w:trHeight w:hRule="atLeast"/>
        </w:trPr>
        <w:tc>
          <w:tcPr>
            <w:tcW w:type="dxa" w:w="9865"/>
            <w:shd w:fill="EAF6EC" w:val="clear"/>
            <w:tcMar>
              <w:top w:w="90" w:type="dxa"/>
              <w:start w:w="100" w:type="dxa"/>
              <w:bottom w:w="90" w:type="dxa"/>
              <w:end w:w="100" w:type="dxa"/>
            </w:tcMar>
            <w:vAlign w:val="center"/>
          </w:tcPr>
          <w:p>
            <w:pPr>
              <w:widowControl/>
              <w:spacing w:line="254" w:lineRule="auto"/>
            </w:pPr>
            <w:r>
              <w:rPr>
                <w:b/>
                <w:color w:val="2E7D4F"/>
                <w:sz w:val="18"/>
              </w:rPr>
              <w:t xml:space="preserve">ТЕОРЕМА T4.21.2 — Машинная монотонность статуса. </w:t>
            </w:r>
            <w:r>
              <w:rPr>
                <w:b/>
                <w:color w:val="9B2D30"/>
                <w:sz w:val="17"/>
              </w:rPr>
              <w:t xml:space="preserve">[THM-BY-CONTRACT] </w:t>
            </w:r>
            <w:r>
              <w:rPr>
                <w:sz w:val="18"/>
              </w:rPr>
              <w:t>Если каждый модуль ingest, reconstruction и inference удовлетворяет status-preserving contract, то итоговый машинный вывод не сильнее слабейшего обязательного входного статуса.</w:t>
            </w:r>
            <w:r>
              <w:br/>
            </w:r>
            <w:r>
              <w:rPr>
                <w:b/>
                <w:sz w:val="18"/>
              </w:rPr>
              <w:t xml:space="preserve">Доказательство. </w:t>
            </w:r>
            <w:r>
              <w:rPr>
                <w:sz w:val="18"/>
              </w:rPr>
              <w:t>Композиция монотонных отображений монотонна. Любой обязательный blocker переводит соответствующий компонент в ABSTAIN и не может быть устранён downstream-рейтингом. □</w:t>
            </w:r>
          </w:p>
        </w:tc>
      </w:tr>
    </w:tbl>
    <w:tbl>
      <w:tblPr>
        <w:tblStyle w:val="TableGrid"/>
        <w:tblW w:type="auto" w:w="0"/>
        <w:jc w:val="center"/>
        <w:tblLook w:firstColumn="1" w:firstRow="1" w:lastColumn="0" w:lastRow="0" w:noHBand="0" w:noVBand="1" w:val="04A0"/>
      </w:tblPr>
      <w:tblGrid>
        <w:gridCol w:w="4932"/>
        <w:gridCol w:w="4932"/>
      </w:tblGrid>
      <w:tr>
        <w:trPr>
          <w:trHeight w:hRule="atLeast"/>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σ(machine_output)≼σ(source_inputs)</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T4-F186</w:t>
              <w:br/>
              <w:t>MACHINE STATUS MONOTONICITY</w:t>
            </w:r>
          </w:p>
        </w:tc>
      </w:tr>
    </w:tbl>
    <w:tbl>
      <w:tblPr>
        <w:tblStyle w:val="TableGrid"/>
        <w:tblW w:type="auto" w:w="0"/>
        <w:jc w:val="center"/>
        <w:tblLook w:firstColumn="1" w:firstRow="1" w:lastColumn="0" w:lastRow="0" w:noHBand="0" w:noVBand="1" w:val="04A0"/>
      </w:tblPr>
      <w:tblGrid>
        <w:gridCol w:w="9865"/>
      </w:tblGrid>
      <w:tr>
        <w:trPr>
          <w:trHeight w:hRule="atLeast"/>
        </w:trPr>
        <w:tc>
          <w:tcPr>
            <w:tcW w:type="dxa" w:w="9865"/>
            <w:shd w:fill="FBEDED" w:val="clear"/>
            <w:tcMar>
              <w:top w:w="90" w:type="dxa"/>
              <w:start w:w="100" w:type="dxa"/>
              <w:bottom w:w="90" w:type="dxa"/>
              <w:end w:w="100" w:type="dxa"/>
            </w:tcMar>
            <w:vAlign w:val="center"/>
          </w:tcPr>
          <w:p>
            <w:pPr>
              <w:widowControl/>
              <w:spacing w:line="252" w:lineRule="auto"/>
            </w:pPr>
            <w:r>
              <w:rPr>
                <w:b/>
                <w:color w:val="9B2D30"/>
                <w:sz w:val="18"/>
              </w:rPr>
              <w:t xml:space="preserve">CM-064 · hash equals truth. </w:t>
            </w:r>
            <w:r>
              <w:rPr>
                <w:sz w:val="18"/>
              </w:rPr>
              <w:t>Byte identity is mistaken for truth, authorship or moral responsibility.</w:t>
            </w:r>
          </w:p>
        </w:tc>
      </w:tr>
    </w:tbl>
    <w:tbl>
      <w:tblPr>
        <w:tblStyle w:val="TableGrid"/>
        <w:tblW w:type="auto" w:w="0"/>
        <w:jc w:val="center"/>
        <w:tblLook w:firstColumn="1" w:firstRow="1" w:lastColumn="0" w:lastRow="0" w:noHBand="0" w:noVBand="1" w:val="04A0"/>
      </w:tblPr>
      <w:tblGrid>
        <w:gridCol w:w="9865"/>
      </w:tblGrid>
      <w:tr>
        <w:trPr>
          <w:trHeight w:hRule="atLeast"/>
        </w:trPr>
        <w:tc>
          <w:tcPr>
            <w:tcW w:type="dxa" w:w="9865"/>
            <w:shd w:fill="FBEDED" w:val="clear"/>
            <w:tcMar>
              <w:top w:w="90" w:type="dxa"/>
              <w:start w:w="100" w:type="dxa"/>
              <w:bottom w:w="90" w:type="dxa"/>
              <w:end w:w="100" w:type="dxa"/>
            </w:tcMar>
            <w:vAlign w:val="center"/>
          </w:tcPr>
          <w:p>
            <w:pPr>
              <w:widowControl/>
              <w:spacing w:line="252" w:lineRule="auto"/>
            </w:pPr>
            <w:r>
              <w:rPr>
                <w:b/>
                <w:color w:val="9B2D30"/>
                <w:sz w:val="18"/>
              </w:rPr>
              <w:t xml:space="preserve">CM-065 · machine status inflation. </w:t>
            </w:r>
            <w:r>
              <w:rPr>
                <w:sz w:val="18"/>
              </w:rPr>
              <w:t>A ranking algorithm converts a MODEL claim into a THM or EMP-OBS label without a proof/evidence bridge.</w:t>
            </w:r>
          </w:p>
        </w:tc>
      </w:tr>
    </w:tbl>
    <w:p>
      <w:pPr>
        <w:pStyle w:val="Heading2"/>
        <w:keepNext/>
        <w:widowControl/>
      </w:pPr>
      <w:r>
        <w:t>21.4. Privacy, цель и право доступа</w:t>
      </w:r>
    </w:p>
    <w:p>
      <w:pPr>
        <w:widowControl/>
        <w:spacing w:before="0" w:after="80"/>
      </w:pPr>
      <w:r>
        <w:rPr>
          <w:b w:val="0"/>
          <w:i w:val="0"/>
        </w:rPr>
        <w:t>Способность хранить не создаёт права хранить. Для антропологического корпуса техническая полнота может противоречить достоинству, безопасности и свободе субъекта. Поэтому privacy не является внешним юридическим приложением к KLT-RBD: она входит в достаточное основание допустимого C@C_database.</w:t>
      </w:r>
    </w:p>
    <w:tbl>
      <w:tblPr>
        <w:tblStyle w:val="TableGrid"/>
        <w:tblW w:type="auto" w:w="0"/>
        <w:jc w:val="center"/>
        <w:tblLook w:firstColumn="1" w:firstRow="1" w:lastColumn="0" w:lastRow="0" w:noHBand="0" w:noVBand="1" w:val="04A0"/>
      </w:tblPr>
      <w:tblGrid>
        <w:gridCol w:w="4932"/>
        <w:gridCol w:w="4932"/>
      </w:tblGrid>
      <w:tr>
        <w:trPr>
          <w:trHeight w:hRule="atLeast"/>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PrivacyGate=Purpose∧Minimization∧Access∧Retention∧Consent_or_LawfulBasis</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T4-F187</w:t>
              <w:br/>
              <w:t>PRIVACY/ETHICS GATE</w:t>
            </w:r>
          </w:p>
        </w:tc>
      </w:tr>
    </w:tbl>
    <w:tbl>
      <w:tblPr>
        <w:tblStyle w:val="TableGrid"/>
        <w:tblW w:type="auto" w:w="0"/>
        <w:jc w:val="center"/>
        <w:tblLook w:firstColumn="1" w:firstRow="1" w:lastColumn="0" w:lastRow="0" w:noHBand="0" w:noVBand="1" w:val="04A0"/>
      </w:tblPr>
      <w:tblGrid>
        <w:gridCol w:w="4932"/>
        <w:gridCol w:w="4932"/>
      </w:tblGrid>
      <w:tr>
        <w:trPr>
          <w:trHeight w:hRule="atLeast"/>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missing mandatory field or incompatible rights ⇒ ABSTAIN-MEMORY</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T4-F188</w:t>
              <w:br/>
              <w:t>BLOCKER-SAFE MEMORY</w:t>
            </w:r>
          </w:p>
        </w:tc>
      </w:tr>
    </w:tbl>
    <w:tbl>
      <w:tblPr>
        <w:tblStyle w:val="TableGrid"/>
        <w:tblW w:type="auto" w:w="0"/>
        <w:jc w:val="center"/>
        <w:tblLook w:firstColumn="1" w:firstRow="1" w:lastColumn="0" w:lastRow="0" w:noHBand="0" w:noVBand="1" w:val="04A0"/>
      </w:tblPr>
      <w:tblGrid>
        <w:gridCol w:w="9865"/>
      </w:tblGrid>
      <w:tr>
        <w:trPr>
          <w:trHeight w:hRule="atLeast"/>
        </w:trPr>
        <w:tc>
          <w:tcPr>
            <w:tcW w:type="dxa" w:w="9865"/>
            <w:shd w:fill="FBEDED" w:val="clear"/>
            <w:tcMar>
              <w:top w:w="90" w:type="dxa"/>
              <w:start w:w="100" w:type="dxa"/>
              <w:bottom w:w="90" w:type="dxa"/>
              <w:end w:w="100" w:type="dxa"/>
            </w:tcMar>
            <w:vAlign w:val="center"/>
          </w:tcPr>
          <w:p>
            <w:pPr>
              <w:widowControl/>
              <w:spacing w:line="252" w:lineRule="auto"/>
            </w:pPr>
            <w:r>
              <w:rPr>
                <w:b/>
                <w:color w:val="9B2D30"/>
                <w:sz w:val="18"/>
              </w:rPr>
              <w:t xml:space="preserve">CM-066 · privacy-free total memory. </w:t>
            </w:r>
            <w:r>
              <w:rPr>
                <w:sz w:val="18"/>
              </w:rPr>
              <w:t>The archive stores all personal data merely because storage is technically possible.</w:t>
            </w:r>
          </w:p>
        </w:tc>
      </w:tr>
    </w:tbl>
    <w:tbl>
      <w:tblPr>
        <w:tblStyle w:val="TableGrid"/>
        <w:tblW w:type="auto" w:w="0"/>
        <w:jc w:val="center"/>
        <w:tblLook w:firstColumn="1" w:firstRow="1" w:lastColumn="0" w:lastRow="0" w:noHBand="0" w:noVBand="1" w:val="04A0"/>
      </w:tblPr>
      <w:tblGrid>
        <w:gridCol w:w="9865"/>
      </w:tblGrid>
      <w:tr>
        <w:trPr>
          <w:trHeight w:hRule="atLeast"/>
        </w:trPr>
        <w:tc>
          <w:tcPr>
            <w:tcW w:type="dxa" w:w="9865"/>
            <w:shd w:fill="FBEDED" w:val="clear"/>
            <w:tcMar>
              <w:top w:w="90" w:type="dxa"/>
              <w:start w:w="100" w:type="dxa"/>
              <w:bottom w:w="90" w:type="dxa"/>
              <w:end w:w="100" w:type="dxa"/>
            </w:tcMar>
            <w:vAlign w:val="center"/>
          </w:tcPr>
          <w:p>
            <w:pPr>
              <w:widowControl/>
              <w:spacing w:line="254" w:lineRule="auto"/>
            </w:pPr>
            <w:r>
              <w:rPr>
                <w:b/>
                <w:color w:val="17345F"/>
                <w:sz w:val="18"/>
              </w:rPr>
              <w:t xml:space="preserve">ЭТИЧЕСКИЙ FIREWALL. </w:t>
            </w:r>
            <w:r>
              <w:rPr>
                <w:sz w:val="18"/>
              </w:rPr>
              <w:t>Том IV не разрешает использовать Human_R, AnthroGap, R-режимы или machine memory для скрытого профилирования личности, клинической диагностики, кадрового рейтинга, правового решения либо морального приговора. Каждый такой переход требует самостоятельного предметного, нормативного, эмпирического и институционального моста.</w:t>
            </w:r>
          </w:p>
        </w:tc>
      </w:tr>
    </w:tbl>
    <w:p>
      <w:pPr>
        <w:pStyle w:val="Heading2"/>
        <w:keepNext/>
        <w:widowControl/>
      </w:pPr>
      <w:r>
        <w:t>21.5. Первое и второе ядро в машинной памяти</w:t>
      </w:r>
    </w:p>
    <w:p>
      <w:pPr>
        <w:widowControl/>
        <w:spacing w:before="0" w:after="80"/>
      </w:pPr>
      <w:r>
        <w:rPr>
          <w:b w:val="0"/>
          <w:i w:val="0"/>
        </w:rPr>
        <w:t>Первое ядро проявляется как операция порождения записи: ingest выбирает событие, схему, метаданные и место в графе. Второе ядро проявляется как сохранение инвариантов записи сквозь миграции, форматы, индексы и версии. Машина становится полезной не тогда, когда заявляет абсолютную память, а когда способна показать, что именно она преобразовала и что осталось инвариантным.</w:t>
      </w:r>
    </w:p>
    <w:p>
      <w:pPr>
        <w:widowControl/>
        <w:jc w:val="center"/>
      </w:pPr>
      <w:r>
        <w:drawing>
          <wp:inline xmlns:a="http://schemas.openxmlformats.org/drawingml/2006/main" xmlns:pic="http://schemas.openxmlformats.org/drawingml/2006/picture">
            <wp:extent cx="5943600" cy="2416098"/>
            <wp:docPr id="24" name="Picture 24" descr="Схема разделяет lived event, human memory и machine record, которые сходятся в KLT-RBD, но не становятся тождественными." title="Рисунок 21. Человеческая память, машинная запись и внешняя память KLT-RBD."/>
            <wp:cNvGraphicFramePr>
              <a:graphicFrameLocks noChangeAspect="1"/>
            </wp:cNvGraphicFramePr>
            <a:graphic>
              <a:graphicData uri="http://schemas.openxmlformats.org/drawingml/2006/picture">
                <pic:pic>
                  <pic:nvPicPr>
                    <pic:cNvPr id="0" name="fig21_human_machine_memory.png"/>
                    <pic:cNvPicPr/>
                  </pic:nvPicPr>
                  <pic:blipFill>
                    <a:blip r:embed="rId38"/>
                    <a:stretch>
                      <a:fillRect/>
                    </a:stretch>
                  </pic:blipFill>
                  <pic:spPr>
                    <a:xfrm>
                      <a:off x="0" y="0"/>
                      <a:ext cx="5943600" cy="2416098"/>
                    </a:xfrm>
                    <a:prstGeom prst="rect"/>
                  </pic:spPr>
                </pic:pic>
              </a:graphicData>
            </a:graphic>
          </wp:inline>
        </w:drawing>
      </w:r>
    </w:p>
    <w:p>
      <w:pPr>
        <w:pStyle w:val="Caption"/>
        <w:keepLines/>
        <w:widowControl/>
        <w:jc w:val="center"/>
      </w:pPr>
      <w:r>
        <w:rPr>
          <w:b/>
          <w:color w:val="4A76B8"/>
          <w:sz w:val="18"/>
        </w:rPr>
        <w:t>Рисунок 21. Человеческая память, машинная запись и внешняя память KLT-RBD.</w:t>
      </w:r>
    </w:p>
    <w:tbl>
      <w:tblPr>
        <w:tblStyle w:val="TableGrid"/>
        <w:tblW w:type="auto" w:w="0"/>
        <w:jc w:val="center"/>
        <w:tblLook w:firstColumn="1" w:firstRow="1" w:lastColumn="0" w:lastRow="0" w:noHBand="0" w:noVBand="1" w:val="04A0"/>
      </w:tblPr>
      <w:tblGrid>
        <w:gridCol w:w="9865"/>
      </w:tblGrid>
      <w:tr>
        <w:trPr>
          <w:trHeight w:hRule="atLeast"/>
        </w:trPr>
        <w:tc>
          <w:tcPr>
            <w:tcW w:type="dxa" w:w="9865"/>
            <w:shd w:fill="EAF0F7" w:val="clear"/>
            <w:tcMar>
              <w:top w:w="90" w:type="dxa"/>
              <w:start w:w="100" w:type="dxa"/>
              <w:bottom w:w="90" w:type="dxa"/>
              <w:end w:w="100" w:type="dxa"/>
            </w:tcMar>
            <w:vAlign w:val="center"/>
          </w:tcPr>
          <w:p>
            <w:pPr>
              <w:widowControl/>
              <w:spacing w:line="254" w:lineRule="auto"/>
            </w:pPr>
            <w:r>
              <w:rPr>
                <w:b/>
                <w:color w:val="17345F"/>
                <w:sz w:val="18"/>
              </w:rPr>
              <w:t xml:space="preserve">РЕЗУЛЬТАТ ГЛАВЫ 21. </w:t>
            </w:r>
            <w:r>
              <w:rPr>
                <w:sz w:val="18"/>
              </w:rPr>
              <w:t>Определены три типа C@C, доказана необратимость полного восстановления lived event из записи, введены proof-carrying record, status monotonicity, privacy gate и ABSTAIN-MEMORY. Машинная память включена в KLT-RBD как внешний инвариантный граф, но не как замена человеческого опыта и ответственности.</w:t>
            </w:r>
          </w:p>
        </w:tc>
      </w:tr>
    </w:tbl>
    <w:p>
      <w:pPr>
        <w:pStyle w:val="Heading1"/>
        <w:keepNext/>
        <w:widowControl/>
      </w:pPr>
      <w:r>
        <w:t>Глава 22. Междисциплинарные адаптеры и proof-carrying случаи</w:t>
      </w:r>
    </w:p>
    <w:tbl>
      <w:tblPr>
        <w:tblStyle w:val="TableGrid"/>
        <w:tblW w:type="auto" w:w="0"/>
        <w:jc w:val="center"/>
        <w:tblLook w:firstColumn="1" w:firstRow="1" w:lastColumn="0" w:lastRow="0" w:noHBand="0" w:noVBand="1" w:val="04A0"/>
      </w:tblPr>
      <w:tblGrid>
        <w:gridCol w:w="9865"/>
      </w:tblGrid>
      <w:tr>
        <w:trPr>
          <w:trHeight w:hRule="atLeast"/>
        </w:trPr>
        <w:tc>
          <w:tcPr>
            <w:tcW w:type="dxa" w:w="9865"/>
            <w:shd w:fill="EAF0F7" w:val="clear"/>
            <w:tcMar>
              <w:top w:w="90" w:type="dxa"/>
              <w:start w:w="100" w:type="dxa"/>
              <w:bottom w:w="90" w:type="dxa"/>
              <w:end w:w="100" w:type="dxa"/>
            </w:tcMar>
            <w:vAlign w:val="center"/>
          </w:tcPr>
          <w:p>
            <w:pPr>
              <w:widowControl/>
              <w:spacing w:after="0" w:line="252" w:lineRule="auto"/>
            </w:pPr>
            <w:r>
              <w:rPr>
                <w:b/>
                <w:color w:val="17345F"/>
                <w:sz w:val="19"/>
              </w:rPr>
              <w:t xml:space="preserve">РАМКА ГЛАВЫ 22. </w:t>
            </w:r>
            <w:r>
              <w:rPr>
                <w:b/>
                <w:color w:val="9B2D30"/>
                <w:sz w:val="18"/>
              </w:rPr>
              <w:t>[DEF / THM-FORMAL / MODEL / EMP-PLAN]</w:t>
            </w:r>
            <w:r>
              <w:br/>
            </w:r>
            <w:r>
              <w:rPr>
                <w:b/>
                <w:color w:val="1A2433"/>
                <w:sz w:val="17"/>
              </w:rPr>
              <w:t xml:space="preserve">ОНТОЛОГИЯ. </w:t>
            </w:r>
            <w:r>
              <w:rPr>
                <w:sz w:val="17"/>
              </w:rPr>
              <w:t>Каждая дисциплина существует как собственный домен объектов, правил, источников и статусов; KLT-RBD не стирает эти различия, а строит контролируемые адаптеры.</w:t>
            </w:r>
            <w:r>
              <w:br/>
            </w:r>
            <w:r>
              <w:rPr>
                <w:b/>
                <w:color w:val="1A2433"/>
                <w:sz w:val="17"/>
              </w:rPr>
              <w:t xml:space="preserve">ГНОСЕОЛОГИЯ. </w:t>
            </w:r>
            <w:r>
              <w:rPr>
                <w:sz w:val="17"/>
              </w:rPr>
              <w:t>Перенос знания допустим только через типизированный source-bound adapter, который сохраняет доказательные границы и умеет возвращать ABSTAIN.</w:t>
            </w:r>
            <w:r>
              <w:br/>
            </w:r>
            <w:r>
              <w:rPr>
                <w:b/>
                <w:color w:val="1A2433"/>
                <w:sz w:val="17"/>
              </w:rPr>
              <w:t xml:space="preserve">ФЕНОМЕНОЛОГИЯ. </w:t>
            </w:r>
            <w:r>
              <w:rPr>
                <w:sz w:val="17"/>
              </w:rPr>
              <w:t>В практике единое ядро проявляется как сходство маршрутов: событие@состояние, источник, основание, инвариант, блокер, кандидат и проверка.</w:t>
            </w:r>
            <w:r>
              <w:br/>
            </w:r>
            <w:r>
              <w:rPr>
                <w:b/>
                <w:color w:val="1A2433"/>
                <w:sz w:val="17"/>
              </w:rPr>
              <w:t xml:space="preserve">АНТРОПОЛОГИЯ. </w:t>
            </w:r>
            <w:r>
              <w:rPr>
                <w:sz w:val="17"/>
              </w:rPr>
              <w:t>Человек способен видеть общую структуру разных областей, но обязан удерживать различие их норм доказательства, эксперимента, ответственности и действия.</w:t>
            </w:r>
            <w:r>
              <w:br/>
            </w:r>
            <w:r>
              <w:rPr>
                <w:b/>
                <w:color w:val="1A2433"/>
                <w:sz w:val="17"/>
              </w:rPr>
              <w:t xml:space="preserve">ОГРАНИЧЕНИЕ. </w:t>
            </w:r>
            <w:r>
              <w:rPr>
                <w:sz w:val="17"/>
              </w:rPr>
              <w:t>Структурное сходство не доказывает тождество физических, юридических, химических и антропологических мировых функций.</w:t>
            </w:r>
            <w:r>
              <w:br/>
            </w:r>
            <w:r>
              <w:rPr>
                <w:b/>
                <w:color w:val="1A2433"/>
                <w:sz w:val="17"/>
              </w:rPr>
              <w:t xml:space="preserve">АВТОРСКАЯ НОВИЗНА. </w:t>
            </w:r>
            <w:r>
              <w:rPr>
                <w:sz w:val="17"/>
              </w:rPr>
              <w:t>Авторская новизна - теорема неповышения статуса и единый интерфейс предметных адаптеров к двум ядрам KLT-RBD.</w:t>
            </w:r>
          </w:p>
        </w:tc>
      </w:tr>
    </w:tbl>
    <w:tbl>
      <w:tblPr>
        <w:tblStyle w:val="TableGrid"/>
        <w:tblW w:type="auto" w:w="0"/>
        <w:jc w:val="center"/>
        <w:tblLook w:firstColumn="1" w:firstRow="1" w:lastColumn="0" w:lastRow="0" w:noHBand="0" w:noVBand="1" w:val="04A0"/>
      </w:tblPr>
      <w:tblGrid>
        <w:gridCol w:w="9865"/>
      </w:tblGrid>
      <w:tr>
        <w:trPr>
          <w:trHeight w:hRule="atLeast"/>
        </w:trPr>
        <w:tc>
          <w:tcPr>
            <w:tcW w:type="dxa" w:w="9865"/>
            <w:shd w:fill="F7F1DF" w:val="clear"/>
            <w:tcMar>
              <w:top w:w="90" w:type="dxa"/>
              <w:start w:w="100" w:type="dxa"/>
              <w:bottom w:w="90" w:type="dxa"/>
              <w:end w:w="100" w:type="dxa"/>
            </w:tcMar>
            <w:vAlign w:val="center"/>
          </w:tcPr>
          <w:p>
            <w:pPr>
              <w:widowControl/>
              <w:spacing w:after="0" w:line="259" w:lineRule="auto"/>
            </w:pPr>
            <w:r>
              <w:rPr>
                <w:rFonts w:ascii="DejaVu Sans" w:hAnsi="DejaVu Sans"/>
                <w:b/>
                <w:color w:val="8B6508"/>
                <w:sz w:val="19"/>
              </w:rPr>
              <w:t xml:space="preserve">ФИЛОСОФСКИЙ ПРОЛОГ. </w:t>
            </w:r>
            <w:r>
              <w:rPr>
                <w:i/>
                <w:sz w:val="18"/>
              </w:rPr>
              <w:t>Универсальный метод легко превращается в универсальное насилие, если он заставляет все предметы говорить на одном языке. Подлинная универсальность действует иначе: она умеет переводить, не уничтожая непереводимое, и хранить границу там, где аналогия заканчивается. KLT-RBD должен быть не машиной одинаковых ответов, а машиной ответственного различения способов доказательства.</w:t>
            </w:r>
          </w:p>
        </w:tc>
      </w:tr>
    </w:tbl>
    <w:p>
      <w:pPr>
        <w:pStyle w:val="Heading2"/>
        <w:keepNext/>
        <w:widowControl/>
      </w:pPr>
      <w:r>
        <w:t>22.1. Общий контракт адаптера</w:t>
      </w:r>
    </w:p>
    <w:tbl>
      <w:tblPr>
        <w:tblStyle w:val="TableGrid"/>
        <w:tblW w:type="auto" w:w="0"/>
        <w:jc w:val="center"/>
        <w:tblLook w:firstColumn="1" w:firstRow="1" w:lastColumn="0" w:lastRow="0" w:noHBand="0" w:noVBand="1" w:val="04A0"/>
      </w:tblPr>
      <w:tblGrid>
        <w:gridCol w:w="4932"/>
        <w:gridCol w:w="4932"/>
      </w:tblGrid>
      <w:tr>
        <w:trPr>
          <w:trHeight w:hRule="atLeast"/>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A_Ω:Core_KLT×Data_Ω⇀Claims_Ω×ProofPassport_Ω</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T4-F190</w:t>
              <w:br/>
              <w:t>DOMAIN ADAPTER DEF</w:t>
            </w:r>
          </w:p>
        </w:tc>
      </w:tr>
    </w:tbl>
    <w:tbl>
      <w:tblPr>
        <w:tblStyle w:val="TableGrid"/>
        <w:tblW w:type="auto" w:w="0"/>
        <w:jc w:val="center"/>
        <w:tblLook w:firstColumn="1" w:firstRow="1" w:lastColumn="0" w:lastRow="0" w:noHBand="0" w:noVBand="1" w:val="04A0"/>
      </w:tblPr>
      <w:tblGrid>
        <w:gridCol w:w="4932"/>
        <w:gridCol w:w="4932"/>
      </w:tblGrid>
      <w:tr>
        <w:trPr>
          <w:trHeight w:hRule="atLeast"/>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σ(A_Ω(x))≼σ(x)</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T4-F191</w:t>
              <w:br/>
              <w:t>ADAPTER NON-PROMOTION</w:t>
            </w:r>
          </w:p>
        </w:tc>
      </w:tr>
    </w:tbl>
    <w:tbl>
      <w:tblPr>
        <w:tblStyle w:val="TableGrid"/>
        <w:tblW w:type="auto" w:w="0"/>
        <w:jc w:val="center"/>
        <w:tblLook w:firstColumn="1" w:firstRow="1" w:lastColumn="0" w:lastRow="0" w:noHBand="0" w:noVBand="1" w:val="04A0"/>
      </w:tblPr>
      <w:tblGrid>
        <w:gridCol w:w="4932"/>
        <w:gridCol w:w="4932"/>
      </w:tblGrid>
      <w:tr>
        <w:trPr>
          <w:trHeight w:hRule="atLeast"/>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SourceBound(A_Ω)⇔every output edge has locator,version,hash,Dom,D</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T4-F192</w:t>
              <w:br/>
              <w:t>SOURCE-BOUND CONTRACT</w:t>
            </w:r>
          </w:p>
        </w:tc>
      </w:tr>
    </w:tbl>
    <w:tbl>
      <w:tblPr>
        <w:tblStyle w:val="TableGrid"/>
        <w:tblW w:type="auto" w:w="0"/>
        <w:jc w:val="center"/>
        <w:tblLook w:firstColumn="1" w:firstRow="1" w:lastColumn="0" w:lastRow="0" w:noHBand="0" w:noVBand="1" w:val="04A0"/>
      </w:tblPr>
      <w:tblGrid>
        <w:gridCol w:w="9865"/>
      </w:tblGrid>
      <w:tr>
        <w:trPr>
          <w:trHeight w:hRule="atLeast"/>
        </w:trPr>
        <w:tc>
          <w:tcPr>
            <w:tcW w:type="dxa" w:w="9865"/>
            <w:shd w:fill="EAF6EC" w:val="clear"/>
            <w:tcMar>
              <w:top w:w="90" w:type="dxa"/>
              <w:start w:w="100" w:type="dxa"/>
              <w:bottom w:w="90" w:type="dxa"/>
              <w:end w:w="100" w:type="dxa"/>
            </w:tcMar>
            <w:vAlign w:val="center"/>
          </w:tcPr>
          <w:p>
            <w:pPr>
              <w:widowControl/>
              <w:spacing w:line="254" w:lineRule="auto"/>
            </w:pPr>
            <w:r>
              <w:rPr>
                <w:b/>
                <w:color w:val="2E7D4F"/>
                <w:sz w:val="18"/>
              </w:rPr>
              <w:t xml:space="preserve">ТЕОРЕМА T4.22.1 — Неповышение статуса предметным адаптером. </w:t>
            </w:r>
            <w:r>
              <w:rPr>
                <w:b/>
                <w:color w:val="9B2D30"/>
                <w:sz w:val="17"/>
              </w:rPr>
              <w:t xml:space="preserve">[THM-FORMAL] </w:t>
            </w:r>
            <w:r>
              <w:rPr>
                <w:sz w:val="18"/>
              </w:rPr>
              <w:t>Если адаптер состоит из status-monotone модулей и сохраняет mandatory blockers, то ни один его выход не может получить статус сильнее статуса обязательных входных proof/evidence objects.</w:t>
            </w:r>
            <w:r>
              <w:br/>
            </w:r>
            <w:r>
              <w:rPr>
                <w:b/>
                <w:sz w:val="18"/>
              </w:rPr>
              <w:t xml:space="preserve">Доказательство. </w:t>
            </w:r>
            <w:r>
              <w:rPr>
                <w:sz w:val="18"/>
              </w:rPr>
              <w:t>Следует из монотонности композиции и blocker veto. Скаляры ранжирования не участвуют в доказательном порядке. □</w:t>
            </w:r>
          </w:p>
        </w:tc>
      </w:tr>
    </w:tbl>
    <w:tbl>
      <w:tblPr>
        <w:tblStyle w:val="TableGrid"/>
        <w:tblW w:type="auto" w:w="0"/>
        <w:jc w:val="center"/>
        <w:tblLook w:firstColumn="1" w:firstRow="1" w:lastColumn="0" w:lastRow="0" w:noHBand="0" w:noVBand="1" w:val="04A0"/>
      </w:tblPr>
      <w:tblGrid>
        <w:gridCol w:w="9865"/>
      </w:tblGrid>
      <w:tr>
        <w:trPr>
          <w:trHeight w:hRule="atLeast"/>
        </w:trPr>
        <w:tc>
          <w:tcPr>
            <w:tcW w:type="dxa" w:w="9865"/>
            <w:shd w:fill="FBEDED" w:val="clear"/>
            <w:tcMar>
              <w:top w:w="90" w:type="dxa"/>
              <w:start w:w="100" w:type="dxa"/>
              <w:bottom w:w="90" w:type="dxa"/>
              <w:end w:w="100" w:type="dxa"/>
            </w:tcMar>
            <w:vAlign w:val="center"/>
          </w:tcPr>
          <w:p>
            <w:pPr>
              <w:widowControl/>
              <w:spacing w:line="252" w:lineRule="auto"/>
            </w:pPr>
            <w:r>
              <w:rPr>
                <w:b/>
                <w:color w:val="9B2D30"/>
                <w:sz w:val="18"/>
              </w:rPr>
              <w:t xml:space="preserve">CM-067 · domain collapse. </w:t>
            </w:r>
            <w:r>
              <w:rPr>
                <w:sz w:val="18"/>
              </w:rPr>
              <w:t>A structural world function in law, chemistry or anthropology is presented as the same physical field without a typed adapter.</w:t>
            </w:r>
          </w:p>
        </w:tc>
      </w:tr>
    </w:tbl>
    <w:p>
      <w:pPr>
        <w:widowControl/>
        <w:spacing w:before="0" w:after="80"/>
      </w:pPr>
      <w:r>
        <w:rPr>
          <w:b w:val="0"/>
          <w:i w:val="0"/>
        </w:rPr>
        <w:t>Термин «мировая функция» вне физики разрешён только как название структурного функционала предметного мира. Он не означает, что судебный документ, химическая реакция и человеческая память являются одним физическим полем.</w:t>
      </w:r>
    </w:p>
    <w:tbl>
      <w:tblPr>
        <w:tblStyle w:val="TableGrid"/>
        <w:tblW w:type="auto" w:w="0"/>
        <w:jc w:val="center"/>
        <w:tblLook w:firstColumn="1" w:firstRow="1" w:lastColumn="0" w:lastRow="0" w:noHBand="0" w:noVBand="1" w:val="04A0"/>
      </w:tblPr>
      <w:tblGrid>
        <w:gridCol w:w="4932"/>
        <w:gridCol w:w="4932"/>
      </w:tblGrid>
      <w:tr>
        <w:trPr>
          <w:trHeight w:hRule="atLeast"/>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WorldFunction_Ω=structural generating functional unless a physical bridge is proved</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T4-F198</w:t>
              <w:br/>
              <w:t>SEMANTIC FIREWALL</w:t>
            </w:r>
          </w:p>
        </w:tc>
      </w:tr>
    </w:tbl>
    <w:p>
      <w:pPr>
        <w:pStyle w:val="Heading2"/>
        <w:keepNext/>
        <w:widowControl/>
      </w:pPr>
      <w:r>
        <w:t>22.2. Адаптер научной статьи</w:t>
      </w:r>
    </w:p>
    <w:tbl>
      <w:tblPr>
        <w:tblStyle w:val="TableGrid"/>
        <w:tblW w:type="auto" w:w="0"/>
        <w:jc w:val="center"/>
        <w:tblLook w:firstColumn="1" w:firstRow="1" w:lastColumn="0" w:lastRow="0" w:noHBand="0" w:noVBand="1" w:val="04A0"/>
      </w:tblPr>
      <w:tblGrid>
        <w:gridCol w:w="4932"/>
        <w:gridCol w:w="4932"/>
      </w:tblGrid>
      <w:tr>
        <w:trPr>
          <w:trHeight w:hRule="atLeast"/>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A_article:formula-chain→claim-status</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T4-F193</w:t>
              <w:br/>
              <w:t>SCIENTIFIC ARTICLE ADAPTER</w:t>
            </w:r>
          </w:p>
        </w:tc>
      </w:tr>
    </w:tbl>
    <w:p>
      <w:pPr>
        <w:widowControl/>
        <w:spacing w:before="0" w:after="80"/>
      </w:pPr>
      <w:r>
        <w:rPr>
          <w:b w:val="0"/>
          <w:i w:val="0"/>
        </w:rPr>
        <w:t>Единицей является не статья целиком, а типизированный переход между определением, формулой, леммой, доказательством, вычислением и эмпирическим утверждением. PIX соответствует локальным перестройкам внутри одного доказательного слоя; PEAKS - переходам между слоями определения, теории, вычисления и эксперимента. Кандидат становится теоремой только после proof gate; ссылка на авторитет не заменяет доказательство.</w:t>
      </w:r>
    </w:p>
    <w:tbl>
      <w:tblPr>
        <w:tblStyle w:val="TableGrid"/>
        <w:tblW w:type="auto" w:w="0"/>
        <w:jc w:val="center"/>
        <w:tblLook w:firstColumn="1" w:firstRow="1" w:lastColumn="0" w:lastRow="0" w:noHBand="0" w:noVBand="1" w:val="04A0"/>
      </w:tblPr>
      <w:tblGrid>
        <w:gridCol w:w="3288"/>
        <w:gridCol w:w="3288"/>
        <w:gridCol w:w="3288"/>
      </w:tblGrid>
      <w:tr>
        <w:trPr>
          <w:trHeight w:hRule="atLeast"/>
          <w:tblHeader w:val="true"/>
        </w:trPr>
        <w:tc>
          <w:tcPr>
            <w:tcW w:type="dxa" w:w="2232"/>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Вход</w:t>
            </w:r>
          </w:p>
        </w:tc>
        <w:tc>
          <w:tcPr>
            <w:tcW w:type="dxa" w:w="4464"/>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Проверка</w:t>
            </w:r>
          </w:p>
        </w:tc>
        <w:tc>
          <w:tcPr>
            <w:tcW w:type="dxa" w:w="3024"/>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Выход</w:t>
            </w:r>
          </w:p>
        </w:tc>
      </w:tr>
      <w:tr>
        <w:trPr>
          <w:trHeight w:hRule="atLeast"/>
        </w:trPr>
        <w:tc>
          <w:tcPr>
            <w:tcW w:type="dxa" w:w="2232"/>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5"/>
              </w:rPr>
              <w:t>Определение / формула</w:t>
            </w:r>
          </w:p>
        </w:tc>
        <w:tc>
          <w:tcPr>
            <w:tcW w:type="dxa" w:w="446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Типы, Dom, D, notation lock</w:t>
            </w:r>
          </w:p>
        </w:tc>
        <w:tc>
          <w:tcPr>
            <w:tcW w:type="dxa" w:w="302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formula node</w:t>
            </w:r>
          </w:p>
        </w:tc>
      </w:tr>
      <w:tr>
        <w:trPr>
          <w:trHeight w:hRule="atLeast"/>
        </w:trPr>
        <w:tc>
          <w:tcPr>
            <w:tcW w:type="dxa" w:w="2232"/>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5"/>
              </w:rPr>
              <w:t>Переход</w:t>
            </w:r>
          </w:p>
        </w:tc>
        <w:tc>
          <w:tcPr>
            <w:tcW w:type="dxa" w:w="4464"/>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Правило вывода, зависимость, контрпример</w:t>
            </w:r>
          </w:p>
        </w:tc>
        <w:tc>
          <w:tcPr>
            <w:tcW w:type="dxa" w:w="3024"/>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proof edge / gap</w:t>
            </w:r>
          </w:p>
        </w:tc>
      </w:tr>
      <w:tr>
        <w:trPr>
          <w:trHeight w:hRule="atLeast"/>
        </w:trPr>
        <w:tc>
          <w:tcPr>
            <w:tcW w:type="dxa" w:w="2232"/>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5"/>
              </w:rPr>
              <w:t>Теорема</w:t>
            </w:r>
          </w:p>
        </w:tc>
        <w:tc>
          <w:tcPr>
            <w:tcW w:type="dxa" w:w="446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Полный proof object и assumptions</w:t>
            </w:r>
          </w:p>
        </w:tc>
        <w:tc>
          <w:tcPr>
            <w:tcW w:type="dxa" w:w="302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THM либо COND</w:t>
            </w:r>
          </w:p>
        </w:tc>
      </w:tr>
      <w:tr>
        <w:trPr>
          <w:trHeight w:hRule="atLeast"/>
        </w:trPr>
        <w:tc>
          <w:tcPr>
            <w:tcW w:type="dxa" w:w="2232"/>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5"/>
              </w:rPr>
              <w:t>Вычисление</w:t>
            </w:r>
          </w:p>
        </w:tc>
        <w:tc>
          <w:tcPr>
            <w:tcW w:type="dxa" w:w="4464"/>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Код, environment, test vectors, hashes</w:t>
            </w:r>
          </w:p>
        </w:tc>
        <w:tc>
          <w:tcPr>
            <w:tcW w:type="dxa" w:w="3024"/>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NUM</w:t>
            </w:r>
          </w:p>
        </w:tc>
      </w:tr>
      <w:tr>
        <w:trPr>
          <w:trHeight w:hRule="atLeast"/>
        </w:trPr>
        <w:tc>
          <w:tcPr>
            <w:tcW w:type="dxa" w:w="2232"/>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5"/>
              </w:rPr>
              <w:t>Эксперимент</w:t>
            </w:r>
          </w:p>
        </w:tc>
        <w:tc>
          <w:tcPr>
            <w:tcW w:type="dxa" w:w="446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Предрегистрация, данные, независимый запуск</w:t>
            </w:r>
          </w:p>
        </w:tc>
        <w:tc>
          <w:tcPr>
            <w:tcW w:type="dxa" w:w="302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EMP-OBS либо EMP-PLAN</w:t>
            </w:r>
          </w:p>
        </w:tc>
      </w:tr>
    </w:tbl>
    <w:p>
      <w:pPr>
        <w:pStyle w:val="Heading2"/>
        <w:keepNext/>
        <w:widowControl/>
      </w:pPr>
      <w:r>
        <w:t>22.3. Адаптер судебного документа</w:t>
      </w:r>
    </w:p>
    <w:tbl>
      <w:tblPr>
        <w:tblStyle w:val="TableGrid"/>
        <w:tblW w:type="auto" w:w="0"/>
        <w:jc w:val="center"/>
        <w:tblLook w:firstColumn="1" w:firstRow="1" w:lastColumn="0" w:lastRow="0" w:noHBand="0" w:noVBand="1" w:val="04A0"/>
      </w:tblPr>
      <w:tblGrid>
        <w:gridCol w:w="4932"/>
        <w:gridCol w:w="4932"/>
      </w:tblGrid>
      <w:tr>
        <w:trPr>
          <w:trHeight w:hRule="atLeast"/>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A_court:document-chain→structural dossier; no automatic legal conclusion</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T4-F194</w:t>
              <w:br/>
              <w:t>COURT-DOCUMENT ADAPTER</w:t>
            </w:r>
          </w:p>
        </w:tc>
      </w:tr>
    </w:tbl>
    <w:p>
      <w:pPr>
        <w:widowControl/>
        <w:spacing w:before="0" w:after="80"/>
      </w:pPr>
      <w:r>
        <w:rPr>
          <w:b w:val="0"/>
          <w:i w:val="0"/>
        </w:rPr>
        <w:t>Судебный документ представляет событие@состояние внутри процедурного и нормативного домена. KLT-RBD способен проверять версии, происхождение, противоречия, ссылки и отсутствующие основания. Но система не получает из этого полномочие суда и не заменяет правила допустимости доказательств, юрисдикцию, состязательность и человеческую ответственность решения.</w:t>
      </w:r>
    </w:p>
    <w:tbl>
      <w:tblPr>
        <w:tblStyle w:val="TableGrid"/>
        <w:tblW w:type="auto" w:w="0"/>
        <w:jc w:val="center"/>
        <w:tblLook w:firstColumn="1" w:firstRow="1" w:lastColumn="0" w:lastRow="0" w:noHBand="0" w:noVBand="1" w:val="04A0"/>
      </w:tblPr>
      <w:tblGrid>
        <w:gridCol w:w="9865"/>
      </w:tblGrid>
      <w:tr>
        <w:trPr>
          <w:trHeight w:hRule="atLeast"/>
        </w:trPr>
        <w:tc>
          <w:tcPr>
            <w:tcW w:type="dxa" w:w="9865"/>
            <w:shd w:fill="FBEDED" w:val="clear"/>
            <w:tcMar>
              <w:top w:w="90" w:type="dxa"/>
              <w:start w:w="100" w:type="dxa"/>
              <w:bottom w:w="90" w:type="dxa"/>
              <w:end w:w="100" w:type="dxa"/>
            </w:tcMar>
            <w:vAlign w:val="center"/>
          </w:tcPr>
          <w:p>
            <w:pPr>
              <w:widowControl/>
              <w:spacing w:line="252" w:lineRule="auto"/>
            </w:pPr>
            <w:r>
              <w:rPr>
                <w:b/>
                <w:color w:val="9B2D30"/>
                <w:sz w:val="18"/>
              </w:rPr>
              <w:t xml:space="preserve">CM-068 · automatic legal conclusion. </w:t>
            </w:r>
            <w:r>
              <w:rPr>
                <w:sz w:val="18"/>
              </w:rPr>
              <w:t>A document graph is used to issue a legal judgment without jurisdiction, procedure, evidentiary rules or human authority.</w:t>
            </w:r>
          </w:p>
        </w:tc>
      </w:tr>
    </w:tbl>
    <w:p>
      <w:pPr>
        <w:pStyle w:val="Heading2"/>
        <w:keepNext/>
        <w:widowControl/>
      </w:pPr>
      <w:r>
        <w:t>22.4. Инженерный и химический адаптеры</w:t>
      </w:r>
    </w:p>
    <w:tbl>
      <w:tblPr>
        <w:tblStyle w:val="TableGrid"/>
        <w:tblW w:type="auto" w:w="0"/>
        <w:jc w:val="center"/>
        <w:tblLook w:firstColumn="1" w:firstRow="1" w:lastColumn="0" w:lastRow="0" w:noHBand="0" w:noVBand="1" w:val="04A0"/>
      </w:tblPr>
      <w:tblGrid>
        <w:gridCol w:w="4932"/>
        <w:gridCol w:w="4932"/>
      </w:tblGrid>
      <w:tr>
        <w:trPr>
          <w:trHeight w:hRule="atLeast"/>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A_engineering:requirements→interfaces→tests→as-built evidence</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T4-F195</w:t>
              <w:br/>
              <w:t>ENGINEERING ADAPTER</w:t>
            </w:r>
          </w:p>
        </w:tc>
      </w:tr>
    </w:tbl>
    <w:tbl>
      <w:tblPr>
        <w:tblStyle w:val="TableGrid"/>
        <w:tblW w:type="auto" w:w="0"/>
        <w:jc w:val="center"/>
        <w:tblLook w:firstColumn="1" w:firstRow="1" w:lastColumn="0" w:lastRow="0" w:noHBand="0" w:noVBand="1" w:val="04A0"/>
      </w:tblPr>
      <w:tblGrid>
        <w:gridCol w:w="4932"/>
        <w:gridCol w:w="4932"/>
      </w:tblGrid>
      <w:tr>
        <w:trPr>
          <w:trHeight w:hRule="atLeast"/>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A_chem:species@state→reaction@conditions→Evidence-D</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T4-F196</w:t>
              <w:br/>
              <w:t>CHEMISTRY ADAPTER</w:t>
            </w:r>
          </w:p>
        </w:tc>
      </w:tr>
    </w:tbl>
    <w:p>
      <w:pPr>
        <w:widowControl/>
        <w:spacing w:before="0" w:after="80"/>
      </w:pPr>
      <w:r>
        <w:rPr>
          <w:b w:val="0"/>
          <w:i w:val="0"/>
        </w:rPr>
        <w:t>В инженерии финальная жёсткость получает особенно наглядную редукцию: система должна иметь однозначные интерфейсы, допуски, тесты и as-built свидетельства. Однако механическая жёсткость конструкции не равна логической полноте проекта. В химии событие и состояние неразделимы: формула реакции без температуры, среды, концентрации, фазы и способа измерения остаётся неполным C@C_chem. Оба адаптера используют общее ядро, но сохраняют разные единицы измерения и критерии проверки.</w:t>
      </w:r>
    </w:p>
    <w:p>
      <w:pPr>
        <w:pStyle w:val="Heading2"/>
        <w:keepNext/>
        <w:widowControl/>
      </w:pPr>
      <w:r>
        <w:t>22.5. Адаптер прогноза</w:t>
      </w:r>
    </w:p>
    <w:tbl>
      <w:tblPr>
        <w:tblStyle w:val="TableGrid"/>
        <w:tblW w:type="auto" w:w="0"/>
        <w:jc w:val="center"/>
        <w:tblLook w:firstColumn="1" w:firstRow="1" w:lastColumn="0" w:lastRow="0" w:noHBand="0" w:noVBand="1" w:val="04A0"/>
      </w:tblPr>
      <w:tblGrid>
        <w:gridCol w:w="4932"/>
        <w:gridCol w:w="4932"/>
      </w:tblGrid>
      <w:tr>
        <w:trPr>
          <w:trHeight w:hRule="atLeast"/>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A_forecast:certified history→candidate set∪{ABSTAIN}</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T4-F197</w:t>
              <w:br/>
              <w:t>FORECAST ADAPTER</w:t>
            </w:r>
          </w:p>
        </w:tc>
      </w:tr>
    </w:tbl>
    <w:p>
      <w:pPr>
        <w:widowControl/>
        <w:spacing w:before="0" w:after="80"/>
      </w:pPr>
      <w:r>
        <w:rPr>
          <w:b w:val="0"/>
          <w:i w:val="0"/>
        </w:rPr>
        <w:t>Прогноз не создаёт будущее событие одним вычислением. Он строит множество допустимых продолжений внутри заявленного домена и при сохранении доказательной границы. Высокая оценка кандидата не является событием и не освобождает от проверки после наступления факта.</w:t>
      </w:r>
    </w:p>
    <w:tbl>
      <w:tblPr>
        <w:tblStyle w:val="TableGrid"/>
        <w:tblW w:type="auto" w:w="0"/>
        <w:jc w:val="center"/>
        <w:tblLook w:firstColumn="1" w:firstRow="1" w:lastColumn="0" w:lastRow="0" w:noHBand="0" w:noVBand="1" w:val="04A0"/>
      </w:tblPr>
      <w:tblGrid>
        <w:gridCol w:w="9865"/>
      </w:tblGrid>
      <w:tr>
        <w:trPr>
          <w:trHeight w:hRule="atLeast"/>
        </w:trPr>
        <w:tc>
          <w:tcPr>
            <w:tcW w:type="dxa" w:w="9865"/>
            <w:shd w:fill="FBEDED" w:val="clear"/>
            <w:tcMar>
              <w:top w:w="90" w:type="dxa"/>
              <w:start w:w="100" w:type="dxa"/>
              <w:bottom w:w="90" w:type="dxa"/>
              <w:end w:w="100" w:type="dxa"/>
            </w:tcMar>
            <w:vAlign w:val="center"/>
          </w:tcPr>
          <w:p>
            <w:pPr>
              <w:widowControl/>
              <w:spacing w:line="252" w:lineRule="auto"/>
            </w:pPr>
            <w:r>
              <w:rPr>
                <w:b/>
                <w:color w:val="9B2D30"/>
                <w:sz w:val="18"/>
              </w:rPr>
              <w:t xml:space="preserve">CM-069 · forecast score as event. </w:t>
            </w:r>
            <w:r>
              <w:rPr>
                <w:sz w:val="18"/>
              </w:rPr>
              <w:t>A high forecast score is treated as an event that has already occurred.</w:t>
            </w:r>
          </w:p>
        </w:tc>
      </w:tr>
    </w:tbl>
    <w:tbl>
      <w:tblPr>
        <w:tblStyle w:val="TableGrid"/>
        <w:tblW w:type="auto" w:w="0"/>
        <w:jc w:val="center"/>
        <w:tblLook w:firstColumn="1" w:firstRow="1" w:lastColumn="0" w:lastRow="0" w:noHBand="0" w:noVBand="1" w:val="04A0"/>
      </w:tblPr>
      <w:tblGrid>
        <w:gridCol w:w="4932"/>
        <w:gridCol w:w="4932"/>
      </w:tblGrid>
      <w:tr>
        <w:trPr>
          <w:trHeight w:hRule="atLeast"/>
        </w:trPr>
        <w:tc>
          <w:tcPr>
            <w:tcW w:type="dxa" w:w="8063"/>
            <w:vAlign w:val="center"/>
            <w:tcMar>
              <w:top w:w="90" w:type="dxa"/>
              <w:start w:w="100" w:type="dxa"/>
              <w:bottom w:w="90" w:type="dxa"/>
              <w:end w:w="100" w:type="dxa"/>
            </w:tcMar>
            <w:shd w:fill="F5F7FB" w:val="clear"/>
          </w:tcPr>
          <w:p>
            <w:pPr>
              <w:widowControl/>
              <w:spacing w:before="0" w:after="0" w:line="252" w:lineRule="auto"/>
              <w:jc w:val="center"/>
            </w:pPr>
            <w:r/>
            <w:r>
              <w:rPr>
                <w:rFonts w:ascii="DejaVu Serif" w:hAnsi="DejaVu Serif" w:eastAsia="DejaVu Serif"/>
                <w:b w:val="0"/>
                <w:i w:val="0"/>
                <w:color w:val="1A2433"/>
                <w:sz w:val="18"/>
              </w:rPr>
              <w:t>EndToEndStatus=min_≼{module statuses}</w:t>
            </w:r>
          </w:p>
        </w:tc>
        <w:tc>
          <w:tcPr>
            <w:tcW w:type="dxa" w:w="1728"/>
            <w:vAlign w:val="center"/>
            <w:tcMar>
              <w:top w:w="90" w:type="dxa"/>
              <w:start w:w="100" w:type="dxa"/>
              <w:bottom w:w="90" w:type="dxa"/>
              <w:end w:w="100" w:type="dxa"/>
            </w:tcMar>
            <w:shd w:fill="EDF3F8" w:val="clear"/>
          </w:tcPr>
          <w:p>
            <w:pPr>
              <w:widowControl/>
              <w:spacing w:before="0" w:after="0" w:line="252" w:lineRule="auto"/>
              <w:jc w:val="center"/>
            </w:pPr>
            <w:r/>
            <w:r>
              <w:rPr>
                <w:rFonts w:ascii="DejaVu Sans" w:hAnsi="DejaVu Sans" w:eastAsia="DejaVu Sans"/>
                <w:b/>
                <w:i w:val="0"/>
                <w:color w:val="17345F"/>
                <w:sz w:val="15"/>
              </w:rPr>
              <w:t>T4-F199</w:t>
              <w:br/>
              <w:t>WEAKEST-LINK THEOREM</w:t>
            </w:r>
          </w:p>
        </w:tc>
      </w:tr>
    </w:tbl>
    <w:tbl>
      <w:tblPr>
        <w:tblStyle w:val="TableGrid"/>
        <w:tblW w:type="auto" w:w="0"/>
        <w:jc w:val="center"/>
        <w:tblLook w:firstColumn="1" w:firstRow="1" w:lastColumn="0" w:lastRow="0" w:noHBand="0" w:noVBand="1" w:val="04A0"/>
      </w:tblPr>
      <w:tblGrid>
        <w:gridCol w:w="9865"/>
      </w:tblGrid>
      <w:tr>
        <w:trPr>
          <w:trHeight w:hRule="atLeast"/>
        </w:trPr>
        <w:tc>
          <w:tcPr>
            <w:tcW w:type="dxa" w:w="9865"/>
            <w:shd w:fill="EAF6EC" w:val="clear"/>
            <w:tcMar>
              <w:top w:w="90" w:type="dxa"/>
              <w:start w:w="100" w:type="dxa"/>
              <w:bottom w:w="90" w:type="dxa"/>
              <w:end w:w="100" w:type="dxa"/>
            </w:tcMar>
            <w:vAlign w:val="center"/>
          </w:tcPr>
          <w:p>
            <w:pPr>
              <w:widowControl/>
              <w:spacing w:line="254" w:lineRule="auto"/>
            </w:pPr>
            <w:r>
              <w:rPr>
                <w:b/>
                <w:color w:val="2E7D4F"/>
                <w:sz w:val="18"/>
              </w:rPr>
              <w:t xml:space="preserve">ТЕОРЕМА T4.22.2 — Слабейшее обязательное звено. </w:t>
            </w:r>
            <w:r>
              <w:rPr>
                <w:b/>
                <w:color w:val="9B2D30"/>
                <w:sz w:val="17"/>
              </w:rPr>
              <w:t xml:space="preserve">[THM-FORMAL] </w:t>
            </w:r>
            <w:r>
              <w:rPr>
                <w:sz w:val="18"/>
              </w:rPr>
              <w:t>В end-to-end маршруте, где каждый обязательный модуль передаёт нескалярный статус и blocker veto, итоговый статус не превосходит слабейшего обязательного звена.</w:t>
            </w:r>
            <w:r>
              <w:br/>
            </w:r>
            <w:r>
              <w:rPr>
                <w:b/>
                <w:sz w:val="18"/>
              </w:rPr>
              <w:t xml:space="preserve">Доказательство. </w:t>
            </w:r>
            <w:r>
              <w:rPr>
                <w:sz w:val="18"/>
              </w:rPr>
              <w:t>Индукция по длине композиции: базовый модуль монотонен; добавление следующего монотонного модуля не может повысить компонент, а blocker сохраняется. □</w:t>
            </w:r>
          </w:p>
        </w:tc>
      </w:tr>
    </w:tbl>
    <w:p>
      <w:pPr>
        <w:widowControl/>
        <w:jc w:val="center"/>
      </w:pPr>
      <w:r>
        <w:drawing>
          <wp:inline xmlns:a="http://schemas.openxmlformats.org/drawingml/2006/main" xmlns:pic="http://schemas.openxmlformats.org/drawingml/2006/picture">
            <wp:extent cx="5943600" cy="2814766"/>
            <wp:docPr id="25" name="Picture 25" descr="Схема показывает ядро KLT и адаптеры научной статьи, судебного документа, инженерии, химии и прогноза; каждый возвращает статус не сильнее входного." title="Рисунок 22. Пять предметных адаптеров KLT-RBD и общий status-preserving output."/>
            <wp:cNvGraphicFramePr>
              <a:graphicFrameLocks noChangeAspect="1"/>
            </wp:cNvGraphicFramePr>
            <a:graphic>
              <a:graphicData uri="http://schemas.openxmlformats.org/drawingml/2006/picture">
                <pic:pic>
                  <pic:nvPicPr>
                    <pic:cNvPr id="0" name="fig22_domain_adapters.png"/>
                    <pic:cNvPicPr/>
                  </pic:nvPicPr>
                  <pic:blipFill>
                    <a:blip r:embed="rId39"/>
                    <a:stretch>
                      <a:fillRect/>
                    </a:stretch>
                  </pic:blipFill>
                  <pic:spPr>
                    <a:xfrm>
                      <a:off x="0" y="0"/>
                      <a:ext cx="5943600" cy="2814766"/>
                    </a:xfrm>
                    <a:prstGeom prst="rect"/>
                  </pic:spPr>
                </pic:pic>
              </a:graphicData>
            </a:graphic>
          </wp:inline>
        </w:drawing>
      </w:r>
    </w:p>
    <w:p>
      <w:pPr>
        <w:pStyle w:val="Caption"/>
        <w:keepLines/>
        <w:widowControl/>
        <w:jc w:val="center"/>
      </w:pPr>
      <w:r>
        <w:rPr>
          <w:b/>
          <w:color w:val="4A76B8"/>
          <w:sz w:val="18"/>
        </w:rPr>
        <w:t>Рисунок 22. Пять предметных адаптеров KLT-RBD и общий status-preserving output.</w:t>
      </w:r>
    </w:p>
    <w:p>
      <w:pPr>
        <w:pStyle w:val="Heading2"/>
        <w:keepNext/>
        <w:widowControl/>
      </w:pPr>
      <w:r>
        <w:t>22.6. Философская граница междисциплинарности</w:t>
      </w:r>
    </w:p>
    <w:p>
      <w:pPr>
        <w:widowControl/>
        <w:spacing w:before="0" w:after="80"/>
      </w:pPr>
      <w:r>
        <w:rPr>
          <w:b w:val="0"/>
          <w:i w:val="0"/>
        </w:rPr>
        <w:t>Единство наук не означает существование одного словаря, в котором исчезают различия между доказательством, измерением, нормой и поступком. Два ядра KLT-RBD дают более слабое и более ответственное единство. Во всех областях нечто должно возникнуть из допустимого процесса и остаться инвариантным относительно разрешённых преобразований. Всё остальное - носители, проверки, ответственность и тип результата - остаётся предметным.</w:t>
      </w:r>
    </w:p>
    <w:tbl>
      <w:tblPr>
        <w:tblStyle w:val="TableGrid"/>
        <w:tblW w:type="auto" w:w="0"/>
        <w:jc w:val="center"/>
        <w:tblLook w:firstColumn="1" w:firstRow="1" w:lastColumn="0" w:lastRow="0" w:noHBand="0" w:noVBand="1" w:val="04A0"/>
      </w:tblPr>
      <w:tblGrid>
        <w:gridCol w:w="9865"/>
      </w:tblGrid>
      <w:tr>
        <w:trPr>
          <w:trHeight w:hRule="atLeast"/>
        </w:trPr>
        <w:tc>
          <w:tcPr>
            <w:tcW w:type="dxa" w:w="9865"/>
            <w:shd w:fill="EAF0F7" w:val="clear"/>
            <w:tcMar>
              <w:top w:w="90" w:type="dxa"/>
              <w:start w:w="100" w:type="dxa"/>
              <w:bottom w:w="90" w:type="dxa"/>
              <w:end w:w="100" w:type="dxa"/>
            </w:tcMar>
            <w:vAlign w:val="center"/>
          </w:tcPr>
          <w:p>
            <w:pPr>
              <w:widowControl/>
              <w:spacing w:line="254" w:lineRule="auto"/>
            </w:pPr>
            <w:r>
              <w:rPr>
                <w:b/>
                <w:color w:val="17345F"/>
                <w:sz w:val="18"/>
              </w:rPr>
              <w:t xml:space="preserve">РЕЗУЛЬТАТ ГЛАВЫ 22. </w:t>
            </w:r>
            <w:r>
              <w:rPr>
                <w:sz w:val="18"/>
              </w:rPr>
              <w:t>Определён общий source-bound adapter, доказаны неповышение статуса и weakest-link theorem, построены пять предметных схем. Междисциплинарность получила форму типизированного перевода, а не смешения дисциплин. Следующая стадия должна завершить главы 23-24: философию естествознания KLT и end-to-end publication gate.</w:t>
            </w:r>
          </w:p>
        </w:tc>
      </w:tr>
    </w:tbl>
    <w:p>
      <w:r>
        <w:br w:type="page"/>
      </w:r>
    </w:p>
    <w:p>
      <w:pPr>
        <w:pStyle w:val="Heading1"/>
      </w:pPr>
      <w:r>
        <w:t>ЧАСТЬ VII. ФИЛОСОФИЯ ЕСТЕСТВОЗНАНИЯ, ОТВЕТСТВЕННОСТЬ И ПРЕДЕЛЫ ФОРМАЛИЗАЦИИ</w:t>
      </w:r>
    </w:p>
    <w:p>
      <w:pPr>
        <w:pStyle w:val="Heading1"/>
      </w:pPr>
      <w:r>
        <w:t>Глава 23. Философия естествознания KLT: наблюдение, модель, объяснение и границы редукции</w:t>
      </w:r>
    </w:p>
    <w:tbl>
      <w:tblPr>
        <w:tblStyle w:val="TableGrid"/>
        <w:tblW w:type="auto" w:w="0"/>
        <w:jc w:val="center"/>
        <w:tblLayout w:type="fixed"/>
        <w:tblLook w:firstColumn="1" w:firstRow="1" w:lastColumn="0" w:lastRow="0" w:noHBand="0" w:noVBand="1" w:val="04A0"/>
      </w:tblPr>
      <w:tblGrid>
        <w:gridCol w:w="9865"/>
      </w:tblGrid>
      <w:tr>
        <w:tc>
          <w:tcPr>
            <w:tcW w:type="dxa" w:w="9720"/>
            <w:tcMar>
              <w:top w:w="90" w:type="dxa"/>
              <w:start w:w="100" w:type="dxa"/>
              <w:bottom w:w="90" w:type="dxa"/>
              <w:end w:w="100" w:type="dxa"/>
            </w:tcMar>
            <w:shd w:fill="EDF6F0"/>
            <w:vAlign w:val="center"/>
          </w:tcPr>
          <w:p>
            <w:r>
              <w:rPr>
                <w:rFonts w:ascii="DejaVu Serif" w:hAnsi="DejaVu Serif" w:eastAsia="DejaVu Serif"/>
                <w:b/>
                <w:color w:val="1F416A"/>
                <w:sz w:val="20"/>
              </w:rPr>
              <w:t>ФИЛОСОФСКИЙ ПРОЛОГ ГЛАВЫ 23.</w:t>
            </w:r>
            <w:r>
              <w:rPr>
                <w:rFonts w:ascii="DejaVu Serif" w:hAnsi="DejaVu Serif" w:eastAsia="DejaVu Serif"/>
                <w:sz w:val="20"/>
              </w:rPr>
              <w:t xml:space="preserve"> Наука не есть зеркало, автоматически отражающее готовый мир, и не есть свободное сочинение субъекта. Она является исторически организованным отношением между сопротивляющимся миром, телесным наблюдателем, прибором, записью, моделью, публичной проверкой и ответственным действием.</w:t>
            </w:r>
          </w:p>
        </w:tc>
      </w:tr>
    </w:tbl>
    <w:p>
      <w:pPr>
        <w:pStyle w:val="Heading2"/>
      </w:pPr>
      <w:r>
        <w:t>23.1. Пять несовпадающих слоёв научного объекта</w:t>
      </w:r>
    </w:p>
    <w:p>
      <w:r>
        <w:rPr>
          <w:rFonts w:ascii="DejaVu Serif" w:hAnsi="DejaVu Serif" w:eastAsia="DejaVu Serif"/>
          <w:sz w:val="21"/>
        </w:rPr>
        <w:t>Научное рассуждение становится прозрачным, когда перестаёт называть одним словом «объект» пять различных образований. Мир содержит событие независимо от того, замечено ли оно. Явление есть событие в горизонте наблюдения. Запись есть результат кодирования явления прибором и протоколом. Модель есть система допустимых преобразований записей. Публикуемый тезис есть языковое утверждение с доказательным паспортом. Потеря различий между этими слоями порождает основные формы научной инфляции: запись принимается за мир, модель - за факт, а удачное предсказание - за исчерпывающее объяснение.</w:t>
      </w:r>
    </w:p>
    <w:tbl>
      <w:tblPr>
        <w:tblStyle w:val="TableGrid"/>
        <w:tblW w:type="auto" w:w="0"/>
        <w:jc w:val="center"/>
        <w:tblLayout w:type="fixed"/>
        <w:tblLook w:firstColumn="1" w:firstRow="1" w:lastColumn="0" w:lastRow="0" w:noHBand="0" w:noVBand="1" w:val="04A0"/>
      </w:tblPr>
      <w:tblGrid>
        <w:gridCol w:w="4932"/>
        <w:gridCol w:w="4932"/>
      </w:tblGrid>
      <w:t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SciObj_KLT = (W, A, R, M, Q; D, Dom, Prov, σ)</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T4-F210</w:t>
              <w:br/>
              <w:t>DEF</w:t>
            </w:r>
          </w:p>
        </w:tc>
      </w:tr>
    </w:tbl>
    <w:tbl>
      <w:tblPr>
        <w:tblStyle w:val="TableGrid"/>
        <w:tblW w:type="auto" w:w="0"/>
        <w:jc w:val="center"/>
        <w:tblLayout w:type="fixed"/>
        <w:tblLook w:firstColumn="1" w:firstRow="1" w:lastColumn="0" w:lastRow="0" w:noHBand="0" w:noVBand="1" w:val="04A0"/>
      </w:tblPr>
      <w:tblGrid>
        <w:gridCol w:w="4932"/>
        <w:gridCol w:w="4932"/>
      </w:tblGrid>
      <w:t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W ≠ A ≠ R ≠ M ≠ Q</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T4-F211</w:t>
              <w:br/>
              <w:t>TYPE FIREWALL</w:t>
            </w:r>
          </w:p>
        </w:tc>
      </w:tr>
    </w:tbl>
    <w:tbl>
      <w:tblPr>
        <w:tblStyle w:val="TableGrid"/>
        <w:tblW w:type="auto" w:w="0"/>
        <w:jc w:val="center"/>
        <w:tblLayout w:type="fixed"/>
        <w:tblLook w:firstColumn="1" w:firstRow="1" w:lastColumn="0" w:lastRow="0" w:noHBand="0" w:noVBand="1" w:val="04A0"/>
      </w:tblPr>
      <w:tblGrid>
        <w:gridCol w:w="3288"/>
        <w:gridCol w:w="3288"/>
        <w:gridCol w:w="3288"/>
      </w:tblGrid>
      <w:tr>
        <w:trPr>
          <w:tblHeader w:val="true"/>
        </w:trPr>
        <w:tc>
          <w:tcPr>
            <w:tcW w:type="dxa" w:w="1800"/>
            <w:tcMar>
              <w:top w:w="90" w:type="dxa"/>
              <w:start w:w="100" w:type="dxa"/>
              <w:bottom w:w="90" w:type="dxa"/>
              <w:end w:w="100" w:type="dxa"/>
            </w:tcMar>
            <w:vAlign w:val="center"/>
            <w:shd w:fill="1F416A"/>
          </w:tcPr>
          <w:p>
            <w:pPr>
              <w:jc w:val="center"/>
            </w:pPr>
            <w:r>
              <w:rPr>
                <w:rFonts w:ascii="DejaVu Serif" w:hAnsi="DejaVu Serif" w:eastAsia="DejaVu Serif"/>
                <w:b/>
                <w:color w:val="FFFFFF"/>
                <w:sz w:val="16"/>
              </w:rPr>
              <w:t>Слой</w:t>
            </w:r>
          </w:p>
        </w:tc>
        <w:tc>
          <w:tcPr>
            <w:tcW w:type="dxa" w:w="4320"/>
            <w:tcMar>
              <w:top w:w="90" w:type="dxa"/>
              <w:start w:w="100" w:type="dxa"/>
              <w:bottom w:w="90" w:type="dxa"/>
              <w:end w:w="100" w:type="dxa"/>
            </w:tcMar>
            <w:vAlign w:val="center"/>
            <w:shd w:fill="1F416A"/>
          </w:tcPr>
          <w:p>
            <w:pPr>
              <w:jc w:val="center"/>
            </w:pPr>
            <w:r>
              <w:rPr>
                <w:rFonts w:ascii="DejaVu Serif" w:hAnsi="DejaVu Serif" w:eastAsia="DejaVu Serif"/>
                <w:b/>
                <w:color w:val="FFFFFF"/>
                <w:sz w:val="16"/>
              </w:rPr>
              <w:t>Что фиксирует</w:t>
            </w:r>
          </w:p>
        </w:tc>
        <w:tc>
          <w:tcPr>
            <w:tcW w:type="dxa" w:w="3744"/>
            <w:tcMar>
              <w:top w:w="90" w:type="dxa"/>
              <w:start w:w="100" w:type="dxa"/>
              <w:bottom w:w="90" w:type="dxa"/>
              <w:end w:w="100" w:type="dxa"/>
            </w:tcMar>
            <w:vAlign w:val="center"/>
            <w:shd w:fill="1F416A"/>
          </w:tcPr>
          <w:p>
            <w:pPr>
              <w:jc w:val="center"/>
            </w:pPr>
            <w:r>
              <w:rPr>
                <w:rFonts w:ascii="DejaVu Serif" w:hAnsi="DejaVu Serif" w:eastAsia="DejaVu Serif"/>
                <w:b/>
                <w:color w:val="FFFFFF"/>
                <w:sz w:val="16"/>
              </w:rPr>
              <w:t>Главная ошибка смешения</w:t>
            </w:r>
          </w:p>
        </w:tc>
      </w:tr>
      <w:t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6"/>
              </w:rPr>
              <w:t>W: world-event</w:t>
            </w:r>
          </w:p>
        </w:tc>
        <w:tc>
          <w:tcPr>
            <w:tcW w:type="dxa" w:w="4320"/>
            <w:tcMar>
              <w:top w:w="90" w:type="dxa"/>
              <w:start w:w="100" w:type="dxa"/>
              <w:bottom w:w="90" w:type="dxa"/>
              <w:end w:w="100" w:type="dxa"/>
            </w:tcMar>
            <w:vAlign w:val="center"/>
            <w:shd w:fill="F4F6F9"/>
          </w:tcPr>
          <w:p>
            <w:pPr>
              <w:jc w:val="left"/>
            </w:pPr>
            <w:r>
              <w:rPr>
                <w:rFonts w:ascii="DejaVu Serif" w:hAnsi="DejaVu Serif" w:eastAsia="DejaVu Serif"/>
                <w:b w:val="0"/>
                <w:sz w:val="16"/>
              </w:rPr>
              <w:t>Событие@состояние мира.</w:t>
            </w:r>
          </w:p>
        </w:tc>
        <w:tc>
          <w:tcPr>
            <w:tcW w:type="dxa" w:w="3744"/>
            <w:tcMar>
              <w:top w:w="90" w:type="dxa"/>
              <w:start w:w="100" w:type="dxa"/>
              <w:bottom w:w="90" w:type="dxa"/>
              <w:end w:w="100" w:type="dxa"/>
            </w:tcMar>
            <w:vAlign w:val="center"/>
            <w:shd w:fill="F4F6F9"/>
          </w:tcPr>
          <w:p>
            <w:pPr>
              <w:jc w:val="left"/>
            </w:pPr>
            <w:r>
              <w:rPr>
                <w:rFonts w:ascii="DejaVu Serif" w:hAnsi="DejaVu Serif" w:eastAsia="DejaVu Serif"/>
                <w:b w:val="0"/>
                <w:sz w:val="16"/>
              </w:rPr>
              <w:t>Считать его полностью данным одной записи.</w:t>
            </w:r>
          </w:p>
        </w:tc>
      </w:tr>
      <w:tr>
        <w:tc>
          <w:tcPr>
            <w:tcW w:type="dxa" w:w="1800"/>
            <w:tcMar>
              <w:top w:w="90" w:type="dxa"/>
              <w:start w:w="100" w:type="dxa"/>
              <w:bottom w:w="90" w:type="dxa"/>
              <w:end w:w="100" w:type="dxa"/>
            </w:tcMar>
            <w:vAlign w:val="center"/>
          </w:tcPr>
          <w:p>
            <w:pPr>
              <w:jc w:val="center"/>
            </w:pPr>
            <w:r>
              <w:rPr>
                <w:rFonts w:ascii="DejaVu Serif" w:hAnsi="DejaVu Serif" w:eastAsia="DejaVu Serif"/>
                <w:b w:val="0"/>
                <w:sz w:val="16"/>
              </w:rPr>
              <w:t>A: appearance</w:t>
            </w:r>
          </w:p>
        </w:tc>
        <w:tc>
          <w:tcPr>
            <w:tcW w:type="dxa" w:w="4320"/>
            <w:tcMar>
              <w:top w:w="90" w:type="dxa"/>
              <w:start w:w="100" w:type="dxa"/>
              <w:bottom w:w="90" w:type="dxa"/>
              <w:end w:w="100" w:type="dxa"/>
            </w:tcMar>
            <w:vAlign w:val="center"/>
          </w:tcPr>
          <w:p>
            <w:pPr>
              <w:jc w:val="left"/>
            </w:pPr>
            <w:r>
              <w:rPr>
                <w:rFonts w:ascii="DejaVu Serif" w:hAnsi="DejaVu Serif" w:eastAsia="DejaVu Serif"/>
                <w:b w:val="0"/>
                <w:sz w:val="16"/>
              </w:rPr>
              <w:t>Явление в телесном и приборном горизонте.</w:t>
            </w:r>
          </w:p>
        </w:tc>
        <w:tc>
          <w:tcPr>
            <w:tcW w:type="dxa" w:w="3744"/>
            <w:tcMar>
              <w:top w:w="90" w:type="dxa"/>
              <w:start w:w="100" w:type="dxa"/>
              <w:bottom w:w="90" w:type="dxa"/>
              <w:end w:w="100" w:type="dxa"/>
            </w:tcMar>
            <w:vAlign w:val="center"/>
          </w:tcPr>
          <w:p>
            <w:pPr>
              <w:jc w:val="left"/>
            </w:pPr>
            <w:r>
              <w:rPr>
                <w:rFonts w:ascii="DejaVu Serif" w:hAnsi="DejaVu Serif" w:eastAsia="DejaVu Serif"/>
                <w:b w:val="0"/>
                <w:sz w:val="16"/>
              </w:rPr>
              <w:t>Принимать условия наблюдения за свойства вещи без проверки.</w:t>
            </w:r>
          </w:p>
        </w:tc>
      </w:tr>
      <w:t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6"/>
              </w:rPr>
              <w:t>R: record</w:t>
            </w:r>
          </w:p>
        </w:tc>
        <w:tc>
          <w:tcPr>
            <w:tcW w:type="dxa" w:w="4320"/>
            <w:tcMar>
              <w:top w:w="90" w:type="dxa"/>
              <w:start w:w="100" w:type="dxa"/>
              <w:bottom w:w="90" w:type="dxa"/>
              <w:end w:w="100" w:type="dxa"/>
            </w:tcMar>
            <w:vAlign w:val="center"/>
            <w:shd w:fill="F4F6F9"/>
          </w:tcPr>
          <w:p>
            <w:pPr>
              <w:jc w:val="left"/>
            </w:pPr>
            <w:r>
              <w:rPr>
                <w:rFonts w:ascii="DejaVu Serif" w:hAnsi="DejaVu Serif" w:eastAsia="DejaVu Serif"/>
                <w:b w:val="0"/>
                <w:sz w:val="16"/>
              </w:rPr>
              <w:t>Данные, единицы, время, прибор, provenance.</w:t>
            </w:r>
          </w:p>
        </w:tc>
        <w:tc>
          <w:tcPr>
            <w:tcW w:type="dxa" w:w="3744"/>
            <w:tcMar>
              <w:top w:w="90" w:type="dxa"/>
              <w:start w:w="100" w:type="dxa"/>
              <w:bottom w:w="90" w:type="dxa"/>
              <w:end w:w="100" w:type="dxa"/>
            </w:tcMar>
            <w:vAlign w:val="center"/>
            <w:shd w:fill="F4F6F9"/>
          </w:tcPr>
          <w:p>
            <w:pPr>
              <w:jc w:val="left"/>
            </w:pPr>
            <w:r>
              <w:rPr>
                <w:rFonts w:ascii="DejaVu Serif" w:hAnsi="DejaVu Serif" w:eastAsia="DejaVu Serif"/>
                <w:b w:val="0"/>
                <w:sz w:val="16"/>
              </w:rPr>
              <w:t>Считать запись самодостаточным фактом.</w:t>
            </w:r>
          </w:p>
        </w:tc>
      </w:tr>
      <w:tr>
        <w:tc>
          <w:tcPr>
            <w:tcW w:type="dxa" w:w="1800"/>
            <w:tcMar>
              <w:top w:w="90" w:type="dxa"/>
              <w:start w:w="100" w:type="dxa"/>
              <w:bottom w:w="90" w:type="dxa"/>
              <w:end w:w="100" w:type="dxa"/>
            </w:tcMar>
            <w:vAlign w:val="center"/>
          </w:tcPr>
          <w:p>
            <w:pPr>
              <w:jc w:val="center"/>
            </w:pPr>
            <w:r>
              <w:rPr>
                <w:rFonts w:ascii="DejaVu Serif" w:hAnsi="DejaVu Serif" w:eastAsia="DejaVu Serif"/>
                <w:b w:val="0"/>
                <w:sz w:val="16"/>
              </w:rPr>
              <w:t>M: model</w:t>
            </w:r>
          </w:p>
        </w:tc>
        <w:tc>
          <w:tcPr>
            <w:tcW w:type="dxa" w:w="4320"/>
            <w:tcMar>
              <w:top w:w="90" w:type="dxa"/>
              <w:start w:w="100" w:type="dxa"/>
              <w:bottom w:w="90" w:type="dxa"/>
              <w:end w:w="100" w:type="dxa"/>
            </w:tcMar>
            <w:vAlign w:val="center"/>
          </w:tcPr>
          <w:p>
            <w:pPr>
              <w:jc w:val="left"/>
            </w:pPr>
            <w:r>
              <w:rPr>
                <w:rFonts w:ascii="DejaVu Serif" w:hAnsi="DejaVu Serif" w:eastAsia="DejaVu Serif"/>
                <w:b w:val="0"/>
                <w:sz w:val="16"/>
              </w:rPr>
              <w:t>Инварианты, зависимости, альтернативы, прогнозы.</w:t>
            </w:r>
          </w:p>
        </w:tc>
        <w:tc>
          <w:tcPr>
            <w:tcW w:type="dxa" w:w="3744"/>
            <w:tcMar>
              <w:top w:w="90" w:type="dxa"/>
              <w:start w:w="100" w:type="dxa"/>
              <w:bottom w:w="90" w:type="dxa"/>
              <w:end w:w="100" w:type="dxa"/>
            </w:tcMar>
            <w:vAlign w:val="center"/>
          </w:tcPr>
          <w:p>
            <w:pPr>
              <w:jc w:val="left"/>
            </w:pPr>
            <w:r>
              <w:rPr>
                <w:rFonts w:ascii="DejaVu Serif" w:hAnsi="DejaVu Serif" w:eastAsia="DejaVu Serif"/>
                <w:b w:val="0"/>
                <w:sz w:val="16"/>
              </w:rPr>
              <w:t>Объявлять модель самой реальностью.</w:t>
            </w:r>
          </w:p>
        </w:tc>
      </w:tr>
      <w:t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6"/>
              </w:rPr>
              <w:t>Q: claim</w:t>
            </w:r>
          </w:p>
        </w:tc>
        <w:tc>
          <w:tcPr>
            <w:tcW w:type="dxa" w:w="4320"/>
            <w:tcMar>
              <w:top w:w="90" w:type="dxa"/>
              <w:start w:w="100" w:type="dxa"/>
              <w:bottom w:w="90" w:type="dxa"/>
              <w:end w:w="100" w:type="dxa"/>
            </w:tcMar>
            <w:vAlign w:val="center"/>
            <w:shd w:fill="F4F6F9"/>
          </w:tcPr>
          <w:p>
            <w:pPr>
              <w:jc w:val="left"/>
            </w:pPr>
            <w:r>
              <w:rPr>
                <w:rFonts w:ascii="DejaVu Serif" w:hAnsi="DejaVu Serif" w:eastAsia="DejaVu Serif"/>
                <w:b w:val="0"/>
                <w:sz w:val="16"/>
              </w:rPr>
              <w:t>Определённый тезис с Dom, D и статусом.</w:t>
            </w:r>
          </w:p>
        </w:tc>
        <w:tc>
          <w:tcPr>
            <w:tcW w:type="dxa" w:w="3744"/>
            <w:tcMar>
              <w:top w:w="90" w:type="dxa"/>
              <w:start w:w="100" w:type="dxa"/>
              <w:bottom w:w="90" w:type="dxa"/>
              <w:end w:w="100" w:type="dxa"/>
            </w:tcMar>
            <w:vAlign w:val="center"/>
            <w:shd w:fill="F4F6F9"/>
          </w:tcPr>
          <w:p>
            <w:pPr>
              <w:jc w:val="left"/>
            </w:pPr>
            <w:r>
              <w:rPr>
                <w:rFonts w:ascii="DejaVu Serif" w:hAnsi="DejaVu Serif" w:eastAsia="DejaVu Serif"/>
                <w:b w:val="0"/>
                <w:sz w:val="16"/>
              </w:rPr>
              <w:t>Повышать статус в заголовке или выводе.</w:t>
            </w:r>
          </w:p>
        </w:tc>
      </w:tr>
    </w:tbl>
    <w:p>
      <w:pPr>
        <w:pStyle w:val="Heading2"/>
      </w:pPr>
      <w:r>
        <w:t>23.2. Наблюдатель и прибор как типизированный интерфейс</w:t>
      </w:r>
    </w:p>
    <w:p>
      <w:r>
        <w:rPr>
          <w:rFonts w:ascii="DejaVu Serif" w:hAnsi="DejaVu Serif" w:eastAsia="DejaVu Serif"/>
          <w:sz w:val="21"/>
        </w:rPr>
        <w:t>Включение наблюдателя в схему не означает субъективизма. Напротив, оно делает проверяемыми те условия, которые наивная картина скрывает: положение тела, диапазон прибора, калибровку, протокол отбора, временное окно, порог регистрации и язык описания. Объективность в этой архитектуре означает не отсутствие наблюдателя, а инвариантность результата относительно объявленного класса допустимых замен наблюдателя, прибора и процедуры.</w:t>
      </w:r>
    </w:p>
    <w:tbl>
      <w:tblPr>
        <w:tblStyle w:val="TableGrid"/>
        <w:tblW w:type="auto" w:w="0"/>
        <w:jc w:val="center"/>
        <w:tblLayout w:type="fixed"/>
        <w:tblLook w:firstColumn="1" w:firstRow="1" w:lastColumn="0" w:lastRow="0" w:noHBand="0" w:noVBand="1" w:val="04A0"/>
      </w:tblPr>
      <w:tblGrid>
        <w:gridCol w:w="4932"/>
        <w:gridCol w:w="4932"/>
      </w:tblGrid>
      <w:t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Obs_{ω,a,p} : C@C_world ⇀ C@C_record</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T4-F212</w:t>
              <w:br/>
              <w:t>PARTIAL MAP</w:t>
            </w:r>
          </w:p>
        </w:tc>
      </w:tr>
    </w:tbl>
    <w:p>
      <w:r>
        <w:rPr>
          <w:rFonts w:ascii="DejaVu Serif" w:hAnsi="DejaVu Serif" w:eastAsia="DejaVu Serif"/>
          <w:sz w:val="21"/>
        </w:rPr>
        <w:t>Если замена прибора или протокола выводит результат за пределы заявленной неопределённости, инвариантность не установлена. Если классы допустимых замен не перечислены, слово «объективно» остаётся риторическим, а не математическим свойством.</w:t>
      </w:r>
    </w:p>
    <w:p>
      <w:pPr>
        <w:pStyle w:val="Heading2"/>
      </w:pPr>
      <w:r>
        <w:t>23.3. Научный факт как proof-carrying событие@состояние</w:t>
      </w:r>
    </w:p>
    <w:p>
      <w:r>
        <w:rPr>
          <w:rFonts w:ascii="DejaVu Serif" w:hAnsi="DejaVu Serif" w:eastAsia="DejaVu Serif"/>
          <w:sz w:val="21"/>
        </w:rPr>
        <w:t>Факт естествознания не тождествен отдельному числу. Он включает способ получения, единицу измерения, оценку неопределённости, калибровку, время, условия исключения и источник. Даже теоретический факт - например, значение инварианта в модели - должен иметь адрес формулы, гипотезы и доказательства. Поэтому факт в KLT-RBD есть не атом без истории, а минимальный proof-carrying пакет.</w:t>
      </w:r>
    </w:p>
    <w:tbl>
      <w:tblPr>
        <w:tblStyle w:val="TableGrid"/>
        <w:tblW w:type="auto" w:w="0"/>
        <w:jc w:val="center"/>
        <w:tblLayout w:type="fixed"/>
        <w:tblLook w:firstColumn="1" w:firstRow="1" w:lastColumn="0" w:lastRow="0" w:noHBand="0" w:noVBand="1" w:val="04A0"/>
      </w:tblPr>
      <w:tblGrid>
        <w:gridCol w:w="4932"/>
        <w:gridCol w:w="4932"/>
      </w:tblGrid>
      <w:t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Fact_sci = (e,s,value,unit,uncertainty,calibration,protocol,time,Prov,D,Dom,σ)</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T4-F213</w:t>
              <w:br/>
              <w:t>DEF</w:t>
            </w:r>
          </w:p>
        </w:tc>
      </w:tr>
    </w:tbl>
    <w:tbl>
      <w:tblPr>
        <w:tblStyle w:val="TableGrid"/>
        <w:tblW w:type="auto" w:w="0"/>
        <w:jc w:val="center"/>
        <w:tblLayout w:type="fixed"/>
        <w:tblLook w:firstColumn="1" w:firstRow="1" w:lastColumn="0" w:lastRow="0" w:noHBand="0" w:noVBand="1" w:val="04A0"/>
      </w:tblPr>
      <w:tblGrid>
        <w:gridCol w:w="9865"/>
      </w:tblGrid>
      <w:tr>
        <w:tc>
          <w:tcPr>
            <w:tcW w:type="dxa" w:w="9720"/>
            <w:tcMar>
              <w:top w:w="90" w:type="dxa"/>
              <w:start w:w="100" w:type="dxa"/>
              <w:bottom w:w="90" w:type="dxa"/>
              <w:end w:w="100" w:type="dxa"/>
            </w:tcMar>
            <w:shd w:fill="F6F7F9"/>
            <w:vAlign w:val="center"/>
          </w:tcPr>
          <w:p>
            <w:r>
              <w:rPr>
                <w:rFonts w:ascii="DejaVu Serif" w:hAnsi="DejaVu Serif" w:eastAsia="DejaVu Serif"/>
                <w:b/>
                <w:color w:val="1F416A"/>
                <w:sz w:val="20"/>
              </w:rPr>
              <w:t>ОТРИЦАТЕЛЬНОЕ ПРАВИЛО.</w:t>
            </w:r>
            <w:r>
              <w:rPr>
                <w:rFonts w:ascii="DejaVu Serif" w:hAnsi="DejaVu Serif" w:eastAsia="DejaVu Serif"/>
                <w:sz w:val="20"/>
              </w:rPr>
              <w:t xml:space="preserve"> Raw data не являются «чистой природой». Они уже являются результатом различения, прибора, дискретизации, калибровки и решения о том, что считать сигналом. Это не обесценивает данные; это делает их проверяемыми.</w:t>
            </w:r>
          </w:p>
        </w:tc>
      </w:tr>
    </w:tbl>
    <w:p>
      <w:pPr>
        <w:pStyle w:val="Heading2"/>
      </w:pPr>
      <w:r>
        <w:t>23.4. Модель, объяснение и их несовпадение</w:t>
      </w:r>
    </w:p>
    <w:p>
      <w:r>
        <w:rPr>
          <w:rFonts w:ascii="DejaVu Serif" w:hAnsi="DejaVu Serif" w:eastAsia="DejaVu Serif"/>
          <w:sz w:val="21"/>
        </w:rPr>
        <w:t>Модель преобразует записи в пространство допустимых кандидатов. Она может хорошо предсказывать и всё же не раскрывать механизм; может давать механизм, но плохо переноситься в новый домен; может быть интерпретируемой, но статистически слабой. Поэтому объяснение не сворачивается в единственную метрику соответствия данным.</w:t>
      </w:r>
    </w:p>
    <w:tbl>
      <w:tblPr>
        <w:tblStyle w:val="TableGrid"/>
        <w:tblW w:type="auto" w:w="0"/>
        <w:jc w:val="center"/>
        <w:tblLayout w:type="fixed"/>
        <w:tblLook w:firstColumn="1" w:firstRow="1" w:lastColumn="0" w:lastRow="0" w:noHBand="0" w:noVBand="1" w:val="04A0"/>
      </w:tblPr>
      <w:tblGrid>
        <w:gridCol w:w="4932"/>
        <w:gridCol w:w="4932"/>
      </w:tblGrid>
      <w:t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Model : Records ⇀ ℘(Candidates × Predictions × Certificates)</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T4-F214</w:t>
              <w:br/>
              <w:t>DEF</w:t>
            </w:r>
          </w:p>
        </w:tc>
      </w:tr>
    </w:tbl>
    <w:tbl>
      <w:tblPr>
        <w:tblStyle w:val="TableGrid"/>
        <w:tblW w:type="auto" w:w="0"/>
        <w:jc w:val="center"/>
        <w:tblLayout w:type="fixed"/>
        <w:tblLook w:firstColumn="1" w:firstRow="1" w:lastColumn="0" w:lastRow="0" w:noHBand="0" w:noVBand="1" w:val="04A0"/>
      </w:tblPr>
      <w:tblGrid>
        <w:gridCol w:w="4932"/>
        <w:gridCol w:w="4932"/>
      </w:tblGrid>
      <w:t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Expl = (fit, mechanism, invariance, counterfactual, transport, simplicity, D, σ)</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T4-F215</w:t>
              <w:br/>
              <w:t>VECTOR</w:t>
            </w:r>
          </w:p>
        </w:tc>
      </w:tr>
    </w:tbl>
    <w:p>
      <w:r>
        <w:rPr>
          <w:rFonts w:ascii="DejaVu Serif" w:hAnsi="DejaVu Serif" w:eastAsia="DejaVu Serif"/>
          <w:sz w:val="21"/>
        </w:rPr>
        <w:t>Две модели способны совпадать на конечном наборе наблюдений и расходиться вне него. Следовательно, высокий fit сам по себе не обеспечивает единственного объяснения. Дополнительное основание может включать экспериментальное вмешательство, независимый набор данных, устойчивость параметров, механизм и переносимость. Это положение является не антинаучным скептицизмом, а условием различения модели и мира.</w:t>
      </w:r>
    </w:p>
    <w:p>
      <w:pPr>
        <w:pStyle w:val="Heading2"/>
      </w:pPr>
      <w:r>
        <w:t>23.5. Эксперимент как антропологически организованное действие</w:t>
      </w:r>
    </w:p>
    <w:p>
      <w:r>
        <w:rPr>
          <w:rFonts w:ascii="DejaVu Serif" w:hAnsi="DejaVu Serif" w:eastAsia="DejaVu Serif"/>
          <w:sz w:val="21"/>
        </w:rPr>
        <w:t>Эксперимент отличается от пассивного созерцания тем, что создаёт контролируемое начало действия. Исследователь выбирает вмешательство, прибор и протокол; система изменяется; оператор Разворота переводит результат в новое состояние, которое записывается и сравнивается с контрфактической альтернативой. Тем самым свобода начинания входит в естествознание не как нарушение причинности, а как условие обнаружения причинной структуры.</w:t>
      </w:r>
    </w:p>
    <w:tbl>
      <w:tblPr>
        <w:tblStyle w:val="TableGrid"/>
        <w:tblW w:type="auto" w:w="0"/>
        <w:jc w:val="center"/>
        <w:tblLayout w:type="fixed"/>
        <w:tblLook w:firstColumn="1" w:firstRow="1" w:lastColumn="0" w:lastRow="0" w:noHBand="0" w:noVBand="1" w:val="04A0"/>
      </w:tblPr>
      <w:tblGrid>
        <w:gridCol w:w="4932"/>
        <w:gridCol w:w="4932"/>
      </w:tblGrid>
      <w:t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Experiment_h = Υ_record ∘ Ξ_protocol ∘ Δ_intervention</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T4-F216</w:t>
              <w:br/>
              <w:t>ARCH/COND</w:t>
            </w:r>
          </w:p>
        </w:tc>
      </w:tr>
    </w:tbl>
    <w:p>
      <w:r>
        <w:rPr>
          <w:rFonts w:ascii="DejaVu Serif" w:hAnsi="DejaVu Serif" w:eastAsia="DejaVu Serif"/>
          <w:sz w:val="21"/>
        </w:rPr>
        <w:t>Формула является архитектурной: каждый предметный эксперимент обязан отдельно определить состояние, вмешательство, временной ход, измеримый результат и критерии прекращения. Без этого красивое слово «эксперимент» может скрывать обычное наблюдение, post hoc интерпретацию или неподконтрольное изменение среды.</w:t>
      </w:r>
    </w:p>
    <w:p>
      <w:pPr>
        <w:jc w:val="center"/>
      </w:pPr>
      <w:r>
        <w:drawing>
          <wp:inline xmlns:a="http://schemas.openxmlformats.org/drawingml/2006/main" xmlns:pic="http://schemas.openxmlformats.org/drawingml/2006/picture">
            <wp:extent cx="5897880" cy="3715467"/>
            <wp:docPr id="27" name="Picture 27" descr="Цикл естествознания: C@C мира в центре, вокруг наблюдатель, прибор, запись, модель, объяснение, проверка и действие; все стадии окружены D, Dom, provenance, uncertainty, status и responsibility." title="Рисунок 23.1. Естествознание как цикл мира, наблюдения, записи, модели, объяснения, проверки и действия."/>
            <wp:cNvGraphicFramePr>
              <a:graphicFrameLocks noChangeAspect="1"/>
            </wp:cNvGraphicFramePr>
            <a:graphic>
              <a:graphicData uri="http://schemas.openxmlformats.org/drawingml/2006/picture">
                <pic:pic>
                  <pic:nvPicPr>
                    <pic:cNvPr id="0" name="fig_23_1_science_cycle.png"/>
                    <pic:cNvPicPr/>
                  </pic:nvPicPr>
                  <pic:blipFill>
                    <a:blip r:embed="rId41"/>
                    <a:stretch>
                      <a:fillRect/>
                    </a:stretch>
                  </pic:blipFill>
                  <pic:spPr>
                    <a:xfrm>
                      <a:off x="0" y="0"/>
                      <a:ext cx="5897880" cy="3715467"/>
                    </a:xfrm>
                    <a:prstGeom prst="rect"/>
                  </pic:spPr>
                </pic:pic>
              </a:graphicData>
            </a:graphic>
          </wp:inline>
        </w:drawing>
      </w:r>
    </w:p>
    <w:p>
      <w:pPr>
        <w:pStyle w:val="Caption"/>
        <w:jc w:val="center"/>
      </w:pPr>
      <w:r>
        <w:rPr>
          <w:rFonts w:ascii="DejaVu Serif" w:hAnsi="DejaVu Serif" w:eastAsia="DejaVu Serif"/>
          <w:b/>
          <w:sz w:val="18"/>
        </w:rPr>
        <w:t>Рисунок 23.1. Естествознание как цикл мира, наблюдения, записи, модели, объяснения, проверки и действия.</w:t>
      </w:r>
    </w:p>
    <w:p>
      <w:pPr>
        <w:pStyle w:val="Heading2"/>
      </w:pPr>
      <w:r>
        <w:t>23.6. Редукция и обязательный реестр остатка</w:t>
      </w:r>
    </w:p>
    <w:p>
      <w:r>
        <w:rPr>
          <w:rFonts w:ascii="DejaVu Serif" w:hAnsi="DejaVu Serif" w:eastAsia="DejaVu Serif"/>
          <w:sz w:val="21"/>
        </w:rPr>
        <w:t>Редукция является необходимой операцией науки. Без неё нельзя перейти от сложной системы к уравнению, от непрерывного сигнала к данным, от организма к измеримому признаку или от жизненной ситуации к документу. Опасность возникает не в самой редукции, а в забывании того, что было отброшено. KLT требует: каждая редукция указывает сохраняемые инварианты и отдельный residual ledger.</w:t>
      </w:r>
    </w:p>
    <w:tbl>
      <w:tblPr>
        <w:tblStyle w:val="TableGrid"/>
        <w:tblW w:type="auto" w:w="0"/>
        <w:jc w:val="center"/>
        <w:tblLayout w:type="fixed"/>
        <w:tblLook w:firstColumn="1" w:firstRow="1" w:lastColumn="0" w:lastRow="0" w:noHBand="0" w:noVBand="1" w:val="04A0"/>
      </w:tblPr>
      <w:tblGrid>
        <w:gridCol w:w="4932"/>
        <w:gridCol w:w="4932"/>
      </w:tblGrid>
      <w:t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R_{X→Y}: X ⇀ Y,     Inv_Y(Rx)=Inv_X(x)  for the declared invariant family</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T4-F217</w:t>
              <w:br/>
              <w:t>DEF/COND</w:t>
            </w:r>
          </w:p>
        </w:tc>
      </w:tr>
    </w:tbl>
    <w:tbl>
      <w:tblPr>
        <w:tblStyle w:val="TableGrid"/>
        <w:tblW w:type="auto" w:w="0"/>
        <w:jc w:val="center"/>
        <w:tblLayout w:type="fixed"/>
        <w:tblLook w:firstColumn="1" w:firstRow="1" w:lastColumn="0" w:lastRow="0" w:noHBand="0" w:noVBand="1" w:val="04A0"/>
      </w:tblPr>
      <w:tblGrid>
        <w:gridCol w:w="4932"/>
        <w:gridCol w:w="4932"/>
      </w:tblGrid>
      <w:t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Res_R(x) = Rel_X(x) \ Preserved_R(x)</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T4-F218</w:t>
              <w:br/>
              <w:t>DEF</w:t>
            </w:r>
          </w:p>
        </w:tc>
      </w:tr>
    </w:tbl>
    <w:p>
      <w:pPr>
        <w:jc w:val="center"/>
      </w:pPr>
      <w:r>
        <w:drawing>
          <wp:inline xmlns:a="http://schemas.openxmlformats.org/drawingml/2006/main" xmlns:pic="http://schemas.openxmlformats.org/drawingml/2006/picture">
            <wp:extent cx="5897880" cy="3260388"/>
            <wp:docPr id="28" name="Picture 28" descr="Богатый слой X проходит через редуктор R в слой Y; отдельной стрелкой выводится реестр неперенесённых отношений и смысловых остатков." title="Рисунок 23.2. Редукция, сохраняемые инварианты и residual ledger."/>
            <wp:cNvGraphicFramePr>
              <a:graphicFrameLocks noChangeAspect="1"/>
            </wp:cNvGraphicFramePr>
            <a:graphic>
              <a:graphicData uri="http://schemas.openxmlformats.org/drawingml/2006/picture">
                <pic:pic>
                  <pic:nvPicPr>
                    <pic:cNvPr id="0" name="fig_23_2_reduction_residual.png"/>
                    <pic:cNvPicPr/>
                  </pic:nvPicPr>
                  <pic:blipFill>
                    <a:blip r:embed="rId42"/>
                    <a:stretch>
                      <a:fillRect/>
                    </a:stretch>
                  </pic:blipFill>
                  <pic:spPr>
                    <a:xfrm>
                      <a:off x="0" y="0"/>
                      <a:ext cx="5897880" cy="3260388"/>
                    </a:xfrm>
                    <a:prstGeom prst="rect"/>
                  </pic:spPr>
                </pic:pic>
              </a:graphicData>
            </a:graphic>
          </wp:inline>
        </w:drawing>
      </w:r>
    </w:p>
    <w:p>
      <w:pPr>
        <w:pStyle w:val="Caption"/>
        <w:jc w:val="center"/>
      </w:pPr>
      <w:r>
        <w:rPr>
          <w:rFonts w:ascii="DejaVu Serif" w:hAnsi="DejaVu Serif" w:eastAsia="DejaVu Serif"/>
          <w:b/>
          <w:sz w:val="18"/>
        </w:rPr>
        <w:t>Рисунок 23.2. Редукция, сохраняемые инварианты и residual ledger.</w:t>
      </w:r>
    </w:p>
    <w:p>
      <w:pPr>
        <w:pStyle w:val="Heading2"/>
      </w:pPr>
      <w:r>
        <w:t>23.7. Эмерджентность без мистификации</w:t>
      </w:r>
    </w:p>
    <w:p>
      <w:r>
        <w:rPr>
          <w:rFonts w:ascii="DejaVu Serif" w:hAnsi="DejaVu Serif" w:eastAsia="DejaVu Serif"/>
          <w:sz w:val="21"/>
        </w:rPr>
        <w:t>Слово «эмерджентность» часто используется либо как обещание чуда, либо как запрет анализа. В Томе IV оно получает более узкий смысл. Свойство является эмерджентным относительно выбранной редукции, если оно устойчиво различимо на богатом слое, но не выражается в языке редуцированного слоя без дополнительной реконструкции, новых переменных или изменения домена. Это относительное, а не абсолютное понятие.</w:t>
      </w:r>
    </w:p>
    <w:tbl>
      <w:tblPr>
        <w:tblStyle w:val="TableGrid"/>
        <w:tblW w:type="auto" w:w="0"/>
        <w:jc w:val="center"/>
        <w:tblLayout w:type="fixed"/>
        <w:tblLook w:firstColumn="1" w:firstRow="1" w:lastColumn="0" w:lastRow="0" w:noHBand="0" w:noVBand="1" w:val="04A0"/>
      </w:tblPr>
      <w:tblGrid>
        <w:gridCol w:w="4932"/>
        <w:gridCol w:w="4932"/>
      </w:tblGrid>
      <w:t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Emerg_R(P) ⇔ Stable_X(P) ∧ ¬Definable_{Lang(Y)}(P) ∧ ReconstructionRequired(P)</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T4-F219</w:t>
              <w:br/>
              <w:t>COND</w:t>
            </w:r>
          </w:p>
        </w:tc>
      </w:tr>
    </w:tbl>
    <w:p>
      <w:r>
        <w:rPr>
          <w:rFonts w:ascii="DejaVu Serif" w:hAnsi="DejaVu Serif" w:eastAsia="DejaVu Serif"/>
          <w:sz w:val="21"/>
        </w:rPr>
        <w:t>Эмерджентность зависит от пары «свойство - редукция». Поэтому из невозможности выразить феномен в одной модели не следует его принципиальная нематематичность; из успешного выражения в другой модели не следует, что переживаемый смысл исчерпан.</w:t>
      </w:r>
    </w:p>
    <w:p>
      <w:pPr>
        <w:pStyle w:val="Heading2"/>
      </w:pPr>
      <w:r>
        <w:t>23.8. Диалог с классической философией и историей науки</w:t>
      </w:r>
    </w:p>
    <w:tbl>
      <w:tblPr>
        <w:tblStyle w:val="TableGrid"/>
        <w:tblW w:type="auto" w:w="0"/>
        <w:jc w:val="center"/>
        <w:tblLayout w:type="fixed"/>
        <w:tblLook w:firstColumn="1" w:firstRow="1" w:lastColumn="0" w:lastRow="0" w:noHBand="0" w:noVBand="1" w:val="04A0"/>
      </w:tblPr>
      <w:tblGrid>
        <w:gridCol w:w="3288"/>
        <w:gridCol w:w="3288"/>
        <w:gridCol w:w="3288"/>
      </w:tblGrid>
      <w:tr>
        <w:trPr>
          <w:tblHeader w:val="true"/>
        </w:trPr>
        <w:tc>
          <w:tcPr>
            <w:tcW w:type="dxa" w:w="1872"/>
            <w:tcMar>
              <w:top w:w="90" w:type="dxa"/>
              <w:start w:w="100" w:type="dxa"/>
              <w:bottom w:w="90" w:type="dxa"/>
              <w:end w:w="100" w:type="dxa"/>
            </w:tcMar>
            <w:vAlign w:val="center"/>
            <w:shd w:fill="1F416A"/>
          </w:tcPr>
          <w:p>
            <w:pPr>
              <w:jc w:val="center"/>
            </w:pPr>
            <w:r>
              <w:rPr>
                <w:rFonts w:ascii="DejaVu Serif" w:hAnsi="DejaVu Serif" w:eastAsia="DejaVu Serif"/>
                <w:b/>
                <w:color w:val="FFFFFF"/>
                <w:sz w:val="15"/>
              </w:rPr>
              <w:t>Автор/линия</w:t>
            </w:r>
          </w:p>
        </w:tc>
        <w:tc>
          <w:tcPr>
            <w:tcW w:type="dxa" w:w="3816"/>
            <w:tcMar>
              <w:top w:w="90" w:type="dxa"/>
              <w:start w:w="100" w:type="dxa"/>
              <w:bottom w:w="90" w:type="dxa"/>
              <w:end w:w="100" w:type="dxa"/>
            </w:tcMar>
            <w:vAlign w:val="center"/>
            <w:shd w:fill="1F416A"/>
          </w:tcPr>
          <w:p>
            <w:pPr>
              <w:jc w:val="center"/>
            </w:pPr>
            <w:r>
              <w:rPr>
                <w:rFonts w:ascii="DejaVu Serif" w:hAnsi="DejaVu Serif" w:eastAsia="DejaVu Serif"/>
                <w:b/>
                <w:color w:val="FFFFFF"/>
                <w:sz w:val="15"/>
              </w:rPr>
              <w:t>Философский вопрос</w:t>
            </w:r>
          </w:p>
        </w:tc>
        <w:tc>
          <w:tcPr>
            <w:tcW w:type="dxa" w:w="4176"/>
            <w:tcMar>
              <w:top w:w="90" w:type="dxa"/>
              <w:start w:w="100" w:type="dxa"/>
              <w:bottom w:w="90" w:type="dxa"/>
              <w:end w:w="100" w:type="dxa"/>
            </w:tcMar>
            <w:vAlign w:val="center"/>
            <w:shd w:fill="1F416A"/>
          </w:tcPr>
          <w:p>
            <w:pPr>
              <w:jc w:val="center"/>
            </w:pPr>
            <w:r>
              <w:rPr>
                <w:rFonts w:ascii="DejaVu Serif" w:hAnsi="DejaVu Serif" w:eastAsia="DejaVu Serif"/>
                <w:b/>
                <w:color w:val="FFFFFF"/>
                <w:sz w:val="15"/>
              </w:rPr>
              <w:t>Функция в KLT-RBD</w:t>
            </w:r>
          </w:p>
        </w:tc>
      </w:tr>
      <w:tr>
        <w:tc>
          <w:tcPr>
            <w:tcW w:type="dxa" w:w="1872"/>
            <w:tcMar>
              <w:top w:w="90" w:type="dxa"/>
              <w:start w:w="100" w:type="dxa"/>
              <w:bottom w:w="90" w:type="dxa"/>
              <w:end w:w="100" w:type="dxa"/>
            </w:tcMar>
            <w:vAlign w:val="center"/>
            <w:shd w:fill="F4F6F9"/>
          </w:tcPr>
          <w:p>
            <w:pPr>
              <w:jc w:val="center"/>
            </w:pPr>
            <w:r>
              <w:rPr>
                <w:rFonts w:ascii="DejaVu Serif" w:hAnsi="DejaVu Serif" w:eastAsia="DejaVu Serif"/>
                <w:b w:val="0"/>
                <w:sz w:val="15"/>
              </w:rPr>
              <w:t>Аристотель</w:t>
            </w:r>
          </w:p>
        </w:tc>
        <w:tc>
          <w:tcPr>
            <w:tcW w:type="dxa" w:w="3816"/>
            <w:tcMar>
              <w:top w:w="90" w:type="dxa"/>
              <w:start w:w="100" w:type="dxa"/>
              <w:bottom w:w="90" w:type="dxa"/>
              <w:end w:w="100" w:type="dxa"/>
            </w:tcMar>
            <w:vAlign w:val="center"/>
            <w:shd w:fill="F4F6F9"/>
          </w:tcPr>
          <w:p>
            <w:pPr>
              <w:jc w:val="left"/>
            </w:pPr>
            <w:r>
              <w:rPr>
                <w:rFonts w:ascii="DejaVu Serif" w:hAnsi="DejaVu Serif" w:eastAsia="DejaVu Serif"/>
                <w:b w:val="0"/>
                <w:sz w:val="15"/>
              </w:rPr>
              <w:t>Какие типы причин и начал участвуют в объяснении?</w:t>
            </w:r>
          </w:p>
        </w:tc>
        <w:tc>
          <w:tcPr>
            <w:tcW w:type="dxa" w:w="4176"/>
            <w:tcMar>
              <w:top w:w="90" w:type="dxa"/>
              <w:start w:w="100" w:type="dxa"/>
              <w:bottom w:w="90" w:type="dxa"/>
              <w:end w:w="100" w:type="dxa"/>
            </w:tcMar>
            <w:vAlign w:val="center"/>
            <w:shd w:fill="F4F6F9"/>
          </w:tcPr>
          <w:p>
            <w:pPr>
              <w:jc w:val="left"/>
            </w:pPr>
            <w:r>
              <w:rPr>
                <w:rFonts w:ascii="DejaVu Serif" w:hAnsi="DejaVu Serif" w:eastAsia="DejaVu Serif"/>
                <w:b w:val="0"/>
                <w:sz w:val="15"/>
              </w:rPr>
              <w:t>Запрет сводить объяснение к одному корреляционному каналу.</w:t>
            </w:r>
          </w:p>
        </w:tc>
      </w:tr>
      <w:tr>
        <w:tc>
          <w:tcPr>
            <w:tcW w:type="dxa" w:w="1872"/>
            <w:tcMar>
              <w:top w:w="90" w:type="dxa"/>
              <w:start w:w="100" w:type="dxa"/>
              <w:bottom w:w="90" w:type="dxa"/>
              <w:end w:w="100" w:type="dxa"/>
            </w:tcMar>
            <w:vAlign w:val="center"/>
          </w:tcPr>
          <w:p>
            <w:pPr>
              <w:jc w:val="center"/>
            </w:pPr>
            <w:r>
              <w:rPr>
                <w:rFonts w:ascii="DejaVu Serif" w:hAnsi="DejaVu Serif" w:eastAsia="DejaVu Serif"/>
                <w:b w:val="0"/>
                <w:sz w:val="15"/>
              </w:rPr>
              <w:t>Кант</w:t>
            </w:r>
          </w:p>
        </w:tc>
        <w:tc>
          <w:tcPr>
            <w:tcW w:type="dxa" w:w="3816"/>
            <w:tcMar>
              <w:top w:w="90" w:type="dxa"/>
              <w:start w:w="100" w:type="dxa"/>
              <w:bottom w:w="90" w:type="dxa"/>
              <w:end w:w="100" w:type="dxa"/>
            </w:tcMar>
            <w:vAlign w:val="center"/>
          </w:tcPr>
          <w:p>
            <w:pPr>
              <w:jc w:val="left"/>
            </w:pPr>
            <w:r>
              <w:rPr>
                <w:rFonts w:ascii="DejaVu Serif" w:hAnsi="DejaVu Serif" w:eastAsia="DejaVu Serif"/>
                <w:b w:val="0"/>
                <w:sz w:val="15"/>
              </w:rPr>
              <w:t>Каковы условия возможности опыта и суждения?</w:t>
            </w:r>
          </w:p>
        </w:tc>
        <w:tc>
          <w:tcPr>
            <w:tcW w:type="dxa" w:w="4176"/>
            <w:tcMar>
              <w:top w:w="90" w:type="dxa"/>
              <w:start w:w="100" w:type="dxa"/>
              <w:bottom w:w="90" w:type="dxa"/>
              <w:end w:w="100" w:type="dxa"/>
            </w:tcMar>
            <w:vAlign w:val="center"/>
          </w:tcPr>
          <w:p>
            <w:pPr>
              <w:jc w:val="left"/>
            </w:pPr>
            <w:r>
              <w:rPr>
                <w:rFonts w:ascii="DejaVu Serif" w:hAnsi="DejaVu Serif" w:eastAsia="DejaVu Serif"/>
                <w:b w:val="0"/>
                <w:sz w:val="15"/>
              </w:rPr>
              <w:t>Наблюдательный срез, категории, предел самоавторизации.</w:t>
            </w:r>
          </w:p>
        </w:tc>
      </w:tr>
      <w:tr>
        <w:tc>
          <w:tcPr>
            <w:tcW w:type="dxa" w:w="1872"/>
            <w:tcMar>
              <w:top w:w="90" w:type="dxa"/>
              <w:start w:w="100" w:type="dxa"/>
              <w:bottom w:w="90" w:type="dxa"/>
              <w:end w:w="100" w:type="dxa"/>
            </w:tcMar>
            <w:vAlign w:val="center"/>
            <w:shd w:fill="F4F6F9"/>
          </w:tcPr>
          <w:p>
            <w:pPr>
              <w:jc w:val="center"/>
            </w:pPr>
            <w:r>
              <w:rPr>
                <w:rFonts w:ascii="DejaVu Serif" w:hAnsi="DejaVu Serif" w:eastAsia="DejaVu Serif"/>
                <w:b w:val="0"/>
                <w:sz w:val="15"/>
              </w:rPr>
              <w:t>Гуссерль</w:t>
            </w:r>
          </w:p>
        </w:tc>
        <w:tc>
          <w:tcPr>
            <w:tcW w:type="dxa" w:w="3816"/>
            <w:tcMar>
              <w:top w:w="90" w:type="dxa"/>
              <w:start w:w="100" w:type="dxa"/>
              <w:bottom w:w="90" w:type="dxa"/>
              <w:end w:w="100" w:type="dxa"/>
            </w:tcMar>
            <w:vAlign w:val="center"/>
            <w:shd w:fill="F4F6F9"/>
          </w:tcPr>
          <w:p>
            <w:pPr>
              <w:jc w:val="left"/>
            </w:pPr>
            <w:r>
              <w:rPr>
                <w:rFonts w:ascii="DejaVu Serif" w:hAnsi="DejaVu Serif" w:eastAsia="DejaVu Serif"/>
                <w:b w:val="0"/>
                <w:sz w:val="15"/>
              </w:rPr>
              <w:t>Как наука связана с жизненным миром и историей смысла?</w:t>
            </w:r>
          </w:p>
        </w:tc>
        <w:tc>
          <w:tcPr>
            <w:tcW w:type="dxa" w:w="4176"/>
            <w:tcMar>
              <w:top w:w="90" w:type="dxa"/>
              <w:start w:w="100" w:type="dxa"/>
              <w:bottom w:w="90" w:type="dxa"/>
              <w:end w:w="100" w:type="dxa"/>
            </w:tcMar>
            <w:vAlign w:val="center"/>
            <w:shd w:fill="F4F6F9"/>
          </w:tcPr>
          <w:p>
            <w:pPr>
              <w:jc w:val="left"/>
            </w:pPr>
            <w:r>
              <w:rPr>
                <w:rFonts w:ascii="DejaVu Serif" w:hAnsi="DejaVu Serif" w:eastAsia="DejaVu Serif"/>
                <w:b w:val="0"/>
                <w:sz w:val="15"/>
              </w:rPr>
              <w:t>Различение формулы, её происхождения и горизонта применения.</w:t>
            </w:r>
          </w:p>
        </w:tc>
      </w:tr>
      <w:tr>
        <w:tc>
          <w:tcPr>
            <w:tcW w:type="dxa" w:w="1872"/>
            <w:tcMar>
              <w:top w:w="90" w:type="dxa"/>
              <w:start w:w="100" w:type="dxa"/>
              <w:bottom w:w="90" w:type="dxa"/>
              <w:end w:w="100" w:type="dxa"/>
            </w:tcMar>
            <w:vAlign w:val="center"/>
          </w:tcPr>
          <w:p>
            <w:pPr>
              <w:jc w:val="center"/>
            </w:pPr>
            <w:r>
              <w:rPr>
                <w:rFonts w:ascii="DejaVu Serif" w:hAnsi="DejaVu Serif" w:eastAsia="DejaVu Serif"/>
                <w:b w:val="0"/>
                <w:sz w:val="15"/>
              </w:rPr>
              <w:t>Кассирер</w:t>
            </w:r>
          </w:p>
        </w:tc>
        <w:tc>
          <w:tcPr>
            <w:tcW w:type="dxa" w:w="3816"/>
            <w:tcMar>
              <w:top w:w="90" w:type="dxa"/>
              <w:start w:w="100" w:type="dxa"/>
              <w:bottom w:w="90" w:type="dxa"/>
              <w:end w:w="100" w:type="dxa"/>
            </w:tcMar>
            <w:vAlign w:val="center"/>
          </w:tcPr>
          <w:p>
            <w:pPr>
              <w:jc w:val="left"/>
            </w:pPr>
            <w:r>
              <w:rPr>
                <w:rFonts w:ascii="DejaVu Serif" w:hAnsi="DejaVu Serif" w:eastAsia="DejaVu Serif"/>
                <w:b w:val="0"/>
                <w:sz w:val="15"/>
              </w:rPr>
              <w:t>Как символические формы конституируют предметность?</w:t>
            </w:r>
          </w:p>
        </w:tc>
        <w:tc>
          <w:tcPr>
            <w:tcW w:type="dxa" w:w="4176"/>
            <w:tcMar>
              <w:top w:w="90" w:type="dxa"/>
              <w:start w:w="100" w:type="dxa"/>
              <w:bottom w:w="90" w:type="dxa"/>
              <w:end w:w="100" w:type="dxa"/>
            </w:tcMar>
            <w:vAlign w:val="center"/>
          </w:tcPr>
          <w:p>
            <w:pPr>
              <w:jc w:val="left"/>
            </w:pPr>
            <w:r>
              <w:rPr>
                <w:rFonts w:ascii="DejaVu Serif" w:hAnsi="DejaVu Serif" w:eastAsia="DejaVu Serif"/>
                <w:b w:val="0"/>
                <w:sz w:val="15"/>
              </w:rPr>
              <w:t>Язык и модели как неравнозначные карты мира.</w:t>
            </w:r>
          </w:p>
        </w:tc>
      </w:tr>
      <w:tr>
        <w:tc>
          <w:tcPr>
            <w:tcW w:type="dxa" w:w="1872"/>
            <w:tcMar>
              <w:top w:w="90" w:type="dxa"/>
              <w:start w:w="100" w:type="dxa"/>
              <w:bottom w:w="90" w:type="dxa"/>
              <w:end w:w="100" w:type="dxa"/>
            </w:tcMar>
            <w:vAlign w:val="center"/>
            <w:shd w:fill="F4F6F9"/>
          </w:tcPr>
          <w:p>
            <w:pPr>
              <w:jc w:val="center"/>
            </w:pPr>
            <w:r>
              <w:rPr>
                <w:rFonts w:ascii="DejaVu Serif" w:hAnsi="DejaVu Serif" w:eastAsia="DejaVu Serif"/>
                <w:b w:val="0"/>
                <w:sz w:val="15"/>
              </w:rPr>
              <w:t>Мерло-Понти</w:t>
            </w:r>
          </w:p>
        </w:tc>
        <w:tc>
          <w:tcPr>
            <w:tcW w:type="dxa" w:w="3816"/>
            <w:tcMar>
              <w:top w:w="90" w:type="dxa"/>
              <w:start w:w="100" w:type="dxa"/>
              <w:bottom w:w="90" w:type="dxa"/>
              <w:end w:w="100" w:type="dxa"/>
            </w:tcMar>
            <w:vAlign w:val="center"/>
            <w:shd w:fill="F4F6F9"/>
          </w:tcPr>
          <w:p>
            <w:pPr>
              <w:jc w:val="left"/>
            </w:pPr>
            <w:r>
              <w:rPr>
                <w:rFonts w:ascii="DejaVu Serif" w:hAnsi="DejaVu Serif" w:eastAsia="DejaVu Serif"/>
                <w:b w:val="0"/>
                <w:sz w:val="15"/>
              </w:rPr>
              <w:t>Как телесность участвует в восприятии?</w:t>
            </w:r>
          </w:p>
        </w:tc>
        <w:tc>
          <w:tcPr>
            <w:tcW w:type="dxa" w:w="4176"/>
            <w:tcMar>
              <w:top w:w="90" w:type="dxa"/>
              <w:start w:w="100" w:type="dxa"/>
              <w:bottom w:w="90" w:type="dxa"/>
              <w:end w:w="100" w:type="dxa"/>
            </w:tcMar>
            <w:vAlign w:val="center"/>
            <w:shd w:fill="F4F6F9"/>
          </w:tcPr>
          <w:p>
            <w:pPr>
              <w:jc w:val="left"/>
            </w:pPr>
            <w:r>
              <w:rPr>
                <w:rFonts w:ascii="DejaVu Serif" w:hAnsi="DejaVu Serif" w:eastAsia="DejaVu Serif"/>
                <w:b w:val="0"/>
                <w:sz w:val="15"/>
              </w:rPr>
              <w:t>Body_h как первичная ориентационная структура.</w:t>
            </w:r>
          </w:p>
        </w:tc>
      </w:tr>
      <w:tr>
        <w:tc>
          <w:tcPr>
            <w:tcW w:type="dxa" w:w="1872"/>
            <w:tcMar>
              <w:top w:w="90" w:type="dxa"/>
              <w:start w:w="100" w:type="dxa"/>
              <w:bottom w:w="90" w:type="dxa"/>
              <w:end w:w="100" w:type="dxa"/>
            </w:tcMar>
            <w:vAlign w:val="center"/>
          </w:tcPr>
          <w:p>
            <w:pPr>
              <w:jc w:val="center"/>
            </w:pPr>
            <w:r>
              <w:rPr>
                <w:rFonts w:ascii="DejaVu Serif" w:hAnsi="DejaVu Serif" w:eastAsia="DejaVu Serif"/>
                <w:b w:val="0"/>
                <w:sz w:val="15"/>
              </w:rPr>
              <w:t>Башляр</w:t>
            </w:r>
          </w:p>
        </w:tc>
        <w:tc>
          <w:tcPr>
            <w:tcW w:type="dxa" w:w="3816"/>
            <w:tcMar>
              <w:top w:w="90" w:type="dxa"/>
              <w:start w:w="100" w:type="dxa"/>
              <w:bottom w:w="90" w:type="dxa"/>
              <w:end w:w="100" w:type="dxa"/>
            </w:tcMar>
            <w:vAlign w:val="center"/>
          </w:tcPr>
          <w:p>
            <w:pPr>
              <w:jc w:val="left"/>
            </w:pPr>
            <w:r>
              <w:rPr>
                <w:rFonts w:ascii="DejaVu Serif" w:hAnsi="DejaVu Serif" w:eastAsia="DejaVu Serif"/>
                <w:b w:val="0"/>
                <w:sz w:val="15"/>
              </w:rPr>
              <w:t>Как научный разум преодолевает собственные препятствия?</w:t>
            </w:r>
          </w:p>
        </w:tc>
        <w:tc>
          <w:tcPr>
            <w:tcW w:type="dxa" w:w="4176"/>
            <w:tcMar>
              <w:top w:w="90" w:type="dxa"/>
              <w:start w:w="100" w:type="dxa"/>
              <w:bottom w:w="90" w:type="dxa"/>
              <w:end w:w="100" w:type="dxa"/>
            </w:tcMar>
            <w:vAlign w:val="center"/>
          </w:tcPr>
          <w:p>
            <w:pPr>
              <w:jc w:val="left"/>
            </w:pPr>
            <w:r>
              <w:rPr>
                <w:rFonts w:ascii="DejaVu Serif" w:hAnsi="DejaVu Serif" w:eastAsia="DejaVu Serif"/>
                <w:b w:val="0"/>
                <w:sz w:val="15"/>
              </w:rPr>
              <w:t>Gap-node, foreign-D и пересборка основания.</w:t>
            </w:r>
          </w:p>
        </w:tc>
      </w:tr>
      <w:tr>
        <w:tc>
          <w:tcPr>
            <w:tcW w:type="dxa" w:w="1872"/>
            <w:tcMar>
              <w:top w:w="90" w:type="dxa"/>
              <w:start w:w="100" w:type="dxa"/>
              <w:bottom w:w="90" w:type="dxa"/>
              <w:end w:w="100" w:type="dxa"/>
            </w:tcMar>
            <w:vAlign w:val="center"/>
            <w:shd w:fill="F4F6F9"/>
          </w:tcPr>
          <w:p>
            <w:pPr>
              <w:jc w:val="center"/>
            </w:pPr>
            <w:r>
              <w:rPr>
                <w:rFonts w:ascii="DejaVu Serif" w:hAnsi="DejaVu Serif" w:eastAsia="DejaVu Serif"/>
                <w:b w:val="0"/>
                <w:sz w:val="15"/>
              </w:rPr>
              <w:t>Поппер</w:t>
            </w:r>
          </w:p>
        </w:tc>
        <w:tc>
          <w:tcPr>
            <w:tcW w:type="dxa" w:w="3816"/>
            <w:tcMar>
              <w:top w:w="90" w:type="dxa"/>
              <w:start w:w="100" w:type="dxa"/>
              <w:bottom w:w="90" w:type="dxa"/>
              <w:end w:w="100" w:type="dxa"/>
            </w:tcMar>
            <w:vAlign w:val="center"/>
            <w:shd w:fill="F4F6F9"/>
          </w:tcPr>
          <w:p>
            <w:pPr>
              <w:jc w:val="left"/>
            </w:pPr>
            <w:r>
              <w:rPr>
                <w:rFonts w:ascii="DejaVu Serif" w:hAnsi="DejaVu Serif" w:eastAsia="DejaVu Serif"/>
                <w:b w:val="0"/>
                <w:sz w:val="15"/>
              </w:rPr>
              <w:t>Как утверждение подвергается опровержению?</w:t>
            </w:r>
          </w:p>
        </w:tc>
        <w:tc>
          <w:tcPr>
            <w:tcW w:type="dxa" w:w="4176"/>
            <w:tcMar>
              <w:top w:w="90" w:type="dxa"/>
              <w:start w:w="100" w:type="dxa"/>
              <w:bottom w:w="90" w:type="dxa"/>
              <w:end w:w="100" w:type="dxa"/>
            </w:tcMar>
            <w:vAlign w:val="center"/>
            <w:shd w:fill="F4F6F9"/>
          </w:tcPr>
          <w:p>
            <w:pPr>
              <w:jc w:val="left"/>
            </w:pPr>
            <w:r>
              <w:rPr>
                <w:rFonts w:ascii="DejaVu Serif" w:hAnsi="DejaVu Serif" w:eastAsia="DejaVu Serif"/>
                <w:b w:val="0"/>
                <w:sz w:val="15"/>
              </w:rPr>
              <w:t>Фальсификационный gate и запрет нефальсифицируемой инфляции.</w:t>
            </w:r>
          </w:p>
        </w:tc>
      </w:tr>
      <w:tr>
        <w:tc>
          <w:tcPr>
            <w:tcW w:type="dxa" w:w="1872"/>
            <w:tcMar>
              <w:top w:w="90" w:type="dxa"/>
              <w:start w:w="100" w:type="dxa"/>
              <w:bottom w:w="90" w:type="dxa"/>
              <w:end w:w="100" w:type="dxa"/>
            </w:tcMar>
            <w:vAlign w:val="center"/>
          </w:tcPr>
          <w:p>
            <w:pPr>
              <w:jc w:val="center"/>
            </w:pPr>
            <w:r>
              <w:rPr>
                <w:rFonts w:ascii="DejaVu Serif" w:hAnsi="DejaVu Serif" w:eastAsia="DejaVu Serif"/>
                <w:b w:val="0"/>
                <w:sz w:val="15"/>
              </w:rPr>
              <w:t>Кун / Лакатос</w:t>
            </w:r>
          </w:p>
        </w:tc>
        <w:tc>
          <w:tcPr>
            <w:tcW w:type="dxa" w:w="3816"/>
            <w:tcMar>
              <w:top w:w="90" w:type="dxa"/>
              <w:start w:w="100" w:type="dxa"/>
              <w:bottom w:w="90" w:type="dxa"/>
              <w:end w:w="100" w:type="dxa"/>
            </w:tcMar>
            <w:vAlign w:val="center"/>
          </w:tcPr>
          <w:p>
            <w:pPr>
              <w:jc w:val="left"/>
            </w:pPr>
            <w:r>
              <w:rPr>
                <w:rFonts w:ascii="DejaVu Serif" w:hAnsi="DejaVu Serif" w:eastAsia="DejaVu Serif"/>
                <w:b w:val="0"/>
                <w:sz w:val="15"/>
              </w:rPr>
              <w:t>Как меняются парадигмы и исследовательские программы?</w:t>
            </w:r>
          </w:p>
        </w:tc>
        <w:tc>
          <w:tcPr>
            <w:tcW w:type="dxa" w:w="4176"/>
            <w:tcMar>
              <w:top w:w="90" w:type="dxa"/>
              <w:start w:w="100" w:type="dxa"/>
              <w:bottom w:w="90" w:type="dxa"/>
              <w:end w:w="100" w:type="dxa"/>
            </w:tcMar>
            <w:vAlign w:val="center"/>
          </w:tcPr>
          <w:p>
            <w:pPr>
              <w:jc w:val="left"/>
            </w:pPr>
            <w:r>
              <w:rPr>
                <w:rFonts w:ascii="DejaVu Serif" w:hAnsi="DejaVu Serif" w:eastAsia="DejaVu Serif"/>
                <w:b w:val="0"/>
                <w:sz w:val="15"/>
              </w:rPr>
              <w:t>Версионный RBD-граф теорий, блокеров и защитных гипотез.</w:t>
            </w:r>
          </w:p>
        </w:tc>
      </w:tr>
      <w:tr>
        <w:tc>
          <w:tcPr>
            <w:tcW w:type="dxa" w:w="1872"/>
            <w:tcMar>
              <w:top w:w="90" w:type="dxa"/>
              <w:start w:w="100" w:type="dxa"/>
              <w:bottom w:w="90" w:type="dxa"/>
              <w:end w:w="100" w:type="dxa"/>
            </w:tcMar>
            <w:vAlign w:val="center"/>
            <w:shd w:fill="F4F6F9"/>
          </w:tcPr>
          <w:p>
            <w:pPr>
              <w:jc w:val="center"/>
            </w:pPr>
            <w:r>
              <w:rPr>
                <w:rFonts w:ascii="DejaVu Serif" w:hAnsi="DejaVu Serif" w:eastAsia="DejaVu Serif"/>
                <w:b w:val="0"/>
                <w:sz w:val="15"/>
              </w:rPr>
              <w:t>Пирс</w:t>
            </w:r>
          </w:p>
        </w:tc>
        <w:tc>
          <w:tcPr>
            <w:tcW w:type="dxa" w:w="3816"/>
            <w:tcMar>
              <w:top w:w="90" w:type="dxa"/>
              <w:start w:w="100" w:type="dxa"/>
              <w:bottom w:w="90" w:type="dxa"/>
              <w:end w:w="100" w:type="dxa"/>
            </w:tcMar>
            <w:vAlign w:val="center"/>
            <w:shd w:fill="F4F6F9"/>
          </w:tcPr>
          <w:p>
            <w:pPr>
              <w:jc w:val="left"/>
            </w:pPr>
            <w:r>
              <w:rPr>
                <w:rFonts w:ascii="DejaVu Serif" w:hAnsi="DejaVu Serif" w:eastAsia="DejaVu Serif"/>
                <w:b w:val="0"/>
                <w:sz w:val="15"/>
              </w:rPr>
              <w:t>Как возникает гипотеза?</w:t>
            </w:r>
          </w:p>
        </w:tc>
        <w:tc>
          <w:tcPr>
            <w:tcW w:type="dxa" w:w="4176"/>
            <w:tcMar>
              <w:top w:w="90" w:type="dxa"/>
              <w:start w:w="100" w:type="dxa"/>
              <w:bottom w:w="90" w:type="dxa"/>
              <w:end w:w="100" w:type="dxa"/>
            </w:tcMar>
            <w:vAlign w:val="center"/>
            <w:shd w:fill="F4F6F9"/>
          </w:tcPr>
          <w:p>
            <w:pPr>
              <w:jc w:val="left"/>
            </w:pPr>
            <w:r>
              <w:rPr>
                <w:rFonts w:ascii="DejaVu Serif" w:hAnsi="DejaVu Serif" w:eastAsia="DejaVu Serif"/>
                <w:b w:val="0"/>
                <w:sz w:val="15"/>
              </w:rPr>
              <w:t>Abduction как генерация theorem-candidate без повышения статуса.</w:t>
            </w:r>
          </w:p>
        </w:tc>
      </w:tr>
      <w:tr>
        <w:tc>
          <w:tcPr>
            <w:tcW w:type="dxa" w:w="1872"/>
            <w:tcMar>
              <w:top w:w="90" w:type="dxa"/>
              <w:start w:w="100" w:type="dxa"/>
              <w:bottom w:w="90" w:type="dxa"/>
              <w:end w:w="100" w:type="dxa"/>
            </w:tcMar>
            <w:vAlign w:val="center"/>
          </w:tcPr>
          <w:p>
            <w:pPr>
              <w:jc w:val="center"/>
            </w:pPr>
            <w:r>
              <w:rPr>
                <w:rFonts w:ascii="DejaVu Serif" w:hAnsi="DejaVu Serif" w:eastAsia="DejaVu Serif"/>
                <w:b w:val="0"/>
                <w:sz w:val="15"/>
              </w:rPr>
              <w:t>Кангилем</w:t>
            </w:r>
          </w:p>
        </w:tc>
        <w:tc>
          <w:tcPr>
            <w:tcW w:type="dxa" w:w="3816"/>
            <w:tcMar>
              <w:top w:w="90" w:type="dxa"/>
              <w:start w:w="100" w:type="dxa"/>
              <w:bottom w:w="90" w:type="dxa"/>
              <w:end w:w="100" w:type="dxa"/>
            </w:tcMar>
            <w:vAlign w:val="center"/>
          </w:tcPr>
          <w:p>
            <w:pPr>
              <w:jc w:val="left"/>
            </w:pPr>
            <w:r>
              <w:rPr>
                <w:rFonts w:ascii="DejaVu Serif" w:hAnsi="DejaVu Serif" w:eastAsia="DejaVu Serif"/>
                <w:b w:val="0"/>
                <w:sz w:val="15"/>
              </w:rPr>
              <w:t>Как норма связана с живым и патологическим?</w:t>
            </w:r>
          </w:p>
        </w:tc>
        <w:tc>
          <w:tcPr>
            <w:tcW w:type="dxa" w:w="4176"/>
            <w:tcMar>
              <w:top w:w="90" w:type="dxa"/>
              <w:start w:w="100" w:type="dxa"/>
              <w:bottom w:w="90" w:type="dxa"/>
              <w:end w:w="100" w:type="dxa"/>
            </w:tcMar>
            <w:vAlign w:val="center"/>
          </w:tcPr>
          <w:p>
            <w:pPr>
              <w:jc w:val="left"/>
            </w:pPr>
            <w:r>
              <w:rPr>
                <w:rFonts w:ascii="DejaVu Serif" w:hAnsi="DejaVu Serif" w:eastAsia="DejaVu Serif"/>
                <w:b w:val="0"/>
                <w:sz w:val="15"/>
              </w:rPr>
              <w:t>Запрет универсального AnthroCGI как оценки человека.</w:t>
            </w:r>
          </w:p>
        </w:tc>
      </w:tr>
      <w:tr>
        <w:tc>
          <w:tcPr>
            <w:tcW w:type="dxa" w:w="1872"/>
            <w:tcMar>
              <w:top w:w="90" w:type="dxa"/>
              <w:start w:w="100" w:type="dxa"/>
              <w:bottom w:w="90" w:type="dxa"/>
              <w:end w:w="100" w:type="dxa"/>
            </w:tcMar>
            <w:vAlign w:val="center"/>
            <w:shd w:fill="F4F6F9"/>
          </w:tcPr>
          <w:p>
            <w:pPr>
              <w:jc w:val="center"/>
            </w:pPr>
            <w:r>
              <w:rPr>
                <w:rFonts w:ascii="DejaVu Serif" w:hAnsi="DejaVu Serif" w:eastAsia="DejaVu Serif"/>
                <w:b w:val="0"/>
                <w:sz w:val="15"/>
              </w:rPr>
              <w:t>Симондон</w:t>
            </w:r>
          </w:p>
        </w:tc>
        <w:tc>
          <w:tcPr>
            <w:tcW w:type="dxa" w:w="3816"/>
            <w:tcMar>
              <w:top w:w="90" w:type="dxa"/>
              <w:start w:w="100" w:type="dxa"/>
              <w:bottom w:w="90" w:type="dxa"/>
              <w:end w:w="100" w:type="dxa"/>
            </w:tcMar>
            <w:vAlign w:val="center"/>
            <w:shd w:fill="F4F6F9"/>
          </w:tcPr>
          <w:p>
            <w:pPr>
              <w:jc w:val="left"/>
            </w:pPr>
            <w:r>
              <w:rPr>
                <w:rFonts w:ascii="DejaVu Serif" w:hAnsi="DejaVu Serif" w:eastAsia="DejaVu Serif"/>
                <w:b w:val="0"/>
                <w:sz w:val="15"/>
              </w:rPr>
              <w:t>Как возникает индивид и технический объект?</w:t>
            </w:r>
          </w:p>
        </w:tc>
        <w:tc>
          <w:tcPr>
            <w:tcW w:type="dxa" w:w="4176"/>
            <w:tcMar>
              <w:top w:w="90" w:type="dxa"/>
              <w:start w:w="100" w:type="dxa"/>
              <w:bottom w:w="90" w:type="dxa"/>
              <w:end w:w="100" w:type="dxa"/>
            </w:tcMar>
            <w:vAlign w:val="center"/>
            <w:shd w:fill="F4F6F9"/>
          </w:tcPr>
          <w:p>
            <w:pPr>
              <w:jc w:val="left"/>
            </w:pPr>
            <w:r>
              <w:rPr>
                <w:rFonts w:ascii="DejaVu Serif" w:hAnsi="DejaVu Serif" w:eastAsia="DejaVu Serif"/>
                <w:b w:val="0"/>
                <w:sz w:val="15"/>
              </w:rPr>
              <w:t>Индивидуация как процесс, техника как внешняя память, а не нейтральный инструмент.</w:t>
            </w:r>
          </w:p>
        </w:tc>
      </w:tr>
      <w:tr>
        <w:tc>
          <w:tcPr>
            <w:tcW w:type="dxa" w:w="1872"/>
            <w:tcMar>
              <w:top w:w="90" w:type="dxa"/>
              <w:start w:w="100" w:type="dxa"/>
              <w:bottom w:w="90" w:type="dxa"/>
              <w:end w:w="100" w:type="dxa"/>
            </w:tcMar>
            <w:vAlign w:val="center"/>
          </w:tcPr>
          <w:p>
            <w:pPr>
              <w:jc w:val="left"/>
            </w:pPr>
            <w:r>
              <w:rPr>
                <w:rFonts w:ascii="DejaVu Serif" w:hAnsi="DejaVu Serif" w:eastAsia="DejaVu Serif"/>
                <w:b w:val="0"/>
                <w:sz w:val="15"/>
              </w:rPr>
              <w:t>Рикёр / Левинас / Арендт</w:t>
            </w:r>
          </w:p>
        </w:tc>
        <w:tc>
          <w:tcPr>
            <w:tcW w:type="dxa" w:w="3816"/>
            <w:tcMar>
              <w:top w:w="90" w:type="dxa"/>
              <w:start w:w="100" w:type="dxa"/>
              <w:bottom w:w="90" w:type="dxa"/>
              <w:end w:w="100" w:type="dxa"/>
            </w:tcMar>
            <w:vAlign w:val="center"/>
          </w:tcPr>
          <w:p>
            <w:pPr>
              <w:jc w:val="left"/>
            </w:pPr>
            <w:r>
              <w:rPr>
                <w:rFonts w:ascii="DejaVu Serif" w:hAnsi="DejaVu Serif" w:eastAsia="DejaVu Serif"/>
                <w:b w:val="0"/>
                <w:sz w:val="15"/>
              </w:rPr>
              <w:t>Как память, Другой и действие создают ответственность?</w:t>
            </w:r>
          </w:p>
        </w:tc>
        <w:tc>
          <w:tcPr>
            <w:tcW w:type="dxa" w:w="4176"/>
            <w:tcMar>
              <w:top w:w="90" w:type="dxa"/>
              <w:start w:w="100" w:type="dxa"/>
              <w:bottom w:w="90" w:type="dxa"/>
              <w:end w:w="100" w:type="dxa"/>
            </w:tcMar>
            <w:vAlign w:val="center"/>
          </w:tcPr>
          <w:p>
            <w:pPr>
              <w:jc w:val="left"/>
            </w:pPr>
            <w:r>
              <w:rPr>
                <w:rFonts w:ascii="DejaVu Serif" w:hAnsi="DejaVu Serif" w:eastAsia="DejaVu Serif"/>
                <w:b w:val="0"/>
                <w:sz w:val="15"/>
              </w:rPr>
              <w:t>Narrative identity, contestability, RespGate и публичность поступка.</w:t>
            </w:r>
          </w:p>
        </w:tc>
      </w:tr>
    </w:tbl>
    <w:p>
      <w:r>
        <w:rPr>
          <w:rFonts w:ascii="DejaVu Serif" w:hAnsi="DejaVu Serif" w:eastAsia="DejaVu Serif"/>
          <w:sz w:val="21"/>
        </w:rPr>
        <w:t>Таблица не утверждает, что перечисленные авторы предвосхитили KLT-RBD. Она задаёт карту диалога: классические вопросы сохраняют собственное авторство, а проект предлагает новый типизированный способ соединения этих вопросов с формулами, базой данных и доказательными статусами.</w:t>
      </w:r>
    </w:p>
    <w:p>
      <w:pPr>
        <w:pStyle w:val="Heading2"/>
      </w:pPr>
      <w:r>
        <w:t>23.9. Оператор естественно-научного познания KLT</w:t>
      </w:r>
    </w:p>
    <w:tbl>
      <w:tblPr>
        <w:tblStyle w:val="TableGrid"/>
        <w:tblW w:type="auto" w:w="0"/>
        <w:jc w:val="center"/>
        <w:tblLayout w:type="fixed"/>
        <w:tblLook w:firstColumn="1" w:firstRow="1" w:lastColumn="0" w:lastRow="0" w:noHBand="0" w:noVBand="1" w:val="04A0"/>
      </w:tblPr>
      <w:tblGrid>
        <w:gridCol w:w="4932"/>
        <w:gridCol w:w="4932"/>
      </w:tblGrid>
      <w:t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𝔑_KLT = RespGate ∘ StatusGate ∘ Test ∘ Explain ∘ Model ∘ Record ∘ Observe</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T4-F220</w:t>
              <w:br/>
              <w:t>PARTIAL COMPOSITION</w:t>
            </w:r>
          </w:p>
        </w:tc>
      </w:tr>
    </w:tbl>
    <w:p>
      <w:r>
        <w:rPr>
          <w:rFonts w:ascii="DejaVu Serif" w:hAnsi="DejaVu Serif" w:eastAsia="DejaVu Serif"/>
          <w:sz w:val="21"/>
        </w:rPr>
        <w:t>Композиция частична. Наличие наблюдения не гарантирует записи; запись не гарантирует модели; модель не гарантирует объяснения; объяснение не гарантирует проверки; проверка не гарантирует этически допустимого применения. На каждой стадии возможен корректный отрицательный результат: блокер, неопределённость, конкурирующие модели или ABSTAIN.</w:t>
      </w:r>
    </w:p>
    <w:tbl>
      <w:tblPr>
        <w:tblStyle w:val="TableGrid"/>
        <w:tblW w:type="auto" w:w="0"/>
        <w:jc w:val="center"/>
        <w:tblLayout w:type="fixed"/>
        <w:tblLook w:firstColumn="1" w:firstRow="1" w:lastColumn="0" w:lastRow="0" w:noHBand="0" w:noVBand="1" w:val="04A0"/>
      </w:tblPr>
      <w:tblGrid>
        <w:gridCol w:w="9865"/>
      </w:tblGrid>
      <w:tr>
        <w:tc>
          <w:tcPr>
            <w:tcW w:type="dxa" w:w="9720"/>
            <w:tcMar>
              <w:top w:w="90" w:type="dxa"/>
              <w:start w:w="100" w:type="dxa"/>
              <w:bottom w:w="90" w:type="dxa"/>
              <w:end w:w="100" w:type="dxa"/>
            </w:tcMar>
            <w:shd w:fill="EDF6F0"/>
            <w:vAlign w:val="center"/>
          </w:tcPr>
          <w:p>
            <w:r>
              <w:rPr>
                <w:rFonts w:ascii="DejaVu Serif" w:hAnsi="DejaVu Serif" w:eastAsia="DejaVu Serif"/>
                <w:b/>
                <w:color w:val="1F416A"/>
                <w:sz w:val="20"/>
              </w:rPr>
              <w:t>РЕЗУЛЬТАТ ГЛАВЫ 23.</w:t>
            </w:r>
            <w:r>
              <w:rPr>
                <w:rFonts w:ascii="DejaVu Serif" w:hAnsi="DejaVu Serif" w:eastAsia="DejaVu Serif"/>
                <w:sz w:val="20"/>
              </w:rPr>
              <w:t xml:space="preserve"> Философия естествознания KLT понимает науку как дисциплинированный переход от сопротивляющегося мира к публично проверяемому и ограниченному тезису. Человек включён в этот переход телом, языком, действием и ответственностью; именно поэтому научная объективность требует не устранения человека, а явной типизации его роли.</w:t>
            </w:r>
          </w:p>
        </w:tc>
      </w:tr>
    </w:tbl>
    <w:p>
      <w:r>
        <w:br w:type="page"/>
      </w:r>
    </w:p>
    <w:p>
      <w:pPr>
        <w:pStyle w:val="Heading1"/>
      </w:pPr>
      <w:r>
        <w:t>Глава 24. End-to-end антропологический оператор, publication gate и переход к Тому V</w:t>
      </w:r>
    </w:p>
    <w:tbl>
      <w:tblPr>
        <w:tblStyle w:val="TableGrid"/>
        <w:tblW w:type="auto" w:w="0"/>
        <w:jc w:val="center"/>
        <w:tblLayout w:type="fixed"/>
        <w:tblLook w:firstColumn="1" w:firstRow="1" w:lastColumn="0" w:lastRow="0" w:noHBand="0" w:noVBand="1" w:val="04A0"/>
      </w:tblPr>
      <w:tblGrid>
        <w:gridCol w:w="9865"/>
      </w:tblGrid>
      <w:tr>
        <w:tc>
          <w:tcPr>
            <w:tcW w:type="dxa" w:w="9720"/>
            <w:tcMar>
              <w:top w:w="90" w:type="dxa"/>
              <w:start w:w="100" w:type="dxa"/>
              <w:bottom w:w="90" w:type="dxa"/>
              <w:end w:w="100" w:type="dxa"/>
            </w:tcMar>
            <w:shd w:fill="FFF8E8"/>
            <w:vAlign w:val="center"/>
          </w:tcPr>
          <w:p>
            <w:r>
              <w:rPr>
                <w:rFonts w:ascii="DejaVu Serif" w:hAnsi="DejaVu Serif" w:eastAsia="DejaVu Serif"/>
                <w:b/>
                <w:color w:val="1F416A"/>
                <w:sz w:val="20"/>
              </w:rPr>
              <w:t>ФИЛОСОФСКИЙ ПРОЛОГ ГЛАВЫ 24.</w:t>
            </w:r>
            <w:r>
              <w:rPr>
                <w:rFonts w:ascii="DejaVu Serif" w:hAnsi="DejaVu Serif" w:eastAsia="DejaVu Serif"/>
                <w:sz w:val="20"/>
              </w:rPr>
              <w:t xml:space="preserve"> Знание становится человеческим поступком в тот момент, когда оно выходит из частного сознания, входит в документ, программу, институт или решение и начинает менять судьбы других. Поэтому завершение Тома IV должно связать математическую корректность с возможностью возражения, ответственностью и границей делегирования машине.</w:t>
            </w:r>
          </w:p>
        </w:tc>
      </w:tr>
    </w:tbl>
    <w:p>
      <w:pPr>
        <w:pStyle w:val="Heading2"/>
      </w:pPr>
      <w:r>
        <w:t>24.1. Полный вход антропологического оператора</w:t>
      </w:r>
    </w:p>
    <w:p>
      <w:r>
        <w:rPr>
          <w:rFonts w:ascii="DejaVu Serif" w:hAnsi="DejaVu Serif" w:eastAsia="DejaVu Serif"/>
          <w:sz w:val="21"/>
        </w:rPr>
        <w:t>Входом не может быть обезличенная строка данных. Для антропологического вывода требуется как минимум событие@состояние, телесный и приборный контекст, язык, версия памяти, отношение к Другому, достаточное основание, домен, provenance и статус. Отсутствие любого обязательного компонента не заполняется «разумным предположением» молча: оно становится именованным блокером.</w:t>
      </w:r>
    </w:p>
    <w:tbl>
      <w:tblPr>
        <w:tblStyle w:val="TableGrid"/>
        <w:tblW w:type="auto" w:w="0"/>
        <w:jc w:val="center"/>
        <w:tblLayout w:type="fixed"/>
        <w:tblLook w:firstColumn="1" w:firstRow="1" w:lastColumn="0" w:lastRow="0" w:noHBand="0" w:noVBand="1" w:val="04A0"/>
      </w:tblPr>
      <w:tblGrid>
        <w:gridCol w:w="4932"/>
        <w:gridCol w:w="4932"/>
      </w:tblGrid>
      <w:t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X_h = (C@C, Body, Instrument, Horizon, Language, Memory, Other, D, Dom, Prov, Consent, σ)</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T4-F221</w:t>
              <w:br/>
              <w:t>INPUT TYPE</w:t>
            </w:r>
          </w:p>
        </w:tc>
      </w:tr>
    </w:tbl>
    <w:p>
      <w:pPr>
        <w:pStyle w:val="Heading2"/>
      </w:pPr>
      <w:r>
        <w:t>24.2. Определение end-to-end оператора</w:t>
      </w:r>
    </w:p>
    <w:tbl>
      <w:tblPr>
        <w:tblStyle w:val="TableGrid"/>
        <w:tblW w:type="auto" w:w="0"/>
        <w:jc w:val="center"/>
        <w:tblLayout w:type="fixed"/>
        <w:tblLook w:firstColumn="1" w:firstRow="1" w:lastColumn="0" w:lastRow="0" w:noHBand="0" w:noVBand="1" w:val="04A0"/>
      </w:tblPr>
      <w:tblGrid>
        <w:gridCol w:w="4932"/>
        <w:gridCol w:w="4932"/>
      </w:tblGrid>
      <w:t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𝔄_KLT : X_h ⇀ ℘(Y_h × Certificate_h) ∪ {ABSTAIN(blocker)}</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T4-F222</w:t>
              <w:br/>
              <w:t>PARTIAL OPERATOR</w:t>
            </w:r>
          </w:p>
        </w:tc>
      </w:tr>
    </w:tbl>
    <w:tbl>
      <w:tblPr>
        <w:tblStyle w:val="TableGrid"/>
        <w:tblW w:type="auto" w:w="0"/>
        <w:jc w:val="center"/>
        <w:tblLayout w:type="fixed"/>
        <w:tblLook w:firstColumn="1" w:firstRow="1" w:lastColumn="0" w:lastRow="0" w:noHBand="0" w:noVBand="1" w:val="04A0"/>
      </w:tblPr>
      <w:tblGrid>
        <w:gridCol w:w="4932"/>
        <w:gridCol w:w="4932"/>
      </w:tblGrid>
      <w:t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𝔄_KLT = DecisionGate ∘ RespGate ∘ CandidateGate ∘ Audit_{λ,CGI} ∘ D/DomGate ∘ HumanRBuild ∘ Memory ∘ Language ∘ Orientation ∘ Intake</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T4-F223</w:t>
              <w:br/>
              <w:t>ARCH</w:t>
            </w:r>
          </w:p>
        </w:tc>
      </w:tr>
    </w:tbl>
    <w:p>
      <w:r>
        <w:rPr>
          <w:rFonts w:ascii="DejaVu Serif" w:hAnsi="DejaVu Serif" w:eastAsia="DejaVu Serif"/>
          <w:sz w:val="21"/>
        </w:rPr>
        <w:t>Выход является множеством кандидатов, а не обязательным единственным числом. Сертификат хранит использованные источники, версии, предпосылки, остатки редукции и открытые блокеры. Если система выдаёт рекомендацию, но не может показать путь от исходного события к рекомендации, она нарушает контракт Тома IV.</w:t>
      </w:r>
    </w:p>
    <w:p>
      <w:pPr>
        <w:jc w:val="center"/>
      </w:pPr>
      <w:r>
        <w:drawing>
          <wp:inline xmlns:a="http://schemas.openxmlformats.org/drawingml/2006/main" xmlns:pic="http://schemas.openxmlformats.org/drawingml/2006/picture">
            <wp:extent cx="5897880" cy="3189224"/>
            <wp:docPr id="29" name="Picture 29" descr="Десять стадий от события@состояния через тело, язык, память, Human_R, D/Dom и аудит к кандидатам, ответственности и решению; в любой точке возможен ABSTAIN." title="Рисунок 24.1. End-to-end антропологический оператор KLT-RBD."/>
            <wp:cNvGraphicFramePr>
              <a:graphicFrameLocks noChangeAspect="1"/>
            </wp:cNvGraphicFramePr>
            <a:graphic>
              <a:graphicData uri="http://schemas.openxmlformats.org/drawingml/2006/picture">
                <pic:pic>
                  <pic:nvPicPr>
                    <pic:cNvPr id="0" name="fig_24_1_e2e_operator.png"/>
                    <pic:cNvPicPr/>
                  </pic:nvPicPr>
                  <pic:blipFill>
                    <a:blip r:embed="rId43"/>
                    <a:stretch>
                      <a:fillRect/>
                    </a:stretch>
                  </pic:blipFill>
                  <pic:spPr>
                    <a:xfrm>
                      <a:off x="0" y="0"/>
                      <a:ext cx="5897880" cy="3189224"/>
                    </a:xfrm>
                    <a:prstGeom prst="rect"/>
                  </pic:spPr>
                </pic:pic>
              </a:graphicData>
            </a:graphic>
          </wp:inline>
        </w:drawing>
      </w:r>
    </w:p>
    <w:p>
      <w:pPr>
        <w:pStyle w:val="Caption"/>
        <w:jc w:val="center"/>
      </w:pPr>
      <w:r>
        <w:rPr>
          <w:rFonts w:ascii="DejaVu Serif" w:hAnsi="DejaVu Serif" w:eastAsia="DejaVu Serif"/>
          <w:b/>
          <w:sz w:val="18"/>
        </w:rPr>
        <w:t>Рисунок 24.1. End-to-end антропологический оператор KLT-RBD.</w:t>
      </w:r>
    </w:p>
    <w:p>
      <w:pPr>
        <w:pStyle w:val="Heading2"/>
      </w:pPr>
      <w:r>
        <w:t>24.3. Теорема слабейшего звена</w:t>
      </w:r>
    </w:p>
    <w:p>
      <w:r>
        <w:rPr>
          <w:rFonts w:ascii="DejaVu Serif" w:hAnsi="DejaVu Serif" w:eastAsia="DejaVu Serif"/>
          <w:sz w:val="21"/>
        </w:rPr>
        <w:t>Пусть каждый модуль частичной композиции переносит статус монотонно и не повышает его без отдельного сертификата. Тогда итоговый статус не превосходит infimum обязательных промежуточных статусов. Доказательство следует индукцией по длине композиции: первый модуль не повышает вход; каждый следующий не повышает результат предыдущего; следовательно, выход ограничен слабейшим обязательным звеном.</w:t>
      </w:r>
    </w:p>
    <w:tbl>
      <w:tblPr>
        <w:tblStyle w:val="TableGrid"/>
        <w:tblW w:type="auto" w:w="0"/>
        <w:jc w:val="center"/>
        <w:tblLayout w:type="fixed"/>
        <w:tblLook w:firstColumn="1" w:firstRow="1" w:lastColumn="0" w:lastRow="0" w:noHBand="0" w:noVBand="1" w:val="04A0"/>
      </w:tblPr>
      <w:tblGrid>
        <w:gridCol w:w="4932"/>
        <w:gridCol w:w="4932"/>
      </w:tblGrid>
      <w:t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σ_out ⪯ ⋀_{i∈RequiredPath} σ_i</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T4-F224</w:t>
              <w:br/>
              <w:t>THM-FORMAL</w:t>
            </w:r>
          </w:p>
        </w:tc>
      </w:tr>
    </w:tbl>
    <w:p>
      <w:r>
        <w:rPr>
          <w:rFonts w:ascii="DejaVu Serif" w:hAnsi="DejaVu Serif" w:eastAsia="DejaVu Serif"/>
          <w:sz w:val="21"/>
        </w:rPr>
        <w:t>Теорема является формальной и не зависит от предметной области. Но выбор частичного порядка статусов и обязательного пути является доменным решением. Нельзя сравнивать, например, этическую приемлемость и численную точность одним универсальным порядком; при несравнимости сохраняется вектор, а не скаляр.</w:t>
      </w:r>
    </w:p>
    <w:p>
      <w:pPr>
        <w:pStyle w:val="Heading2"/>
      </w:pPr>
      <w:r>
        <w:t>24.4. Неустранимый человеческий остаток</w:t>
      </w:r>
    </w:p>
    <w:p>
      <w:r>
        <w:rPr>
          <w:rFonts w:ascii="DejaVu Serif" w:hAnsi="DejaVu Serif" w:eastAsia="DejaVu Serif"/>
          <w:sz w:val="21"/>
        </w:rPr>
        <w:t>Машина может хранить и сравнивать отношения, если они представлены в схеме. Она не получает автоматически отношения, которые кодирование не сохранило. Поэтому человеческий остаток определяется не романтическим отрицанием вычисления, а точным множеством неперенесённых отношений.</w:t>
      </w:r>
    </w:p>
    <w:tbl>
      <w:tblPr>
        <w:tblStyle w:val="TableGrid"/>
        <w:tblW w:type="auto" w:w="0"/>
        <w:jc w:val="center"/>
        <w:tblLayout w:type="fixed"/>
        <w:tblLook w:firstColumn="1" w:firstRow="1" w:lastColumn="0" w:lastRow="0" w:noHBand="0" w:noVBand="1" w:val="04A0"/>
      </w:tblPr>
      <w:tblGrid>
        <w:gridCol w:w="4932"/>
        <w:gridCol w:w="4932"/>
      </w:tblGrid>
      <w:t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Res_h(Enc,x) = { r ∈ Rel(Human_R(x)) | ¬Preserved_Enc(r) }</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T4-F225</w:t>
              <w:br/>
              <w:t>DEF</w:t>
            </w:r>
          </w:p>
        </w:tc>
      </w:tr>
    </w:tbl>
    <w:p>
      <w:r>
        <w:rPr>
          <w:rFonts w:ascii="DejaVu Serif" w:hAnsi="DejaVu Serif" w:eastAsia="DejaVu Serif"/>
          <w:sz w:val="21"/>
        </w:rPr>
        <w:t>Если Enc неинъективно, два различных прожитых состояния могут иметь одну запись. Тогда никакой оператор, использующий только эту запись, не способен различить их без внешнего основания. Это формальная причина, по которой база не может заменить свидетельство, контекст и ответственное суждение.</w:t>
      </w:r>
    </w:p>
    <w:p>
      <w:pPr>
        <w:pStyle w:val="Heading2"/>
      </w:pPr>
      <w:r>
        <w:t>24.5. Непередаваемые без остатка функции субъекта</w:t>
      </w:r>
    </w:p>
    <w:p>
      <w:r>
        <w:rPr>
          <w:rFonts w:ascii="DejaVu Serif" w:hAnsi="DejaVu Serif" w:eastAsia="DejaVu Serif"/>
          <w:sz w:val="21"/>
        </w:rPr>
        <w:t>В данной архитектуре выделяется нормативное множество функций, которые нельзя считать делегированными одной лишь установкой программы: постановка конечной цели, согласие на использование данных, разрешение конфликта ценностей, окончательная атрибуция ответственности, решение о допустимом риске и право остановить процедуру. Институт может распределять эти функции, но распределение должно быть явным и оспоримым.</w:t>
      </w:r>
    </w:p>
    <w:tbl>
      <w:tblPr>
        <w:tblStyle w:val="TableGrid"/>
        <w:tblW w:type="auto" w:w="0"/>
        <w:jc w:val="center"/>
        <w:tblLayout w:type="fixed"/>
        <w:tblLook w:firstColumn="1" w:firstRow="1" w:lastColumn="0" w:lastRow="0" w:noHBand="0" w:noVBand="1" w:val="04A0"/>
      </w:tblPr>
      <w:tblGrid>
        <w:gridCol w:w="4932"/>
        <w:gridCol w:w="4932"/>
      </w:tblGrid>
      <w:t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ND_h = {goal-setting, consent, value-conflict, final-attribution, risk-acceptance, override}</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T4-F226</w:t>
              <w:br/>
              <w:t>NORMATIVE SET</w:t>
            </w:r>
          </w:p>
        </w:tc>
      </w:tr>
    </w:tbl>
    <w:tbl>
      <w:tblPr>
        <w:tblStyle w:val="TableGrid"/>
        <w:tblW w:type="auto" w:w="0"/>
        <w:jc w:val="center"/>
        <w:tblLayout w:type="fixed"/>
        <w:tblLook w:firstColumn="1" w:firstRow="1" w:lastColumn="0" w:lastRow="0" w:noHBand="0" w:noVBand="1" w:val="04A0"/>
      </w:tblPr>
      <w:tblGrid>
        <w:gridCol w:w="9865"/>
      </w:tblGrid>
      <w:tr>
        <w:tc>
          <w:tcPr>
            <w:tcW w:type="dxa" w:w="9720"/>
            <w:tcMar>
              <w:top w:w="90" w:type="dxa"/>
              <w:start w:w="100" w:type="dxa"/>
              <w:bottom w:w="90" w:type="dxa"/>
              <w:end w:w="100" w:type="dxa"/>
            </w:tcMar>
            <w:shd w:fill="FFF1EF"/>
            <w:vAlign w:val="center"/>
          </w:tcPr>
          <w:p>
            <w:r>
              <w:rPr>
                <w:rFonts w:ascii="DejaVu Serif" w:hAnsi="DejaVu Serif" w:eastAsia="DejaVu Serif"/>
                <w:b/>
                <w:color w:val="1F416A"/>
                <w:sz w:val="20"/>
              </w:rPr>
              <w:t>АНТРОПОЛОГИЧЕСКИЙ FIREWALL.</w:t>
            </w:r>
            <w:r>
              <w:rPr>
                <w:rFonts w:ascii="DejaVu Serif" w:hAnsi="DejaVu Serif" w:eastAsia="DejaVu Serif"/>
                <w:sz w:val="20"/>
              </w:rPr>
              <w:t xml:space="preserve"> Автоматизация операции не означает автоматической передачи ответственности. Всякий downstream-вывод должен иметь карту: кто поставил цель, кто допустил данные, кто может возразить, кто уполномочен принять решение и кто несёт последствия.</w:t>
            </w:r>
          </w:p>
        </w:tc>
      </w:tr>
    </w:tbl>
    <w:p>
      <w:pPr>
        <w:pStyle w:val="Heading2"/>
      </w:pPr>
      <w:r>
        <w:t>24.6. Publication gate</w:t>
      </w:r>
    </w:p>
    <w:tbl>
      <w:tblPr>
        <w:tblStyle w:val="TableGrid"/>
        <w:tblW w:type="auto" w:w="0"/>
        <w:jc w:val="center"/>
        <w:tblLayout w:type="fixed"/>
        <w:tblLook w:firstColumn="1" w:firstRow="1" w:lastColumn="0" w:lastRow="0" w:noHBand="0" w:noVBand="1" w:val="04A0"/>
      </w:tblPr>
      <w:tblGrid>
        <w:gridCol w:w="4932"/>
        <w:gridCol w:w="4932"/>
      </w:tblGrid>
      <w:t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Gate_pub = TYPE ∧ DOM ∧ D ∧ PROOF ∧ PROV ∧ REPRO ∧ ETHICS ∧ STATUS</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T4-F227</w:t>
              <w:br/>
              <w:t>DEF</w:t>
            </w:r>
          </w:p>
        </w:tc>
      </w:tr>
    </w:tbl>
    <w:tbl>
      <w:tblPr>
        <w:tblStyle w:val="TableGrid"/>
        <w:tblW w:type="auto" w:w="0"/>
        <w:jc w:val="center"/>
        <w:tblLayout w:type="fixed"/>
        <w:tblLook w:firstColumn="1" w:firstRow="1" w:lastColumn="0" w:lastRow="0" w:noHBand="0" w:noVBand="1" w:val="04A0"/>
      </w:tblPr>
      <w:tblGrid>
        <w:gridCol w:w="4932"/>
        <w:gridCol w:w="4932"/>
      </w:tblGrid>
      <w:t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Publish(c) ∈ {THEOREM, MODEL/HYPOTHESIS, REVIEW/INTERPRETATION, ABSTAIN/BLOCKER}</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T4-F228</w:t>
              <w:br/>
              <w:t>OUTPUT TYPE</w:t>
            </w:r>
          </w:p>
        </w:tc>
      </w:tr>
    </w:tbl>
    <w:p>
      <w:r>
        <w:rPr>
          <w:rFonts w:ascii="DejaVu Serif" w:hAnsi="DejaVu Serif" w:eastAsia="DejaVu Serif"/>
          <w:sz w:val="21"/>
        </w:rPr>
        <w:t>Publication gate не запрещает публиковать гипотезы, философские интерпретации или отрицательные результаты. Он запрещает публиковать их под чужим статусом. Теорема требует доказательства; модель - явных предпосылок и области; исторический тезис - источника; антропологическая интерпретация - герменевтической границы; физическая гипотеза - программы независимой проверки; программный результат - воспроизводимого вычислительного сертификата.</w:t>
      </w:r>
    </w:p>
    <w:p>
      <w:pPr>
        <w:jc w:val="center"/>
      </w:pPr>
      <w:r>
        <w:drawing>
          <wp:inline xmlns:a="http://schemas.openxmlformats.org/drawingml/2006/main" xmlns:pic="http://schemas.openxmlformats.org/drawingml/2006/picture">
            <wp:extent cx="5897880" cy="2696612"/>
            <wp:docPr id="30" name="Picture 30" descr="Тезис проходит gates TYPE, DOM, D, PROOF, PROV, REPRO, ETHICS и STATUS и получает выход: теорема, модель/гипотеза или ABSTAIN/blocker." title="Рисунок 24.2. Publication gate и три разрешённых выхода."/>
            <wp:cNvGraphicFramePr>
              <a:graphicFrameLocks noChangeAspect="1"/>
            </wp:cNvGraphicFramePr>
            <a:graphic>
              <a:graphicData uri="http://schemas.openxmlformats.org/drawingml/2006/picture">
                <pic:pic>
                  <pic:nvPicPr>
                    <pic:cNvPr id="0" name="fig_24_2_publication_gate.png"/>
                    <pic:cNvPicPr/>
                  </pic:nvPicPr>
                  <pic:blipFill>
                    <a:blip r:embed="rId44"/>
                    <a:stretch>
                      <a:fillRect/>
                    </a:stretch>
                  </pic:blipFill>
                  <pic:spPr>
                    <a:xfrm>
                      <a:off x="0" y="0"/>
                      <a:ext cx="5897880" cy="2696612"/>
                    </a:xfrm>
                    <a:prstGeom prst="rect"/>
                  </pic:spPr>
                </pic:pic>
              </a:graphicData>
            </a:graphic>
          </wp:inline>
        </w:drawing>
      </w:r>
    </w:p>
    <w:p>
      <w:pPr>
        <w:pStyle w:val="Caption"/>
        <w:jc w:val="center"/>
      </w:pPr>
      <w:r>
        <w:rPr>
          <w:rFonts w:ascii="DejaVu Serif" w:hAnsi="DejaVu Serif" w:eastAsia="DejaVu Serif"/>
          <w:b/>
          <w:sz w:val="18"/>
        </w:rPr>
        <w:t>Рисунок 24.2. Publication gate и три разрешённых выхода.</w:t>
      </w:r>
    </w:p>
    <w:p>
      <w:pPr>
        <w:pStyle w:val="Heading2"/>
      </w:pPr>
      <w:r>
        <w:t>24.7. Принцип антропологической полноты</w:t>
      </w:r>
    </w:p>
    <w:p>
      <w:r>
        <w:rPr>
          <w:rFonts w:ascii="DejaVu Serif" w:hAnsi="DejaVu Serif" w:eastAsia="DejaVu Serif"/>
          <w:sz w:val="21"/>
        </w:rPr>
        <w:t>Формальная корректность необходима, но для решений, затрагивающих человека, недостаточна. Полным в антропологическом смысле называется только тот pipeline, который наряду с корректностью содержит карту последствий, возможность возражения и исправления, а также именованного ответственного субъекта.</w:t>
      </w:r>
    </w:p>
    <w:tbl>
      <w:tblPr>
        <w:tblStyle w:val="TableGrid"/>
        <w:tblW w:type="auto" w:w="0"/>
        <w:jc w:val="center"/>
        <w:tblLayout w:type="fixed"/>
        <w:tblLook w:firstColumn="1" w:firstRow="1" w:lastColumn="0" w:lastRow="0" w:noHBand="0" w:noVBand="1" w:val="04A0"/>
      </w:tblPr>
      <w:tblGrid>
        <w:gridCol w:w="4932"/>
        <w:gridCol w:w="4932"/>
      </w:tblGrid>
      <w:t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Complete_h(P) ⇔ Sound(P) ∧ ConsequenceMap(P) ∧ Contestable(P) ∧ Responsible(P)</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T4-F229</w:t>
              <w:br/>
              <w:t>NORMATIVE AXIOM</w:t>
            </w:r>
          </w:p>
        </w:tc>
      </w:tr>
    </w:tbl>
    <w:tbl>
      <w:tblPr>
        <w:tblStyle w:val="TableGrid"/>
        <w:tblW w:type="auto" w:w="0"/>
        <w:jc w:val="center"/>
        <w:tblLayout w:type="fixed"/>
        <w:tblLook w:firstColumn="1" w:firstRow="1" w:lastColumn="0" w:lastRow="0" w:noHBand="0" w:noVBand="1" w:val="04A0"/>
      </w:tblPr>
      <w:tblGrid>
        <w:gridCol w:w="4932"/>
        <w:gridCol w:w="4932"/>
      </w:tblGrid>
      <w:t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Contest(x) ⇒ create Version(x′) ∧ preserve Source(x) ∧ link(x′,x,reason)</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T4-F230</w:t>
              <w:br/>
              <w:t>VERSIONING RULE</w:t>
            </w:r>
          </w:p>
        </w:tc>
      </w:tr>
    </w:tbl>
    <w:p>
      <w:r>
        <w:rPr>
          <w:rFonts w:ascii="DejaVu Serif" w:hAnsi="DejaVu Serif" w:eastAsia="DejaVu Serif"/>
          <w:sz w:val="21"/>
        </w:rPr>
        <w:t>Эта аксиома не является универсальной теоремой этики. Она фиксирует редакционное и программное правило проекта KLT-RBD. В частности, человек получает не право переписывать исходник без следа, а право породить новую версию, приложить возражение и потребовать пересмотра статуса.</w:t>
      </w:r>
    </w:p>
    <w:p>
      <w:pPr>
        <w:pStyle w:val="Heading2"/>
      </w:pPr>
      <w:r>
        <w:t>24.8. Нескалярный статус публикации</w:t>
      </w:r>
    </w:p>
    <w:tbl>
      <w:tblPr>
        <w:tblStyle w:val="TableGrid"/>
        <w:tblW w:type="auto" w:w="0"/>
        <w:jc w:val="center"/>
        <w:tblLayout w:type="fixed"/>
        <w:tblLook w:firstColumn="1" w:firstRow="1" w:lastColumn="0" w:lastRow="0" w:noHBand="0" w:noVBand="1" w:val="04A0"/>
      </w:tblPr>
      <w:tblGrid>
        <w:gridCol w:w="4932"/>
        <w:gridCol w:w="4932"/>
      </w:tblGrid>
      <w:t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σ_pub = (formal, mathematical, numerical, empirical, historical, hermeneutic, ethical, legal, reproducible)</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T4-F231</w:t>
              <w:br/>
              <w:t>STATUS VECTOR</w:t>
            </w:r>
          </w:p>
        </w:tc>
      </w:tr>
    </w:tbl>
    <w:tbl>
      <w:tblPr>
        <w:tblStyle w:val="TableGrid"/>
        <w:tblW w:type="auto" w:w="0"/>
        <w:jc w:val="center"/>
        <w:tblLayout w:type="fixed"/>
        <w:tblLook w:firstColumn="1" w:firstRow="1" w:lastColumn="0" w:lastRow="0" w:noHBand="0" w:noVBand="1" w:val="04A0"/>
      </w:tblPr>
      <w:tblGrid>
        <w:gridCol w:w="4932"/>
        <w:gridCol w:w="4932"/>
      </w:tblGrid>
      <w:t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THEOREM_pub(c) ⇔ Gate_pub(c)=1 ∧ formal≥THM ∧ proof=verified</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T4-F232</w:t>
              <w:br/>
              <w:t>COND</w:t>
            </w:r>
          </w:p>
        </w:tc>
      </w:tr>
    </w:tbl>
    <w:tbl>
      <w:tblPr>
        <w:tblStyle w:val="TableGrid"/>
        <w:tblW w:type="auto" w:w="0"/>
        <w:jc w:val="center"/>
        <w:tblLayout w:type="fixed"/>
        <w:tblLook w:firstColumn="1" w:firstRow="1" w:lastColumn="0" w:lastRow="0" w:noHBand="0" w:noVBand="1" w:val="04A0"/>
      </w:tblPr>
      <w:tblGrid>
        <w:gridCol w:w="4932"/>
        <w:gridCol w:w="4932"/>
      </w:tblGrid>
      <w:t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MODEL_pub(c) ⇔ assumptions, Dom, calibration, limitations and validation-plan are explicit</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T4-F233</w:t>
              <w:br/>
              <w:t>COND</w:t>
            </w:r>
          </w:p>
        </w:tc>
      </w:tr>
    </w:tbl>
    <w:tbl>
      <w:tblPr>
        <w:tblStyle w:val="TableGrid"/>
        <w:tblW w:type="auto" w:w="0"/>
        <w:jc w:val="center"/>
        <w:tblLayout w:type="fixed"/>
        <w:tblLook w:firstColumn="1" w:firstRow="1" w:lastColumn="0" w:lastRow="0" w:noHBand="0" w:noVBand="1" w:val="04A0"/>
      </w:tblPr>
      <w:tblGrid>
        <w:gridCol w:w="4932"/>
        <w:gridCol w:w="4932"/>
      </w:tblGrid>
      <w:t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ABSTAIN_pub(c) ⇔ ∃ mandatory gate g : g(c)=OPEN or FAILED</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T4-F234</w:t>
              <w:br/>
              <w:t>DEF</w:t>
            </w:r>
          </w:p>
        </w:tc>
      </w:tr>
    </w:tbl>
    <w:tbl>
      <w:tblPr>
        <w:tblStyle w:val="TableGrid"/>
        <w:tblW w:type="auto" w:w="0"/>
        <w:jc w:val="center"/>
        <w:tblLayout w:type="fixed"/>
        <w:tblLook w:firstColumn="1" w:firstRow="1" w:lastColumn="0" w:lastRow="0" w:noHBand="0" w:noVBand="1" w:val="04A0"/>
      </w:tblPr>
      <w:tblGrid>
        <w:gridCol w:w="3288"/>
        <w:gridCol w:w="3288"/>
        <w:gridCol w:w="3288"/>
      </w:tblGrid>
      <w:tr>
        <w:trPr>
          <w:tblHeader w:val="true"/>
        </w:trPr>
        <w:tc>
          <w:tcPr>
            <w:tcW w:type="dxa" w:w="1800"/>
            <w:tcMar>
              <w:top w:w="90" w:type="dxa"/>
              <w:start w:w="100" w:type="dxa"/>
              <w:bottom w:w="90" w:type="dxa"/>
              <w:end w:w="100" w:type="dxa"/>
            </w:tcMar>
            <w:vAlign w:val="center"/>
            <w:shd w:fill="1F416A"/>
          </w:tcPr>
          <w:p>
            <w:pPr>
              <w:jc w:val="center"/>
            </w:pPr>
            <w:r>
              <w:rPr>
                <w:rFonts w:ascii="DejaVu Serif" w:hAnsi="DejaVu Serif" w:eastAsia="DejaVu Serif"/>
                <w:b/>
                <w:color w:val="FFFFFF"/>
                <w:sz w:val="15"/>
              </w:rPr>
              <w:t>Канал</w:t>
            </w:r>
          </w:p>
        </w:tc>
        <w:tc>
          <w:tcPr>
            <w:tcW w:type="dxa" w:w="3671"/>
            <w:tcMar>
              <w:top w:w="90" w:type="dxa"/>
              <w:start w:w="100" w:type="dxa"/>
              <w:bottom w:w="90" w:type="dxa"/>
              <w:end w:w="100" w:type="dxa"/>
            </w:tcMar>
            <w:vAlign w:val="center"/>
            <w:shd w:fill="1F416A"/>
          </w:tcPr>
          <w:p>
            <w:pPr>
              <w:jc w:val="center"/>
            </w:pPr>
            <w:r>
              <w:rPr>
                <w:rFonts w:ascii="DejaVu Serif" w:hAnsi="DejaVu Serif" w:eastAsia="DejaVu Serif"/>
                <w:b/>
                <w:color w:val="FFFFFF"/>
                <w:sz w:val="15"/>
              </w:rPr>
              <w:t>Примеры статусов</w:t>
            </w:r>
          </w:p>
        </w:tc>
        <w:tc>
          <w:tcPr>
            <w:tcW w:type="dxa" w:w="4320"/>
            <w:tcMar>
              <w:top w:w="90" w:type="dxa"/>
              <w:start w:w="100" w:type="dxa"/>
              <w:bottom w:w="90" w:type="dxa"/>
              <w:end w:w="100" w:type="dxa"/>
            </w:tcMar>
            <w:vAlign w:val="center"/>
            <w:shd w:fill="1F416A"/>
          </w:tcPr>
          <w:p>
            <w:pPr>
              <w:jc w:val="center"/>
            </w:pPr>
            <w:r>
              <w:rPr>
                <w:rFonts w:ascii="DejaVu Serif" w:hAnsi="DejaVu Serif" w:eastAsia="DejaVu Serif"/>
                <w:b/>
                <w:color w:val="FFFFFF"/>
                <w:sz w:val="15"/>
              </w:rPr>
              <w:t>Что он не заменяет</w:t>
            </w:r>
          </w:p>
        </w:tc>
      </w:tr>
      <w:t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Формальный</w:t>
            </w:r>
          </w:p>
        </w:tc>
        <w:tc>
          <w:tcPr>
            <w:tcW w:type="dxa" w:w="3671"/>
            <w:tcMar>
              <w:top w:w="90" w:type="dxa"/>
              <w:start w:w="100" w:type="dxa"/>
              <w:bottom w:w="90" w:type="dxa"/>
              <w:end w:w="100" w:type="dxa"/>
            </w:tcMar>
            <w:vAlign w:val="center"/>
            <w:shd w:fill="F4F6F9"/>
          </w:tcPr>
          <w:p>
            <w:pPr>
              <w:jc w:val="left"/>
            </w:pPr>
            <w:r>
              <w:rPr>
                <w:rFonts w:ascii="DejaVu Serif" w:hAnsi="DejaVu Serif" w:eastAsia="DejaVu Serif"/>
                <w:b w:val="0"/>
                <w:sz w:val="15"/>
              </w:rPr>
              <w:t>DEF / AXIOM / PROP / THM-FORMAL</w:t>
            </w:r>
          </w:p>
        </w:tc>
        <w:tc>
          <w:tcPr>
            <w:tcW w:type="dxa" w:w="4320"/>
            <w:tcMar>
              <w:top w:w="90" w:type="dxa"/>
              <w:start w:w="100" w:type="dxa"/>
              <w:bottom w:w="90" w:type="dxa"/>
              <w:end w:w="100" w:type="dxa"/>
            </w:tcMar>
            <w:vAlign w:val="center"/>
            <w:shd w:fill="F4F6F9"/>
          </w:tcPr>
          <w:p>
            <w:pPr>
              <w:jc w:val="left"/>
            </w:pPr>
            <w:r>
              <w:rPr>
                <w:rFonts w:ascii="DejaVu Serif" w:hAnsi="DejaVu Serif" w:eastAsia="DejaVu Serif"/>
                <w:b w:val="0"/>
                <w:sz w:val="15"/>
              </w:rPr>
              <w:t>Эмпирическую истинность.</w:t>
            </w:r>
          </w:p>
        </w:tc>
      </w:tr>
      <w:t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Математический</w:t>
            </w:r>
          </w:p>
        </w:tc>
        <w:tc>
          <w:tcPr>
            <w:tcW w:type="dxa" w:w="3671"/>
            <w:tcMar>
              <w:top w:w="90" w:type="dxa"/>
              <w:start w:w="100" w:type="dxa"/>
              <w:bottom w:w="90" w:type="dxa"/>
              <w:end w:w="100" w:type="dxa"/>
            </w:tcMar>
            <w:vAlign w:val="center"/>
          </w:tcPr>
          <w:p>
            <w:pPr>
              <w:jc w:val="left"/>
            </w:pPr>
            <w:r>
              <w:rPr>
                <w:rFonts w:ascii="DejaVu Serif" w:hAnsi="DejaVu Serif" w:eastAsia="DejaVu Serif"/>
                <w:b w:val="0"/>
                <w:sz w:val="15"/>
              </w:rPr>
              <w:t>PROVED / COND / OPEN</w:t>
            </w:r>
          </w:p>
        </w:tc>
        <w:tc>
          <w:tcPr>
            <w:tcW w:type="dxa" w:w="4320"/>
            <w:tcMar>
              <w:top w:w="90" w:type="dxa"/>
              <w:start w:w="100" w:type="dxa"/>
              <w:bottom w:w="90" w:type="dxa"/>
              <w:end w:w="100" w:type="dxa"/>
            </w:tcMar>
            <w:vAlign w:val="center"/>
          </w:tcPr>
          <w:p>
            <w:pPr>
              <w:jc w:val="left"/>
            </w:pPr>
            <w:r>
              <w:rPr>
                <w:rFonts w:ascii="DejaVu Serif" w:hAnsi="DejaVu Serif" w:eastAsia="DejaVu Serif"/>
                <w:b w:val="0"/>
                <w:sz w:val="15"/>
              </w:rPr>
              <w:t>Физическую реализацию.</w:t>
            </w:r>
          </w:p>
        </w:tc>
      </w:tr>
      <w:t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Вычислительный</w:t>
            </w:r>
          </w:p>
        </w:tc>
        <w:tc>
          <w:tcPr>
            <w:tcW w:type="dxa" w:w="3671"/>
            <w:tcMar>
              <w:top w:w="90" w:type="dxa"/>
              <w:start w:w="100" w:type="dxa"/>
              <w:bottom w:w="90" w:type="dxa"/>
              <w:end w:w="100" w:type="dxa"/>
            </w:tcMar>
            <w:vAlign w:val="center"/>
            <w:shd w:fill="F4F6F9"/>
          </w:tcPr>
          <w:p>
            <w:pPr>
              <w:jc w:val="left"/>
            </w:pPr>
            <w:r>
              <w:rPr>
                <w:rFonts w:ascii="DejaVu Serif" w:hAnsi="DejaVu Serif" w:eastAsia="DejaVu Serif"/>
                <w:b w:val="0"/>
                <w:sz w:val="15"/>
              </w:rPr>
              <w:t>NUM / REPRODUCED / DIVERGED</w:t>
            </w:r>
          </w:p>
        </w:tc>
        <w:tc>
          <w:tcPr>
            <w:tcW w:type="dxa" w:w="4320"/>
            <w:tcMar>
              <w:top w:w="90" w:type="dxa"/>
              <w:start w:w="100" w:type="dxa"/>
              <w:bottom w:w="90" w:type="dxa"/>
              <w:end w:w="100" w:type="dxa"/>
            </w:tcMar>
            <w:vAlign w:val="center"/>
            <w:shd w:fill="F4F6F9"/>
          </w:tcPr>
          <w:p>
            <w:pPr>
              <w:jc w:val="left"/>
            </w:pPr>
            <w:r>
              <w:rPr>
                <w:rFonts w:ascii="DejaVu Serif" w:hAnsi="DejaVu Serif" w:eastAsia="DejaVu Serif"/>
                <w:b w:val="0"/>
                <w:sz w:val="15"/>
              </w:rPr>
              <w:t>Независимый эксперимент.</w:t>
            </w:r>
          </w:p>
        </w:tc>
      </w:tr>
      <w:t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Эмпирический</w:t>
            </w:r>
          </w:p>
        </w:tc>
        <w:tc>
          <w:tcPr>
            <w:tcW w:type="dxa" w:w="3671"/>
            <w:tcMar>
              <w:top w:w="90" w:type="dxa"/>
              <w:start w:w="100" w:type="dxa"/>
              <w:bottom w:w="90" w:type="dxa"/>
              <w:end w:w="100" w:type="dxa"/>
            </w:tcMar>
            <w:vAlign w:val="center"/>
          </w:tcPr>
          <w:p>
            <w:pPr>
              <w:jc w:val="left"/>
            </w:pPr>
            <w:r>
              <w:rPr>
                <w:rFonts w:ascii="DejaVu Serif" w:hAnsi="DejaVu Serif" w:eastAsia="DejaVu Serif"/>
                <w:b w:val="0"/>
                <w:sz w:val="15"/>
              </w:rPr>
              <w:t>EMP-PLAN / EMP-OBS / EXT-RUN</w:t>
            </w:r>
          </w:p>
        </w:tc>
        <w:tc>
          <w:tcPr>
            <w:tcW w:type="dxa" w:w="4320"/>
            <w:tcMar>
              <w:top w:w="90" w:type="dxa"/>
              <w:start w:w="100" w:type="dxa"/>
              <w:bottom w:w="90" w:type="dxa"/>
              <w:end w:w="100" w:type="dxa"/>
            </w:tcMar>
            <w:vAlign w:val="center"/>
          </w:tcPr>
          <w:p>
            <w:pPr>
              <w:jc w:val="left"/>
            </w:pPr>
            <w:r>
              <w:rPr>
                <w:rFonts w:ascii="DejaVu Serif" w:hAnsi="DejaVu Serif" w:eastAsia="DejaVu Serif"/>
                <w:b w:val="0"/>
                <w:sz w:val="15"/>
              </w:rPr>
              <w:t>Философское объяснение смысла.</w:t>
            </w:r>
          </w:p>
        </w:tc>
      </w:tr>
      <w:t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Исторический</w:t>
            </w:r>
          </w:p>
        </w:tc>
        <w:tc>
          <w:tcPr>
            <w:tcW w:type="dxa" w:w="3671"/>
            <w:tcMar>
              <w:top w:w="90" w:type="dxa"/>
              <w:start w:w="100" w:type="dxa"/>
              <w:bottom w:w="90" w:type="dxa"/>
              <w:end w:w="100" w:type="dxa"/>
            </w:tcMar>
            <w:vAlign w:val="center"/>
            <w:shd w:fill="F4F6F9"/>
          </w:tcPr>
          <w:p>
            <w:pPr>
              <w:jc w:val="left"/>
            </w:pPr>
            <w:r>
              <w:rPr>
                <w:rFonts w:ascii="DejaVu Serif" w:hAnsi="DejaVu Serif" w:eastAsia="DejaVu Serif"/>
                <w:b w:val="0"/>
                <w:sz w:val="15"/>
              </w:rPr>
              <w:t>SOURCE-BOUND / HIST-HYP / OPEN</w:t>
            </w:r>
          </w:p>
        </w:tc>
        <w:tc>
          <w:tcPr>
            <w:tcW w:type="dxa" w:w="4320"/>
            <w:tcMar>
              <w:top w:w="90" w:type="dxa"/>
              <w:start w:w="100" w:type="dxa"/>
              <w:bottom w:w="90" w:type="dxa"/>
              <w:end w:w="100" w:type="dxa"/>
            </w:tcMar>
            <w:vAlign w:val="center"/>
            <w:shd w:fill="F4F6F9"/>
          </w:tcPr>
          <w:p>
            <w:pPr>
              <w:jc w:val="left"/>
            </w:pPr>
            <w:r>
              <w:rPr>
                <w:rFonts w:ascii="DejaVu Serif" w:hAnsi="DejaVu Serif" w:eastAsia="DejaVu Serif"/>
                <w:b w:val="0"/>
                <w:sz w:val="15"/>
              </w:rPr>
              <w:t>Теологическую авторизацию.</w:t>
            </w:r>
          </w:p>
        </w:tc>
      </w:tr>
      <w:t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Герменевтический</w:t>
            </w:r>
          </w:p>
        </w:tc>
        <w:tc>
          <w:tcPr>
            <w:tcW w:type="dxa" w:w="3671"/>
            <w:tcMar>
              <w:top w:w="90" w:type="dxa"/>
              <w:start w:w="100" w:type="dxa"/>
              <w:bottom w:w="90" w:type="dxa"/>
              <w:end w:w="100" w:type="dxa"/>
            </w:tcMar>
            <w:vAlign w:val="center"/>
          </w:tcPr>
          <w:p>
            <w:pPr>
              <w:jc w:val="left"/>
            </w:pPr>
            <w:r>
              <w:rPr>
                <w:rFonts w:ascii="DejaVu Serif" w:hAnsi="DejaVu Serif" w:eastAsia="DejaVu Serif"/>
                <w:b w:val="0"/>
                <w:sz w:val="15"/>
              </w:rPr>
              <w:t>INTERPRETATION / MODEL / PLURAL</w:t>
            </w:r>
          </w:p>
        </w:tc>
        <w:tc>
          <w:tcPr>
            <w:tcW w:type="dxa" w:w="4320"/>
            <w:tcMar>
              <w:top w:w="90" w:type="dxa"/>
              <w:start w:w="100" w:type="dxa"/>
              <w:bottom w:w="90" w:type="dxa"/>
              <w:end w:w="100" w:type="dxa"/>
            </w:tcMar>
            <w:vAlign w:val="center"/>
          </w:tcPr>
          <w:p>
            <w:pPr>
              <w:jc w:val="left"/>
            </w:pPr>
            <w:r>
              <w:rPr>
                <w:rFonts w:ascii="DejaVu Serif" w:hAnsi="DejaVu Serif" w:eastAsia="DejaVu Serif"/>
                <w:b w:val="0"/>
                <w:sz w:val="15"/>
              </w:rPr>
              <w:t>Доказанную историю события.</w:t>
            </w:r>
          </w:p>
        </w:tc>
      </w:tr>
      <w:t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Этический</w:t>
            </w:r>
          </w:p>
        </w:tc>
        <w:tc>
          <w:tcPr>
            <w:tcW w:type="dxa" w:w="3671"/>
            <w:tcMar>
              <w:top w:w="90" w:type="dxa"/>
              <w:start w:w="100" w:type="dxa"/>
              <w:bottom w:w="90" w:type="dxa"/>
              <w:end w:w="100" w:type="dxa"/>
            </w:tcMar>
            <w:vAlign w:val="center"/>
            <w:shd w:fill="F4F6F9"/>
          </w:tcPr>
          <w:p>
            <w:pPr>
              <w:jc w:val="left"/>
            </w:pPr>
            <w:r>
              <w:rPr>
                <w:rFonts w:ascii="DejaVu Serif" w:hAnsi="DejaVu Serif" w:eastAsia="DejaVu Serif"/>
                <w:b w:val="0"/>
                <w:sz w:val="15"/>
              </w:rPr>
              <w:t>PERMITTED / CONTESTED / BLOCKED</w:t>
            </w:r>
          </w:p>
        </w:tc>
        <w:tc>
          <w:tcPr>
            <w:tcW w:type="dxa" w:w="4320"/>
            <w:tcMar>
              <w:top w:w="90" w:type="dxa"/>
              <w:start w:w="100" w:type="dxa"/>
              <w:bottom w:w="90" w:type="dxa"/>
              <w:end w:w="100" w:type="dxa"/>
            </w:tcMar>
            <w:vAlign w:val="center"/>
            <w:shd w:fill="F4F6F9"/>
          </w:tcPr>
          <w:p>
            <w:pPr>
              <w:jc w:val="left"/>
            </w:pPr>
            <w:r>
              <w:rPr>
                <w:rFonts w:ascii="DejaVu Serif" w:hAnsi="DejaVu Serif" w:eastAsia="DejaVu Serif"/>
                <w:b w:val="0"/>
                <w:sz w:val="15"/>
              </w:rPr>
              <w:t>Юридическую правомерность.</w:t>
            </w:r>
          </w:p>
        </w:tc>
      </w:tr>
      <w:t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Юридический</w:t>
            </w:r>
          </w:p>
        </w:tc>
        <w:tc>
          <w:tcPr>
            <w:tcW w:type="dxa" w:w="3671"/>
            <w:tcMar>
              <w:top w:w="90" w:type="dxa"/>
              <w:start w:w="100" w:type="dxa"/>
              <w:bottom w:w="90" w:type="dxa"/>
              <w:end w:w="100" w:type="dxa"/>
            </w:tcMar>
            <w:vAlign w:val="center"/>
          </w:tcPr>
          <w:p>
            <w:pPr>
              <w:jc w:val="left"/>
            </w:pPr>
            <w:r>
              <w:rPr>
                <w:rFonts w:ascii="DejaVu Serif" w:hAnsi="DejaVu Serif" w:eastAsia="DejaVu Serif"/>
                <w:b w:val="0"/>
                <w:sz w:val="15"/>
              </w:rPr>
              <w:t>ADAPTER / REVIEW / AUTHORITY-REQUIRED</w:t>
            </w:r>
          </w:p>
        </w:tc>
        <w:tc>
          <w:tcPr>
            <w:tcW w:type="dxa" w:w="4320"/>
            <w:tcMar>
              <w:top w:w="90" w:type="dxa"/>
              <w:start w:w="100" w:type="dxa"/>
              <w:bottom w:w="90" w:type="dxa"/>
              <w:end w:w="100" w:type="dxa"/>
            </w:tcMar>
            <w:vAlign w:val="center"/>
          </w:tcPr>
          <w:p>
            <w:pPr>
              <w:jc w:val="left"/>
            </w:pPr>
            <w:r>
              <w:rPr>
                <w:rFonts w:ascii="DejaVu Serif" w:hAnsi="DejaVu Serif" w:eastAsia="DejaVu Serif"/>
                <w:b w:val="0"/>
                <w:sz w:val="15"/>
              </w:rPr>
              <w:t>Моральную достаточность.</w:t>
            </w:r>
          </w:p>
        </w:tc>
      </w:tr>
    </w:tbl>
    <w:p>
      <w:pPr>
        <w:pStyle w:val="Heading2"/>
      </w:pPr>
      <w:r>
        <w:t>24.9. Матрица фальсифицируемости</w:t>
      </w:r>
    </w:p>
    <w:tbl>
      <w:tblPr>
        <w:tblStyle w:val="TableGrid"/>
        <w:tblW w:type="auto" w:w="0"/>
        <w:jc w:val="center"/>
        <w:tblLayout w:type="fixed"/>
        <w:tblLook w:firstColumn="1" w:firstRow="1" w:lastColumn="0" w:lastRow="0" w:noHBand="0" w:noVBand="1" w:val="04A0"/>
      </w:tblPr>
      <w:tblGrid>
        <w:gridCol w:w="4932"/>
        <w:gridCol w:w="4932"/>
      </w:tblGrid>
      <w:t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Fals_h(c) = (countermodel, failed-proof-step, numerical-divergence, empirical-test, source-refutation, ethical-blocker)</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T4-F235</w:t>
              <w:br/>
              <w:t>VECTOR</w:t>
            </w:r>
          </w:p>
        </w:tc>
      </w:tr>
    </w:tbl>
    <w:tbl>
      <w:tblPr>
        <w:tblStyle w:val="TableGrid"/>
        <w:tblW w:type="auto" w:w="0"/>
        <w:jc w:val="center"/>
        <w:tblLayout w:type="fixed"/>
        <w:tblLook w:firstColumn="1" w:firstRow="1" w:lastColumn="0" w:lastRow="0" w:noHBand="0" w:noVBand="1" w:val="04A0"/>
      </w:tblPr>
      <w:tblGrid>
        <w:gridCol w:w="3288"/>
        <w:gridCol w:w="3288"/>
        <w:gridCol w:w="3288"/>
      </w:tblGrid>
      <w:tr>
        <w:trPr>
          <w:tblHeader w:val="true"/>
        </w:trPr>
        <w:tc>
          <w:tcPr>
            <w:tcW w:type="dxa" w:w="1944"/>
            <w:tcMar>
              <w:top w:w="90" w:type="dxa"/>
              <w:start w:w="100" w:type="dxa"/>
              <w:bottom w:w="90" w:type="dxa"/>
              <w:end w:w="100" w:type="dxa"/>
            </w:tcMar>
            <w:vAlign w:val="center"/>
            <w:shd w:fill="1F416A"/>
          </w:tcPr>
          <w:p>
            <w:pPr>
              <w:jc w:val="center"/>
            </w:pPr>
            <w:r>
              <w:rPr>
                <w:rFonts w:ascii="DejaVu Serif" w:hAnsi="DejaVu Serif" w:eastAsia="DejaVu Serif"/>
                <w:b/>
                <w:color w:val="FFFFFF"/>
                <w:sz w:val="15"/>
              </w:rPr>
              <w:t>Тип утверждения</w:t>
            </w:r>
          </w:p>
        </w:tc>
        <w:tc>
          <w:tcPr>
            <w:tcW w:type="dxa" w:w="4392"/>
            <w:tcMar>
              <w:top w:w="90" w:type="dxa"/>
              <w:start w:w="100" w:type="dxa"/>
              <w:bottom w:w="90" w:type="dxa"/>
              <w:end w:w="100" w:type="dxa"/>
            </w:tcMar>
            <w:vAlign w:val="center"/>
            <w:shd w:fill="1F416A"/>
          </w:tcPr>
          <w:p>
            <w:pPr>
              <w:jc w:val="center"/>
            </w:pPr>
            <w:r>
              <w:rPr>
                <w:rFonts w:ascii="DejaVu Serif" w:hAnsi="DejaVu Serif" w:eastAsia="DejaVu Serif"/>
                <w:b/>
                <w:color w:val="FFFFFF"/>
                <w:sz w:val="15"/>
              </w:rPr>
              <w:t>Что считается опровержением/неуспехом</w:t>
            </w:r>
          </w:p>
        </w:tc>
        <w:tc>
          <w:tcPr>
            <w:tcW w:type="dxa" w:w="3456"/>
            <w:tcMar>
              <w:top w:w="90" w:type="dxa"/>
              <w:start w:w="100" w:type="dxa"/>
              <w:bottom w:w="90" w:type="dxa"/>
              <w:end w:w="100" w:type="dxa"/>
            </w:tcMar>
            <w:vAlign w:val="center"/>
            <w:shd w:fill="1F416A"/>
          </w:tcPr>
          <w:p>
            <w:pPr>
              <w:jc w:val="center"/>
            </w:pPr>
            <w:r>
              <w:rPr>
                <w:rFonts w:ascii="DejaVu Serif" w:hAnsi="DejaVu Serif" w:eastAsia="DejaVu Serif"/>
                <w:b/>
                <w:color w:val="FFFFFF"/>
                <w:sz w:val="15"/>
              </w:rPr>
              <w:t>Корректный ответ</w:t>
            </w:r>
          </w:p>
        </w:tc>
      </w:tr>
      <w:tr>
        <w:tc>
          <w:tcPr>
            <w:tcW w:type="dxa" w:w="1944"/>
            <w:tcMar>
              <w:top w:w="90" w:type="dxa"/>
              <w:start w:w="100" w:type="dxa"/>
              <w:bottom w:w="90" w:type="dxa"/>
              <w:end w:w="100" w:type="dxa"/>
            </w:tcMar>
            <w:vAlign w:val="center"/>
            <w:shd w:fill="F4F6F9"/>
          </w:tcPr>
          <w:p>
            <w:pPr>
              <w:jc w:val="left"/>
            </w:pPr>
            <w:r>
              <w:rPr>
                <w:rFonts w:ascii="DejaVu Serif" w:hAnsi="DejaVu Serif" w:eastAsia="DejaVu Serif"/>
                <w:b w:val="0"/>
                <w:sz w:val="15"/>
              </w:rPr>
              <w:t>Математическая теорема</w:t>
            </w:r>
          </w:p>
        </w:tc>
        <w:tc>
          <w:tcPr>
            <w:tcW w:type="dxa" w:w="4392"/>
            <w:tcMar>
              <w:top w:w="90" w:type="dxa"/>
              <w:start w:w="100" w:type="dxa"/>
              <w:bottom w:w="90" w:type="dxa"/>
              <w:end w:w="100" w:type="dxa"/>
            </w:tcMar>
            <w:vAlign w:val="center"/>
            <w:shd w:fill="F4F6F9"/>
          </w:tcPr>
          <w:p>
            <w:pPr>
              <w:jc w:val="left"/>
            </w:pPr>
            <w:r>
              <w:rPr>
                <w:rFonts w:ascii="DejaVu Serif" w:hAnsi="DejaVu Serif" w:eastAsia="DejaVu Serif"/>
                <w:b w:val="0"/>
                <w:sz w:val="15"/>
              </w:rPr>
              <w:t>Контрпример, ошибка вывода, незакрытая гипотеза.</w:t>
            </w:r>
          </w:p>
        </w:tc>
        <w:tc>
          <w:tcPr>
            <w:tcW w:type="dxa" w:w="3456"/>
            <w:tcMar>
              <w:top w:w="90" w:type="dxa"/>
              <w:start w:w="100" w:type="dxa"/>
              <w:bottom w:w="90" w:type="dxa"/>
              <w:end w:w="100" w:type="dxa"/>
            </w:tcMar>
            <w:vAlign w:val="center"/>
            <w:shd w:fill="F4F6F9"/>
          </w:tcPr>
          <w:p>
            <w:pPr>
              <w:jc w:val="left"/>
            </w:pPr>
            <w:r>
              <w:rPr>
                <w:rFonts w:ascii="DejaVu Serif" w:hAnsi="DejaVu Serif" w:eastAsia="DejaVu Serif"/>
                <w:b w:val="0"/>
                <w:sz w:val="15"/>
              </w:rPr>
              <w:t>Исправить доказательство, ослабить формулировку или снять THM.</w:t>
            </w:r>
          </w:p>
        </w:tc>
      </w:tr>
      <w:tr>
        <w:tc>
          <w:tcPr>
            <w:tcW w:type="dxa" w:w="1944"/>
            <w:tcMar>
              <w:top w:w="90" w:type="dxa"/>
              <w:start w:w="100" w:type="dxa"/>
              <w:bottom w:w="90" w:type="dxa"/>
              <w:end w:w="100" w:type="dxa"/>
            </w:tcMar>
            <w:vAlign w:val="center"/>
          </w:tcPr>
          <w:p>
            <w:pPr>
              <w:jc w:val="left"/>
            </w:pPr>
            <w:r>
              <w:rPr>
                <w:rFonts w:ascii="DejaVu Serif" w:hAnsi="DejaVu Serif" w:eastAsia="DejaVu Serif"/>
                <w:b w:val="0"/>
                <w:sz w:val="15"/>
              </w:rPr>
              <w:t>Вычислительный результат</w:t>
            </w:r>
          </w:p>
        </w:tc>
        <w:tc>
          <w:tcPr>
            <w:tcW w:type="dxa" w:w="4392"/>
            <w:tcMar>
              <w:top w:w="90" w:type="dxa"/>
              <w:start w:w="100" w:type="dxa"/>
              <w:bottom w:w="90" w:type="dxa"/>
              <w:end w:w="100" w:type="dxa"/>
            </w:tcMar>
            <w:vAlign w:val="center"/>
          </w:tcPr>
          <w:p>
            <w:pPr>
              <w:jc w:val="left"/>
            </w:pPr>
            <w:r>
              <w:rPr>
                <w:rFonts w:ascii="DejaVu Serif" w:hAnsi="DejaVu Serif" w:eastAsia="DejaVu Serif"/>
                <w:b w:val="0"/>
                <w:sz w:val="15"/>
              </w:rPr>
              <w:t>Несовпадение байтов/семантики, тестовый вектор вне допуска.</w:t>
            </w:r>
          </w:p>
        </w:tc>
        <w:tc>
          <w:tcPr>
            <w:tcW w:type="dxa" w:w="3456"/>
            <w:tcMar>
              <w:top w:w="90" w:type="dxa"/>
              <w:start w:w="100" w:type="dxa"/>
              <w:bottom w:w="90" w:type="dxa"/>
              <w:end w:w="100" w:type="dxa"/>
            </w:tcMar>
            <w:vAlign w:val="center"/>
          </w:tcPr>
          <w:p>
            <w:pPr>
              <w:jc w:val="left"/>
            </w:pPr>
            <w:r>
              <w:rPr>
                <w:rFonts w:ascii="DejaVu Serif" w:hAnsi="DejaVu Serif" w:eastAsia="DejaVu Serif"/>
                <w:b w:val="0"/>
                <w:sz w:val="15"/>
              </w:rPr>
              <w:t>DIVERGED; диагностика окружения и кода.</w:t>
            </w:r>
          </w:p>
        </w:tc>
      </w:tr>
      <w:tr>
        <w:tc>
          <w:tcPr>
            <w:tcW w:type="dxa" w:w="1944"/>
            <w:tcMar>
              <w:top w:w="90" w:type="dxa"/>
              <w:start w:w="100" w:type="dxa"/>
              <w:bottom w:w="90" w:type="dxa"/>
              <w:end w:w="100" w:type="dxa"/>
            </w:tcMar>
            <w:vAlign w:val="center"/>
            <w:shd w:fill="F4F6F9"/>
          </w:tcPr>
          <w:p>
            <w:pPr>
              <w:jc w:val="left"/>
            </w:pPr>
            <w:r>
              <w:rPr>
                <w:rFonts w:ascii="DejaVu Serif" w:hAnsi="DejaVu Serif" w:eastAsia="DejaVu Serif"/>
                <w:b w:val="0"/>
                <w:sz w:val="15"/>
              </w:rPr>
              <w:t>Физическая гипотеза</w:t>
            </w:r>
          </w:p>
        </w:tc>
        <w:tc>
          <w:tcPr>
            <w:tcW w:type="dxa" w:w="4392"/>
            <w:tcMar>
              <w:top w:w="90" w:type="dxa"/>
              <w:start w:w="100" w:type="dxa"/>
              <w:bottom w:w="90" w:type="dxa"/>
              <w:end w:w="100" w:type="dxa"/>
            </w:tcMar>
            <w:vAlign w:val="center"/>
            <w:shd w:fill="F4F6F9"/>
          </w:tcPr>
          <w:p>
            <w:pPr>
              <w:jc w:val="left"/>
            </w:pPr>
            <w:r>
              <w:rPr>
                <w:rFonts w:ascii="DejaVu Serif" w:hAnsi="DejaVu Serif" w:eastAsia="DejaVu Serif"/>
                <w:b w:val="0"/>
                <w:sz w:val="15"/>
              </w:rPr>
              <w:t>Предзарегистрированный тест отклоняет ожидаемую сигнатуру.</w:t>
            </w:r>
          </w:p>
        </w:tc>
        <w:tc>
          <w:tcPr>
            <w:tcW w:type="dxa" w:w="3456"/>
            <w:tcMar>
              <w:top w:w="90" w:type="dxa"/>
              <w:start w:w="100" w:type="dxa"/>
              <w:bottom w:w="90" w:type="dxa"/>
              <w:end w:w="100" w:type="dxa"/>
            </w:tcMar>
            <w:vAlign w:val="center"/>
            <w:shd w:fill="F4F6F9"/>
          </w:tcPr>
          <w:p>
            <w:pPr>
              <w:jc w:val="left"/>
            </w:pPr>
            <w:r>
              <w:rPr>
                <w:rFonts w:ascii="DejaVu Serif" w:hAnsi="DejaVu Serif" w:eastAsia="DejaVu Serif"/>
                <w:b w:val="0"/>
                <w:sz w:val="15"/>
              </w:rPr>
              <w:t>Фальсификация либо ограничение домена; не переобозначать как успех.</w:t>
            </w:r>
          </w:p>
        </w:tc>
      </w:tr>
      <w:tr>
        <w:tc>
          <w:tcPr>
            <w:tcW w:type="dxa" w:w="1944"/>
            <w:tcMar>
              <w:top w:w="90" w:type="dxa"/>
              <w:start w:w="100" w:type="dxa"/>
              <w:bottom w:w="90" w:type="dxa"/>
              <w:end w:w="100" w:type="dxa"/>
            </w:tcMar>
            <w:vAlign w:val="center"/>
          </w:tcPr>
          <w:p>
            <w:pPr>
              <w:jc w:val="left"/>
            </w:pPr>
            <w:r>
              <w:rPr>
                <w:rFonts w:ascii="DejaVu Serif" w:hAnsi="DejaVu Serif" w:eastAsia="DejaVu Serif"/>
                <w:b w:val="0"/>
                <w:sz w:val="15"/>
              </w:rPr>
              <w:t>Исторический тезис</w:t>
            </w:r>
          </w:p>
        </w:tc>
        <w:tc>
          <w:tcPr>
            <w:tcW w:type="dxa" w:w="4392"/>
            <w:tcMar>
              <w:top w:w="90" w:type="dxa"/>
              <w:start w:w="100" w:type="dxa"/>
              <w:bottom w:w="90" w:type="dxa"/>
              <w:end w:w="100" w:type="dxa"/>
            </w:tcMar>
            <w:vAlign w:val="center"/>
          </w:tcPr>
          <w:p>
            <w:pPr>
              <w:jc w:val="left"/>
            </w:pPr>
            <w:r>
              <w:rPr>
                <w:rFonts w:ascii="DejaVu Serif" w:hAnsi="DejaVu Serif" w:eastAsia="DejaVu Serif"/>
                <w:b w:val="0"/>
                <w:sz w:val="15"/>
              </w:rPr>
              <w:t>Первичный источник противоречит формулировке или отсутствует.</w:t>
            </w:r>
          </w:p>
        </w:tc>
        <w:tc>
          <w:tcPr>
            <w:tcW w:type="dxa" w:w="3456"/>
            <w:tcMar>
              <w:top w:w="90" w:type="dxa"/>
              <w:start w:w="100" w:type="dxa"/>
              <w:bottom w:w="90" w:type="dxa"/>
              <w:end w:w="100" w:type="dxa"/>
            </w:tcMar>
            <w:vAlign w:val="center"/>
          </w:tcPr>
          <w:p>
            <w:pPr>
              <w:jc w:val="left"/>
            </w:pPr>
            <w:r>
              <w:rPr>
                <w:rFonts w:ascii="DejaVu Serif" w:hAnsi="DejaVu Serif" w:eastAsia="DejaVu Serif"/>
                <w:b w:val="0"/>
                <w:sz w:val="15"/>
              </w:rPr>
              <w:t>HIST-HYP/OPEN; исправить атрибуцию.</w:t>
            </w:r>
          </w:p>
        </w:tc>
      </w:tr>
      <w:tr>
        <w:tc>
          <w:tcPr>
            <w:tcW w:type="dxa" w:w="1944"/>
            <w:tcMar>
              <w:top w:w="90" w:type="dxa"/>
              <w:start w:w="100" w:type="dxa"/>
              <w:bottom w:w="90" w:type="dxa"/>
              <w:end w:w="100" w:type="dxa"/>
            </w:tcMar>
            <w:vAlign w:val="center"/>
            <w:shd w:fill="F4F6F9"/>
          </w:tcPr>
          <w:p>
            <w:pPr>
              <w:jc w:val="left"/>
            </w:pPr>
            <w:r>
              <w:rPr>
                <w:rFonts w:ascii="DejaVu Serif" w:hAnsi="DejaVu Serif" w:eastAsia="DejaVu Serif"/>
                <w:b w:val="0"/>
                <w:sz w:val="15"/>
              </w:rPr>
              <w:t>Антропологическая модель</w:t>
            </w:r>
          </w:p>
        </w:tc>
        <w:tc>
          <w:tcPr>
            <w:tcW w:type="dxa" w:w="4392"/>
            <w:tcMar>
              <w:top w:w="90" w:type="dxa"/>
              <w:start w:w="100" w:type="dxa"/>
              <w:bottom w:w="90" w:type="dxa"/>
              <w:end w:w="100" w:type="dxa"/>
            </w:tcMar>
            <w:vAlign w:val="center"/>
            <w:shd w:fill="F4F6F9"/>
          </w:tcPr>
          <w:p>
            <w:pPr>
              <w:jc w:val="left"/>
            </w:pPr>
            <w:r>
              <w:rPr>
                <w:rFonts w:ascii="DejaVu Serif" w:hAnsi="DejaVu Serif" w:eastAsia="DejaVu Serif"/>
                <w:b w:val="0"/>
                <w:sz w:val="15"/>
              </w:rPr>
              <w:t>Контрслучай, культурная непереносимость, неидентифицируемость.</w:t>
            </w:r>
          </w:p>
        </w:tc>
        <w:tc>
          <w:tcPr>
            <w:tcW w:type="dxa" w:w="3456"/>
            <w:tcMar>
              <w:top w:w="90" w:type="dxa"/>
              <w:start w:w="100" w:type="dxa"/>
              <w:bottom w:w="90" w:type="dxa"/>
              <w:end w:w="100" w:type="dxa"/>
            </w:tcMar>
            <w:vAlign w:val="center"/>
            <w:shd w:fill="F4F6F9"/>
          </w:tcPr>
          <w:p>
            <w:pPr>
              <w:jc w:val="left"/>
            </w:pPr>
            <w:r>
              <w:rPr>
                <w:rFonts w:ascii="DejaVu Serif" w:hAnsi="DejaVu Serif" w:eastAsia="DejaVu Serif"/>
                <w:b w:val="0"/>
                <w:sz w:val="15"/>
              </w:rPr>
              <w:t>Ограничить Dom, сохранить множественность, ABSTAIN.</w:t>
            </w:r>
          </w:p>
        </w:tc>
      </w:tr>
      <w:tr>
        <w:tc>
          <w:tcPr>
            <w:tcW w:type="dxa" w:w="1944"/>
            <w:tcMar>
              <w:top w:w="90" w:type="dxa"/>
              <w:start w:w="100" w:type="dxa"/>
              <w:bottom w:w="90" w:type="dxa"/>
              <w:end w:w="100" w:type="dxa"/>
            </w:tcMar>
            <w:vAlign w:val="center"/>
          </w:tcPr>
          <w:p>
            <w:pPr>
              <w:jc w:val="center"/>
            </w:pPr>
            <w:r>
              <w:rPr>
                <w:rFonts w:ascii="DejaVu Serif" w:hAnsi="DejaVu Serif" w:eastAsia="DejaVu Serif"/>
                <w:b w:val="0"/>
                <w:sz w:val="15"/>
              </w:rPr>
              <w:t>Этическое правило</w:t>
            </w:r>
          </w:p>
        </w:tc>
        <w:tc>
          <w:tcPr>
            <w:tcW w:type="dxa" w:w="4392"/>
            <w:tcMar>
              <w:top w:w="90" w:type="dxa"/>
              <w:start w:w="100" w:type="dxa"/>
              <w:bottom w:w="90" w:type="dxa"/>
              <w:end w:w="100" w:type="dxa"/>
            </w:tcMar>
            <w:vAlign w:val="center"/>
          </w:tcPr>
          <w:p>
            <w:pPr>
              <w:jc w:val="left"/>
            </w:pPr>
            <w:r>
              <w:rPr>
                <w:rFonts w:ascii="DejaVu Serif" w:hAnsi="DejaVu Serif" w:eastAsia="DejaVu Serif"/>
                <w:b w:val="0"/>
                <w:sz w:val="15"/>
              </w:rPr>
              <w:t>Конфликт прав, несогласие, непропорциональный вред.</w:t>
            </w:r>
          </w:p>
        </w:tc>
        <w:tc>
          <w:tcPr>
            <w:tcW w:type="dxa" w:w="3456"/>
            <w:tcMar>
              <w:top w:w="90" w:type="dxa"/>
              <w:start w:w="100" w:type="dxa"/>
              <w:bottom w:w="90" w:type="dxa"/>
              <w:end w:w="100" w:type="dxa"/>
            </w:tcMar>
            <w:vAlign w:val="center"/>
          </w:tcPr>
          <w:p>
            <w:pPr>
              <w:jc w:val="left"/>
            </w:pPr>
            <w:r>
              <w:rPr>
                <w:rFonts w:ascii="DejaVu Serif" w:hAnsi="DejaVu Serif" w:eastAsia="DejaVu Serif"/>
                <w:b w:val="0"/>
                <w:sz w:val="15"/>
              </w:rPr>
              <w:t>BLOCKED/CONTESTED и человеческий review.</w:t>
            </w:r>
          </w:p>
        </w:tc>
      </w:tr>
    </w:tbl>
    <w:p>
      <w:pPr>
        <w:pStyle w:val="Heading2"/>
      </w:pPr>
      <w:r>
        <w:t>24.10. Карта новизны и prior art</w:t>
      </w:r>
    </w:p>
    <w:tbl>
      <w:tblPr>
        <w:tblStyle w:val="TableGrid"/>
        <w:tblW w:type="auto" w:w="0"/>
        <w:jc w:val="center"/>
        <w:tblLayout w:type="fixed"/>
        <w:tblLook w:firstColumn="1" w:firstRow="1" w:lastColumn="0" w:lastRow="0" w:noHBand="0" w:noVBand="1" w:val="04A0"/>
      </w:tblPr>
      <w:tblGrid>
        <w:gridCol w:w="4932"/>
        <w:gridCol w:w="4932"/>
      </w:tblGrid>
      <w:t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Novelty_KLT(c) = (new object, new typing, new composition, new proof, new computation, new use)</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T4-F236</w:t>
              <w:br/>
              <w:t>VECTOR</w:t>
            </w:r>
          </w:p>
        </w:tc>
      </w:tr>
    </w:tbl>
    <w:tbl>
      <w:tblPr>
        <w:tblStyle w:val="TableGrid"/>
        <w:tblW w:type="auto" w:w="0"/>
        <w:jc w:val="center"/>
        <w:tblLayout w:type="fixed"/>
        <w:tblLook w:firstColumn="1" w:firstRow="1" w:lastColumn="0" w:lastRow="0" w:noHBand="0" w:noVBand="1" w:val="04A0"/>
      </w:tblPr>
      <w:tblGrid>
        <w:gridCol w:w="4932"/>
        <w:gridCol w:w="4932"/>
      </w:tblGrid>
      <w:t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Authorial(c) ⇒ cite(prior_art) ∧ identify(new_composition) ∧ preserve(status)</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T4-F237</w:t>
              <w:br/>
              <w:t>ATTRIBUTION RULE</w:t>
            </w:r>
          </w:p>
        </w:tc>
      </w:tr>
    </w:tbl>
    <w:p>
      <w:r>
        <w:rPr>
          <w:rFonts w:ascii="DejaVu Serif" w:hAnsi="DejaVu Serif" w:eastAsia="DejaVu Serif"/>
          <w:sz w:val="21"/>
        </w:rPr>
        <w:t>Авторская новизна Курпишева Ивана Борисовича заявляется в пакетно-реперном соединении: C@C, Human_R, D/Dom, λ-авторизация, операторы Δ/Ξ/Υ, причинные и антропологические разрывы, residual ledger, end-to-end оператор и KLT-RBD как память доказательных путей. Проективная геометрия, кросс-соотношение, теория категорий, феноменология, герменевтика, философия науки, теория информации и этика техники остаются prior art и атрибутируются их авторам.</w:t>
      </w:r>
    </w:p>
    <w:p>
      <w:pPr>
        <w:pStyle w:val="Heading2"/>
      </w:pPr>
      <w:r>
        <w:t>24.11. Двадцать четыре философских тезиса Тома IV</w:t>
      </w:r>
    </w:p>
    <w:tbl>
      <w:tblPr>
        <w:tblStyle w:val="TableGrid"/>
        <w:tblW w:type="auto" w:w="0"/>
        <w:jc w:val="center"/>
        <w:tblLayout w:type="fixed"/>
        <w:tblLook w:firstColumn="1" w:firstRow="1" w:lastColumn="0" w:lastRow="0" w:noHBand="0" w:noVBand="1" w:val="04A0"/>
      </w:tblPr>
      <w:tblGrid>
        <w:gridCol w:w="3288"/>
        <w:gridCol w:w="3288"/>
        <w:gridCol w:w="3288"/>
      </w:tblGrid>
      <w:tr>
        <w:trPr>
          <w:tblHeader w:val="true"/>
        </w:trPr>
        <w:tc>
          <w:tcPr>
            <w:tcW w:type="dxa" w:w="648"/>
            <w:tcMar>
              <w:top w:w="90" w:type="dxa"/>
              <w:start w:w="100" w:type="dxa"/>
              <w:bottom w:w="90" w:type="dxa"/>
              <w:end w:w="100" w:type="dxa"/>
            </w:tcMar>
            <w:vAlign w:val="center"/>
            <w:shd w:fill="1F416A"/>
          </w:tcPr>
          <w:p>
            <w:pPr>
              <w:jc w:val="center"/>
            </w:pPr>
            <w:r>
              <w:rPr>
                <w:rFonts w:ascii="DejaVu Serif" w:hAnsi="DejaVu Serif" w:eastAsia="DejaVu Serif"/>
                <w:b/>
                <w:color w:val="FFFFFF"/>
                <w:sz w:val="15"/>
              </w:rPr>
              <w:t>№</w:t>
            </w:r>
          </w:p>
        </w:tc>
        <w:tc>
          <w:tcPr>
            <w:tcW w:type="dxa" w:w="7848"/>
            <w:tcMar>
              <w:top w:w="90" w:type="dxa"/>
              <w:start w:w="100" w:type="dxa"/>
              <w:bottom w:w="90" w:type="dxa"/>
              <w:end w:w="100" w:type="dxa"/>
            </w:tcMar>
            <w:vAlign w:val="center"/>
            <w:shd w:fill="1F416A"/>
          </w:tcPr>
          <w:p>
            <w:pPr>
              <w:jc w:val="center"/>
            </w:pPr>
            <w:r>
              <w:rPr>
                <w:rFonts w:ascii="DejaVu Serif" w:hAnsi="DejaVu Serif" w:eastAsia="DejaVu Serif"/>
                <w:b/>
                <w:color w:val="FFFFFF"/>
                <w:sz w:val="15"/>
              </w:rPr>
              <w:t>Тезис</w:t>
            </w:r>
          </w:p>
        </w:tc>
        <w:tc>
          <w:tcPr>
            <w:tcW w:type="dxa" w:w="1368"/>
            <w:tcMar>
              <w:top w:w="90" w:type="dxa"/>
              <w:start w:w="100" w:type="dxa"/>
              <w:bottom w:w="90" w:type="dxa"/>
              <w:end w:w="100" w:type="dxa"/>
            </w:tcMar>
            <w:vAlign w:val="center"/>
            <w:shd w:fill="1F416A"/>
          </w:tcPr>
          <w:p>
            <w:pPr>
              <w:jc w:val="center"/>
            </w:pPr>
            <w:r>
              <w:rPr>
                <w:rFonts w:ascii="DejaVu Serif" w:hAnsi="DejaVu Serif" w:eastAsia="DejaVu Serif"/>
                <w:b/>
                <w:color w:val="FFFFFF"/>
                <w:sz w:val="15"/>
              </w:rPr>
              <w:t>Статус</w:t>
            </w:r>
          </w:p>
        </w:tc>
      </w:tr>
      <w:t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1</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Мир предшествует его записи, но знание мира требует среза и основания.</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HERM</w:t>
            </w:r>
          </w:p>
        </w:tc>
      </w:tr>
      <w:t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2</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Событие без состояния не имеет человеческой определённости.</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ARCH</w:t>
            </w:r>
          </w:p>
        </w:tc>
      </w:tr>
      <w:t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3</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Человек есть не центр ФОС, а локальная Складка восприятия, действия и памяти.</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MODEL</w:t>
            </w:r>
          </w:p>
        </w:tc>
      </w:tr>
      <w:t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4</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Reper удерживает реальность, идею, возможности и достаточное основание.</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DEF</w:t>
            </w:r>
          </w:p>
        </w:tc>
      </w:tr>
      <w:t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5</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Тело является первой системой координат человеческого мира.</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HERM</w:t>
            </w:r>
          </w:p>
        </w:tc>
      </w:tr>
      <w:t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6</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Свобода есть способность начинать причинную ветвь внутри Предела.</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MODEL</w:t>
            </w:r>
          </w:p>
        </w:tc>
      </w:tr>
      <w:t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7</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Разворот делает действие конечным и требует поддерживающих дел.</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MODEL</w:t>
            </w:r>
          </w:p>
        </w:tc>
      </w:tr>
      <w:t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8</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Память пересобирает Reper прошлого, не изменяя исходный источник.</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DEF</w:t>
            </w:r>
          </w:p>
        </w:tc>
      </w:tr>
      <w:t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9</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Язык переносит не только слова, но и основания их применимости.</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HERM</w:t>
            </w:r>
          </w:p>
        </w:tc>
      </w:tr>
      <w:t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10</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Локальные данные не определяют единственную глобальную реконструкцию.</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THM-BRIDGE</w:t>
            </w:r>
          </w:p>
        </w:tc>
      </w:tr>
      <w:t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11</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Интерсубъективность есть согласование modulo регулярного фона.</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MODEL</w:t>
            </w:r>
          </w:p>
        </w:tc>
      </w:tr>
      <w:t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12</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Исторические формы восприятия образуют атлас, а не лестницу ценности.</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HERM</w:t>
            </w:r>
          </w:p>
        </w:tc>
      </w:tr>
    </w:tbl>
    <w:tbl>
      <w:tblPr>
        <w:tblStyle w:val="TableGrid"/>
        <w:tblW w:type="auto" w:w="0"/>
        <w:jc w:val="center"/>
        <w:tblLayout w:type="fixed"/>
        <w:tblLook w:firstColumn="1" w:firstRow="1" w:lastColumn="0" w:lastRow="0" w:noHBand="0" w:noVBand="1" w:val="04A0"/>
      </w:tblPr>
      <w:tblGrid>
        <w:gridCol w:w="3288"/>
        <w:gridCol w:w="3288"/>
        <w:gridCol w:w="3288"/>
      </w:tblGrid>
      <w:tr>
        <w:trPr>
          <w:tblHeader w:val="true"/>
        </w:trPr>
        <w:tc>
          <w:tcPr>
            <w:tcW w:type="dxa" w:w="648"/>
            <w:tcMar>
              <w:top w:w="90" w:type="dxa"/>
              <w:start w:w="100" w:type="dxa"/>
              <w:bottom w:w="90" w:type="dxa"/>
              <w:end w:w="100" w:type="dxa"/>
            </w:tcMar>
            <w:vAlign w:val="center"/>
            <w:shd w:fill="1F416A"/>
          </w:tcPr>
          <w:p>
            <w:pPr>
              <w:jc w:val="center"/>
            </w:pPr>
            <w:r>
              <w:rPr>
                <w:rFonts w:ascii="DejaVu Serif" w:hAnsi="DejaVu Serif" w:eastAsia="DejaVu Serif"/>
                <w:b/>
                <w:color w:val="FFFFFF"/>
                <w:sz w:val="15"/>
              </w:rPr>
              <w:t>№</w:t>
            </w:r>
          </w:p>
        </w:tc>
        <w:tc>
          <w:tcPr>
            <w:tcW w:type="dxa" w:w="7848"/>
            <w:tcMar>
              <w:top w:w="90" w:type="dxa"/>
              <w:start w:w="100" w:type="dxa"/>
              <w:bottom w:w="90" w:type="dxa"/>
              <w:end w:w="100" w:type="dxa"/>
            </w:tcMar>
            <w:vAlign w:val="center"/>
            <w:shd w:fill="1F416A"/>
          </w:tcPr>
          <w:p>
            <w:pPr>
              <w:jc w:val="center"/>
            </w:pPr>
            <w:r>
              <w:rPr>
                <w:rFonts w:ascii="DejaVu Serif" w:hAnsi="DejaVu Serif" w:eastAsia="DejaVu Serif"/>
                <w:b/>
                <w:color w:val="FFFFFF"/>
                <w:sz w:val="15"/>
              </w:rPr>
              <w:t>Тезис</w:t>
            </w:r>
          </w:p>
        </w:tc>
        <w:tc>
          <w:tcPr>
            <w:tcW w:type="dxa" w:w="1368"/>
            <w:tcMar>
              <w:top w:w="90" w:type="dxa"/>
              <w:start w:w="100" w:type="dxa"/>
              <w:bottom w:w="90" w:type="dxa"/>
              <w:end w:w="100" w:type="dxa"/>
            </w:tcMar>
            <w:vAlign w:val="center"/>
            <w:shd w:fill="1F416A"/>
          </w:tcPr>
          <w:p>
            <w:pPr>
              <w:jc w:val="center"/>
            </w:pPr>
            <w:r>
              <w:rPr>
                <w:rFonts w:ascii="DejaVu Serif" w:hAnsi="DejaVu Serif" w:eastAsia="DejaVu Serif"/>
                <w:b/>
                <w:color w:val="FFFFFF"/>
                <w:sz w:val="15"/>
              </w:rPr>
              <w:t>Статус</w:t>
            </w:r>
          </w:p>
        </w:tc>
      </w:tr>
      <w:t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13</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Диалог культур требует переводить D, а не только термины.</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HERM</w:t>
            </w:r>
          </w:p>
        </w:tc>
      </w:tr>
      <w:t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14</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Кососимметричная связность описывает неполные сопряжения, а не доказывает духов.</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THM-FORMAL</w:t>
            </w:r>
          </w:p>
        </w:tc>
      </w:tr>
      <w:t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15</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След не является следствием, а неизвестность не является демоном.</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TYPE FIREWALL</w:t>
            </w:r>
          </w:p>
        </w:tc>
      </w:tr>
      <w:t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16</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Герменевтический образ не превращается в исторический или физический факт.</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STATUS</w:t>
            </w:r>
          </w:p>
        </w:tc>
      </w:tr>
      <w:t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17</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Видение порождает гипотезу; доказательство делает её публичной.</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HERM</w:t>
            </w:r>
          </w:p>
        </w:tc>
      </w:tr>
      <w:t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18</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foreign-D есть ошибка основания, но несогласие не всегда ошибка.</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DEF</w:t>
            </w:r>
          </w:p>
        </w:tc>
      </w:tr>
      <w:t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19</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AnthroCGI измеряет разрыв описания, а не ценность человека.</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TYPE FIREWALL</w:t>
            </w:r>
          </w:p>
        </w:tc>
      </w:tr>
      <w:t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20</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Документ сохраняет след, но не возвращает прожитое событие.</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THM-FORMAL</w:t>
            </w:r>
          </w:p>
        </w:tc>
      </w:tr>
      <w:t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21</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Машинная память не равна человеческой памяти и ответственности.</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THM/ETHICS</w:t>
            </w:r>
          </w:p>
        </w:tc>
      </w:tr>
      <w:t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22</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Междисциплинарность требует адаптеров, а не стирания предметных различий.</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DEF</w:t>
            </w:r>
          </w:p>
        </w:tc>
      </w:tr>
      <w:t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23</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Естествознание есть цикл мира, метода, публичной критики и ответственного действия.</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SYNTHESIS</w:t>
            </w:r>
          </w:p>
        </w:tc>
      </w:tr>
      <w:t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24</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Полный KLT-вывод обязан уметь не только отвечать, но и обоснованно воздерживаться.</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AXIOM</w:t>
            </w:r>
          </w:p>
        </w:tc>
      </w:tr>
    </w:tbl>
    <w:p>
      <w:pPr>
        <w:pStyle w:val="Heading2"/>
      </w:pPr>
      <w:r>
        <w:t>24.12. Переход к Тому V</w:t>
      </w:r>
    </w:p>
    <w:tbl>
      <w:tblPr>
        <w:tblStyle w:val="TableGrid"/>
        <w:tblW w:type="auto" w:w="0"/>
        <w:jc w:val="center"/>
        <w:tblLayout w:type="fixed"/>
        <w:tblLook w:firstColumn="1" w:firstRow="1" w:lastColumn="0" w:lastRow="0" w:noHBand="0" w:noVBand="1" w:val="04A0"/>
      </w:tblPr>
      <w:tblGrid>
        <w:gridCol w:w="4932"/>
        <w:gridCol w:w="4932"/>
      </w:tblGrid>
      <w:t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Tom I → Tom II → Tom III → Tom IV → Tom V</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T4-F238</w:t>
              <w:br/>
              <w:t>VOLUME BRIDGE</w:t>
            </w:r>
          </w:p>
        </w:tc>
      </w:tr>
    </w:tbl>
    <w:p>
      <w:r>
        <w:rPr>
          <w:rFonts w:ascii="DejaVu Serif" w:hAnsi="DejaVu Serif" w:eastAsia="DejaVu Serif"/>
          <w:sz w:val="21"/>
        </w:rPr>
        <w:t>Том V получает от Тома IV не только формулы и схемы базы, но и обязательный антропологический firewall. Программная архитектура должна хранить residual ledger, статусные векторы, consent/rights gates, историю возражений, причину ABSTAIN и именованную ответственность. Без этого KLT-RBD стала бы ещё одной системой классификации, а не реперной памятью доказательного процесса.</w:t>
      </w:r>
    </w:p>
    <w:p>
      <w:pPr>
        <w:jc w:val="center"/>
      </w:pPr>
      <w:r>
        <w:drawing>
          <wp:inline xmlns:a="http://schemas.openxmlformats.org/drawingml/2006/main" xmlns:pic="http://schemas.openxmlformats.org/drawingml/2006/picture">
            <wp:extent cx="5897880" cy="3009459"/>
            <wp:docPr id="31" name="Picture 31" descr="Последовательность Томов I-V; Том IV выделен как контроль смысла, памяти и ответственности; ниже расположен антропологический firewall." title="Рисунок 24.3. Том IV как антропологический контрольный слой перехода к машинной архитектуре Тома V."/>
            <wp:cNvGraphicFramePr>
              <a:graphicFrameLocks noChangeAspect="1"/>
            </wp:cNvGraphicFramePr>
            <a:graphic>
              <a:graphicData uri="http://schemas.openxmlformats.org/drawingml/2006/picture">
                <pic:pic>
                  <pic:nvPicPr>
                    <pic:cNvPr id="0" name="fig_24_3_volume_bridge.png"/>
                    <pic:cNvPicPr/>
                  </pic:nvPicPr>
                  <pic:blipFill>
                    <a:blip r:embed="rId45"/>
                    <a:stretch>
                      <a:fillRect/>
                    </a:stretch>
                  </pic:blipFill>
                  <pic:spPr>
                    <a:xfrm>
                      <a:off x="0" y="0"/>
                      <a:ext cx="5897880" cy="3009459"/>
                    </a:xfrm>
                    <a:prstGeom prst="rect"/>
                  </pic:spPr>
                </pic:pic>
              </a:graphicData>
            </a:graphic>
          </wp:inline>
        </w:drawing>
      </w:r>
    </w:p>
    <w:p>
      <w:pPr>
        <w:pStyle w:val="Caption"/>
        <w:jc w:val="center"/>
      </w:pPr>
      <w:r>
        <w:rPr>
          <w:rFonts w:ascii="DejaVu Serif" w:hAnsi="DejaVu Serif" w:eastAsia="DejaVu Serif"/>
          <w:b/>
          <w:sz w:val="18"/>
        </w:rPr>
        <w:t>Рисунок 24.3. Том IV как антропологический контрольный слой перехода к машинной архитектуре Тома V.</w:t>
      </w:r>
    </w:p>
    <w:p>
      <w:pPr>
        <w:pStyle w:val="Heading2"/>
      </w:pPr>
      <w:r>
        <w:t>24.13. Точка отката T4-RA8</w:t>
      </w:r>
    </w:p>
    <w:tbl>
      <w:tblPr>
        <w:tblStyle w:val="TableGrid"/>
        <w:tblW w:type="auto" w:w="0"/>
        <w:jc w:val="center"/>
        <w:tblLayout w:type="fixed"/>
        <w:tblLook w:firstColumn="1" w:firstRow="1" w:lastColumn="0" w:lastRow="0" w:noHBand="0" w:noVBand="1" w:val="04A0"/>
      </w:tblPr>
      <w:tblGrid>
        <w:gridCol w:w="4932"/>
        <w:gridCol w:w="4932"/>
      </w:tblGrid>
      <w:t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T4-RA8 = T4-RA7 ⊞ PhilosophyPrologue ⊞ NaturalScienceCycle ⊞ ResidualLedger ⊞ EndToEndAnthro ⊞ PublicationGate</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T4-F239</w:t>
              <w:br/>
              <w:t>ROLLBACK</w:t>
            </w:r>
          </w:p>
        </w:tc>
      </w:tr>
    </w:tbl>
    <w:tbl>
      <w:tblPr>
        <w:tblStyle w:val="TableGrid"/>
        <w:tblW w:type="auto" w:w="0"/>
        <w:jc w:val="center"/>
        <w:tblLayout w:type="fixed"/>
        <w:tblLook w:firstColumn="1" w:firstRow="1" w:lastColumn="0" w:lastRow="0" w:noHBand="0" w:noVBand="1" w:val="04A0"/>
      </w:tblPr>
      <w:tblGrid>
        <w:gridCol w:w="4932"/>
        <w:gridCol w:w="4932"/>
      </w:tblGrid>
      <w:tr>
        <w:tc>
          <w:tcPr>
            <w:tcW w:type="dxa" w:w="7992"/>
            <w:tcMar>
              <w:top w:w="90" w:type="dxa"/>
              <w:start w:w="100" w:type="dxa"/>
              <w:bottom w:w="90" w:type="dxa"/>
              <w:end w:w="100" w:type="dxa"/>
            </w:tcMar>
            <w:vAlign w:val="center"/>
            <w:shd w:fill="F8FAFC"/>
          </w:tcPr>
          <w:p>
            <w:pPr>
              <w:jc w:val="center"/>
            </w:pPr>
            <w:r>
              <w:rPr>
                <w:rFonts w:ascii="DejaVu Serif" w:hAnsi="DejaVu Serif" w:eastAsia="DejaVu Serif"/>
                <w:sz w:val="20"/>
              </w:rPr>
              <w:t>Human_R = locus(question, action, memory, relation, responsibility) under D / Dom / L</w:t>
            </w:r>
          </w:p>
        </w:tc>
        <w:tc>
          <w:tcPr>
            <w:tcW w:type="dxa" w:w="1655"/>
            <w:tcMar>
              <w:top w:w="90" w:type="dxa"/>
              <w:start w:w="100" w:type="dxa"/>
              <w:bottom w:w="90" w:type="dxa"/>
              <w:end w:w="100" w:type="dxa"/>
            </w:tcMar>
            <w:vAlign w:val="center"/>
            <w:shd w:fill="FFF8E8"/>
          </w:tcPr>
          <w:p>
            <w:pPr>
              <w:jc w:val="center"/>
            </w:pPr>
            <w:r>
              <w:rPr>
                <w:rFonts w:ascii="DejaVu Sans" w:hAnsi="DejaVu Sans" w:eastAsia="DejaVu Sans"/>
                <w:b/>
                <w:color w:val="1F416A"/>
                <w:sz w:val="15"/>
              </w:rPr>
              <w:t>T4-F240</w:t>
              <w:br/>
              <w:t>FINAL SYNOPSIS</w:t>
            </w:r>
          </w:p>
        </w:tc>
      </w:tr>
    </w:tbl>
    <w:tbl>
      <w:tblPr>
        <w:tblStyle w:val="TableGrid"/>
        <w:tblW w:type="auto" w:w="0"/>
        <w:jc w:val="center"/>
        <w:tblLayout w:type="fixed"/>
        <w:tblLook w:firstColumn="1" w:firstRow="1" w:lastColumn="0" w:lastRow="0" w:noHBand="0" w:noVBand="1" w:val="04A0"/>
      </w:tblPr>
      <w:tblGrid>
        <w:gridCol w:w="9865"/>
      </w:tblGrid>
      <w:tr>
        <w:tc>
          <w:tcPr>
            <w:tcW w:type="dxa" w:w="9720"/>
            <w:tcMar>
              <w:top w:w="90" w:type="dxa"/>
              <w:start w:w="100" w:type="dxa"/>
              <w:bottom w:w="90" w:type="dxa"/>
              <w:end w:w="100" w:type="dxa"/>
            </w:tcMar>
            <w:shd w:fill="EDF6F0"/>
            <w:vAlign w:val="center"/>
          </w:tcPr>
          <w:p>
            <w:r>
              <w:rPr>
                <w:rFonts w:ascii="DejaVu Serif" w:hAnsi="DejaVu Serif" w:eastAsia="DejaVu Serif"/>
                <w:b/>
                <w:color w:val="1F416A"/>
                <w:sz w:val="20"/>
              </w:rPr>
              <w:t>РЕЗУЛЬТАТ ГЛАВЫ 24.</w:t>
            </w:r>
            <w:r>
              <w:rPr>
                <w:rFonts w:ascii="DejaVu Serif" w:hAnsi="DejaVu Serif" w:eastAsia="DejaVu Serif"/>
                <w:sz w:val="20"/>
              </w:rPr>
              <w:t xml:space="preserve"> End-to-end оператор не замыкает человека в алгоритме. Он делает видимыми границы алгоритма: неперенесённый остаток, открытый блокер, право на возражение, ответственность и корректный отказ. В этом состоит философско-антропологическая функция Тома IV для всего проекта «ЛОГИКА КУРПИШЕВА 2».</w:t>
            </w:r>
          </w:p>
        </w:tc>
      </w:tr>
    </w:tbl>
    <w:p>
      <w:pPr>
        <w:pStyle w:val="Heading1"/>
        <w:keepNext/>
        <w:pageBreakBefore w:val="0"/>
        <w:widowControl/>
        <w:spacing w:before="200" w:after="100"/>
      </w:pPr>
      <w:r>
        <w:t>Заключение T4-NATPHIL-v0.8</w:t>
      </w:r>
    </w:p>
    <w:p>
      <w:pPr>
        <w:keepLines w:val="0"/>
        <w:widowControl/>
        <w:spacing w:after="80" w:before="0" w:line="269" w:lineRule="auto"/>
        <w:ind w:firstLine="425"/>
        <w:jc w:val="both"/>
      </w:pPr>
      <w:r>
        <w:rPr>
          <w:rFonts w:ascii="DejaVu Serif" w:hAnsi="DejaVu Serif" w:eastAsia="DejaVu Serif"/>
          <w:sz w:val="21"/>
        </w:rPr>
        <w:t>Контрольная точка T4-NATPHIL-v0.8 завершает содержательный каркас всех двадцати четырёх глав Тома IV. Том начинается с двух постоянных ядер KLT-RBD - вариационного порождения и пакетной инвариантности - и приходит к человеку как месту, где событие мира становится вопросом, действием, памятью, документом, научным тезисом и ответственностью. Философия здесь не находится после математики: она удерживает смысл объектов, границы редукции и допустимость применения.</w:t>
      </w:r>
    </w:p>
    <w:p>
      <w:pPr>
        <w:keepLines w:val="0"/>
        <w:widowControl/>
        <w:spacing w:after="80" w:before="0" w:line="269" w:lineRule="auto"/>
        <w:ind w:firstLine="425"/>
        <w:jc w:val="both"/>
      </w:pPr>
      <w:r>
        <w:rPr>
          <w:rFonts w:ascii="DejaVu Serif" w:hAnsi="DejaVu Serif" w:eastAsia="DejaVu Serif"/>
          <w:sz w:val="21"/>
        </w:rPr>
        <w:t>Главный результат Тома IV состоит в построении status-preserving мостов между мировой, человеческой и машинной связностью. Естествознание представлено как цикл наблюдения, прибора, записи, модели, объяснения, проверки и вмешательства. Любая редукция снабжается residual ledger. Любой машинный вывод проходит end-to-end антропологический оператор и publication gate. При незакрытом основании, потере provenance, отсутствии согласия, воспроизводимости или ответственного субъекта корректным результатом остаётся ABSTAIN.</w:t>
      </w:r>
    </w:p>
    <w:tbl>
      <w:tblPr>
        <w:tblW w:type="auto" w:w="0"/>
        <w:jc w:val="center"/>
        <w:tblLayout w:type="fixed"/>
        <w:tblLook w:firstColumn="1" w:firstRow="1" w:lastColumn="0" w:lastRow="0" w:noHBand="0" w:noVBand="1" w:val="04A0"/>
      </w:tblPr>
      <w:tblGrid>
        <w:gridCol w:w="9638"/>
      </w:tblGrid>
      <w:tr>
        <w:trPr>
          <w:cantSplit/>
          <w:trHeight w:hRule="atLeast"/>
          <w:tblHeader w:val="true"/>
        </w:trPr>
        <w:tc>
          <w:tcPr>
            <w:tcW w:type="dxa" w:w="9865"/>
            <w:shd w:fill="EAF0F7" w:val="clear"/>
            <w:tcMar>
              <w:top w:w="90" w:type="dxa"/>
              <w:start w:w="100" w:type="dxa"/>
              <w:bottom w:w="90" w:type="dxa"/>
              <w:end w:w="100" w:type="dxa"/>
            </w:tcMar>
            <w:vAlign w:val="center"/>
            <w:tcBorders>
              <w:top w:val="single" w:sz="12" w:color="9A3E3E"/>
              <w:left w:val="single" w:sz="12" w:color="9A3E3E"/>
              <w:bottom w:val="single" w:sz="12" w:color="9A3E3E"/>
              <w:right w:val="single" w:sz="12" w:color="9A3E3E"/>
            </w:tcBorders>
          </w:tcPr>
          <w:p>
            <w:pPr>
              <w:widowControl/>
              <w:spacing w:before="0" w:after="0" w:line="252" w:lineRule="auto"/>
              <w:jc w:val="left"/>
            </w:pPr>
            <w:r>
              <w:rPr>
                <w:rFonts w:ascii="DejaVu Serif" w:hAnsi="DejaVu Serif" w:eastAsia="DejaVu Serif"/>
                <w:sz w:val="19"/>
              </w:rPr>
              <w:t>ТЕКУЩАЯ ТОЧКА ОТКАТА T4-RA8. При downstream-конфликте сохраняются T4-RA7, философский пролог, цикл естествознания, residual ledger, end-to-end антропологический оператор и publication gate. Запрещено скрывать потерю смысла, права на возражение, согласия или ответственности.</w:t>
            </w:r>
          </w:p>
        </w:tc>
      </w:tr>
    </w:tbl>
    <w:p>
      <w:pPr>
        <w:widowControl/>
        <w:spacing w:after="0"/>
      </w:pPr>
    </w:p>
    <w:p>
      <w:pPr>
        <w:keepNext w:val="0"/>
        <w:widowControl/>
        <w:spacing w:after="80" w:line="269" w:lineRule="auto"/>
      </w:pPr>
      <w:r>
        <w:rPr>
          <w:rFonts w:ascii="DejaVu Serif" w:hAnsi="DejaVu Serif" w:eastAsia="DejaVu Serif"/>
          <w:sz w:val="21"/>
        </w:rPr>
        <w:t>Следующая стадия T4-AUDIT-v0.9 не должна добавлять новые философские декларации без необходимости. Её задача - проверить весь 24-главный корпус: устранить повторы, синхронизировать формулы T4-F001-T4-F240, проверить библиографию и атрибуцию, согласовать доказательные обязательства, провести accessibility/layout QA и подготовить freeze-candidate без повышения математических, исторических, антропологических или физических статусов.</w:t>
      </w:r>
    </w:p>
    <w:p>
      <w:pPr>
        <w:pStyle w:val="Heading2"/>
        <w:keepNext/>
        <w:pageBreakBefore w:val="0"/>
        <w:widowControl/>
        <w:spacing w:before="140" w:after="100"/>
      </w:pPr>
      <w:r>
        <w:t>Статусы доказательных обязательств после v0.8</w:t>
      </w:r>
    </w:p>
    <w:tbl>
      <w:tblPr>
        <w:tblStyle w:val="TableGrid"/>
        <w:tblW w:type="auto" w:w="0"/>
        <w:jc w:val="center"/>
        <w:tblLayout w:type="fixed"/>
        <w:tblLook w:firstColumn="1" w:firstRow="1" w:lastColumn="0" w:lastRow="0" w:noHBand="0" w:noVBand="1" w:val="04A0"/>
      </w:tblPr>
      <w:tblGrid>
        <w:gridCol w:w="1417"/>
        <w:gridCol w:w="5499"/>
        <w:gridCol w:w="2721"/>
      </w:tblGrid>
      <w:tr>
        <w:trPr>
          <w:trHeight w:hRule="atLeast"/>
          <w:tblHeader w:val="true"/>
          <w:cantSplit/>
        </w:trPr>
        <w:tc>
          <w:tcPr>
            <w:tcW w:type="dxa" w:w="1512"/>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6"/>
              </w:rPr>
              <w:t>ID</w:t>
            </w:r>
          </w:p>
        </w:tc>
        <w:tc>
          <w:tcPr>
            <w:tcW w:type="dxa" w:w="5472"/>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6"/>
              </w:rPr>
              <w:t>Обязательство</w:t>
            </w:r>
          </w:p>
        </w:tc>
        <w:tc>
          <w:tcPr>
            <w:tcW w:type="dxa" w:w="2232"/>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6"/>
              </w:rPr>
              <w:t>Статус</w:t>
            </w:r>
          </w:p>
        </w:tc>
      </w:tr>
      <w:tr>
        <w:trPr>
          <w:cantSplit/>
          <w:trHeight w:hRule="atLeast"/>
        </w:trPr>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6"/>
              </w:rPr>
              <w:t>T4-PO-004</w:t>
            </w:r>
          </w:p>
        </w:tc>
        <w:tc>
          <w:tcPr>
            <w:tcW w:type="dxa" w:w="547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Определить C@C_human и различить ядро/декорирование.</w:t>
            </w:r>
          </w:p>
        </w:tc>
        <w:tc>
          <w:tcPr>
            <w:tcW w:type="dxa" w:w="223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CLOSED · DEF-FORMAL</w:t>
            </w:r>
          </w:p>
        </w:tc>
      </w:tr>
      <w:tr>
        <w:trPr>
          <w:cantSplit/>
          <w:trHeight w:hRule="atLeast"/>
        </w:trPr>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6"/>
              </w:rPr>
              <w:t>T4-PO-005</w:t>
            </w:r>
          </w:p>
        </w:tc>
        <w:tc>
          <w:tcPr>
            <w:tcW w:type="dxa" w:w="547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Задать категорию антропологических состояний и частичных переходов.</w:t>
            </w:r>
          </w:p>
        </w:tc>
        <w:tc>
          <w:tcPr>
            <w:tcW w:type="dxa" w:w="223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CLOSED · THM-FORMAL</w:t>
            </w:r>
          </w:p>
        </w:tc>
      </w:tr>
      <w:tr>
        <w:trPr>
          <w:cantSplit/>
          <w:trHeight w:hRule="atLeast"/>
        </w:trPr>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6"/>
              </w:rPr>
              <w:t>T4-PO-006</w:t>
            </w:r>
          </w:p>
        </w:tc>
        <w:tc>
          <w:tcPr>
            <w:tcW w:type="dxa" w:w="547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Определить Human_R и λ-gate.</w:t>
            </w:r>
          </w:p>
        </w:tc>
        <w:tc>
          <w:tcPr>
            <w:tcW w:type="dxa" w:w="223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CLOSED · DEF-FORMAL; λ bridge COND</w:t>
            </w:r>
          </w:p>
        </w:tc>
      </w:tr>
      <w:tr>
        <w:trPr>
          <w:cantSplit/>
          <w:trHeight w:hRule="atLeast"/>
        </w:trPr>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6"/>
              </w:rPr>
              <w:t>T4-PO-007</w:t>
            </w:r>
          </w:p>
        </w:tc>
        <w:tc>
          <w:tcPr>
            <w:tcW w:type="dxa" w:w="547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Зафиксировать Dom/Cod Δ_h, Ξ_h, Υ_h.</w:t>
            </w:r>
          </w:p>
        </w:tc>
        <w:tc>
          <w:tcPr>
            <w:tcW w:type="dxa" w:w="223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CLOSED · DEF-FORMAL</w:t>
            </w:r>
          </w:p>
        </w:tc>
      </w:tr>
      <w:tr>
        <w:trPr>
          <w:cantSplit/>
          <w:trHeight w:hRule="atLeast"/>
        </w:trPr>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6"/>
              </w:rPr>
              <w:t>T4-PO-008</w:t>
            </w:r>
          </w:p>
        </w:tc>
        <w:tc>
          <w:tcPr>
            <w:tcW w:type="dxa" w:w="547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Доказать композиционную связность и status monotonicity.</w:t>
            </w:r>
          </w:p>
        </w:tc>
        <w:tc>
          <w:tcPr>
            <w:tcW w:type="dxa" w:w="223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6"/>
              </w:rPr>
              <w:t>CLOSED formal composition; metaphysical bridge OPEN</w:t>
            </w:r>
          </w:p>
        </w:tc>
      </w:tr>
      <w:tr>
        <w:trPr>
          <w:cantSplit/>
          <w:trHeight w:hRule="atLeast"/>
        </w:trPr>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6"/>
              </w:rPr>
              <w:t>T4-PO-009</w:t>
            </w:r>
          </w:p>
        </w:tc>
        <w:tc>
          <w:tcPr>
            <w:tcW w:type="dxa" w:w="547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Развить память как версионированную реконструкцию.</w:t>
            </w:r>
          </w:p>
        </w:tc>
        <w:tc>
          <w:tcPr>
            <w:tcW w:type="dxa" w:w="223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left"/>
            </w:pPr>
            <w:r>
              <w:rPr>
                <w:rFonts w:ascii="DejaVu Serif" w:hAnsi="DejaVu Serif" w:eastAsia="DejaVu Serif"/>
                <w:b w:val="0"/>
                <w:color w:val="1A2433"/>
                <w:sz w:val="16"/>
              </w:rPr>
              <w:t>CLOSED · DEF/THM-FORMAL</w:t>
            </w:r>
          </w:p>
        </w:tc>
      </w:tr>
      <w:tr>
        <w:trPr>
          <w:cantSplit/>
          <w:trHeight w:hRule="atLeast"/>
        </w:trPr>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6"/>
              </w:rPr>
              <w:t>T4-PO-010</w:t>
            </w:r>
          </w:p>
        </w:tc>
        <w:tc>
          <w:tcPr>
            <w:tcW w:type="dxa" w:w="547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Формализовать witness conflict и reconciliation.</w:t>
            </w:r>
          </w:p>
        </w:tc>
        <w:tc>
          <w:tcPr>
            <w:tcW w:type="dxa" w:w="223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6"/>
              </w:rPr>
              <w:t>PARTIAL · reconciliation rules future</w:t>
            </w:r>
          </w:p>
        </w:tc>
      </w:tr>
      <w:tr>
        <w:trPr>
          <w:cantSplit/>
          <w:trHeight w:hRule="atLeast"/>
        </w:trPr>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6"/>
              </w:rPr>
              <w:t>T4-PO-011</w:t>
            </w:r>
          </w:p>
        </w:tc>
        <w:tc>
          <w:tcPr>
            <w:tcW w:type="dxa" w:w="547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Условия ретро-Reperной реконструкции.</w:t>
            </w:r>
          </w:p>
        </w:tc>
        <w:tc>
          <w:tcPr>
            <w:tcW w:type="dxa" w:w="223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left"/>
            </w:pPr>
            <w:r>
              <w:rPr>
                <w:rFonts w:ascii="DejaVu Serif" w:hAnsi="DejaVu Serif" w:eastAsia="DejaVu Serif"/>
                <w:b w:val="0"/>
                <w:color w:val="1A2433"/>
                <w:sz w:val="16"/>
              </w:rPr>
              <w:t>PARTIAL-CLOSED · provenance invariants; empirical memory bridge OPEN</w:t>
            </w:r>
          </w:p>
        </w:tc>
      </w:tr>
      <w:tr>
        <w:trPr>
          <w:cantSplit/>
          <w:trHeight w:hRule="atLeast"/>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6"/>
              </w:rPr>
              <w:t>T4-PO-016</w:t>
            </w:r>
          </w:p>
        </w:tc>
        <w:tc>
          <w:tcPr>
            <w:tcW w:type="dxa" w:w="547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Определить антропологический CGI/разрывы без клинической диагностики.</w:t>
            </w:r>
          </w:p>
        </w:tc>
        <w:tc>
          <w:tcPr>
            <w:tcW w:type="dxa" w:w="223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PREPARED by hole/chain metrics; OPEN → later stage</w:t>
            </w:r>
          </w:p>
        </w:tc>
      </w:tr>
      <w:tr>
        <w:trPr>
          <w:cantSplit/>
          <w:trHeight w:hRule="atLeast"/>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6"/>
              </w:rPr>
              <w:t>T4-BLK-ARNOLD-001</w:t>
            </w:r>
          </w:p>
        </w:tc>
        <w:tc>
          <w:tcPr>
            <w:tcW w:type="dxa" w:w="547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6"/>
              </w:rPr>
              <w:t>Сверить первичный скан Арнольд 1990, с. 98-102, с републикацией шести выводов.</w:t>
            </w:r>
          </w:p>
        </w:tc>
        <w:tc>
          <w:tcPr>
            <w:tcW w:type="dxa" w:w="223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6"/>
              </w:rPr>
              <w:t>PARTIAL · BIBLIOGRAPHIC POINTER LOCATED</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T4-ML-PO-001</w:t>
            </w:r>
          </w:p>
        </w:tc>
        <w:tc>
          <w:tcPr>
            <w:tcW w:type="dxa" w:w="549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Разделить авторство/статусы двух слоёв заметки.</w:t>
            </w:r>
          </w:p>
        </w:tc>
        <w:tc>
          <w:tcPr>
            <w:tcW w:type="dxa" w:w="272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CLOSED · SOURCE AUDIT</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T4-ML-PO-002</w:t>
            </w:r>
          </w:p>
        </w:tc>
        <w:tc>
          <w:tcPr>
            <w:tcW w:type="dxa" w:w="549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Дать полную ML theorem и regular ambiguity.</w:t>
            </w:r>
          </w:p>
        </w:tc>
        <w:tc>
          <w:tcPr>
            <w:tcW w:type="dxa" w:w="272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CLOSED · CLASSICAL THM</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T4-ML-PO-003</w:t>
            </w:r>
          </w:p>
        </w:tc>
        <w:tc>
          <w:tcPr>
            <w:tcW w:type="dxa" w:w="549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Исправить tan/multipole/spin/domain claims.</w:t>
            </w:r>
          </w:p>
        </w:tc>
        <w:tc>
          <w:tcPr>
            <w:tcW w:type="dxa" w:w="272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CLOSED · MATH AUDIT</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T4-ML-PO-004</w:t>
            </w:r>
          </w:p>
        </w:tc>
        <w:tc>
          <w:tcPr>
            <w:tcW w:type="dxa" w:w="549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Определить H,M,P и exact sequence.</w:t>
            </w:r>
          </w:p>
        </w:tc>
        <w:tc>
          <w:tcPr>
            <w:tcW w:type="dxa" w:w="272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CLOSED · DEF/CLASSICAL</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T4-ML-PO-005</w:t>
            </w:r>
          </w:p>
        </w:tc>
        <w:tc>
          <w:tcPr>
            <w:tcW w:type="dxa" w:w="549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Определить Ob_ML и доказать KLT local-to-global theorem.</w:t>
            </w:r>
          </w:p>
        </w:tc>
        <w:tc>
          <w:tcPr>
            <w:tcW w:type="dxa" w:w="272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CLOSED · THM-FORMAL/COND</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T4-ML-PO-006</w:t>
            </w:r>
          </w:p>
        </w:tc>
        <w:tc>
          <w:tcPr>
            <w:tcW w:type="dxa" w:w="549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Доказать counterterm principal-part preservation и convergence gate.</w:t>
            </w:r>
          </w:p>
        </w:tc>
        <w:tc>
          <w:tcPr>
            <w:tcW w:type="dxa" w:w="272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CLOSED · CLASSICAL</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T4-ML-PO-007</w:t>
            </w:r>
          </w:p>
        </w:tc>
        <w:tc>
          <w:tcPr>
            <w:tcW w:type="dxa" w:w="549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Определить language regularization и invariance.</w:t>
            </w:r>
          </w:p>
        </w:tc>
        <w:tc>
          <w:tcPr>
            <w:tcW w:type="dxa" w:w="272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CLOSED · THM-FORMAL</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T4-ML-PO-008</w:t>
            </w:r>
          </w:p>
        </w:tc>
        <w:tc>
          <w:tcPr>
            <w:tcW w:type="dxa" w:w="549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Определить PIT и идемпотентность.</w:t>
            </w:r>
          </w:p>
        </w:tc>
        <w:tc>
          <w:tcPr>
            <w:tcW w:type="dxa" w:w="272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CLOSED FORMAL; SOFTWARE OPEN</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T4-ML-PO-009</w:t>
            </w:r>
          </w:p>
        </w:tc>
        <w:tc>
          <w:tcPr>
            <w:tcW w:type="dxa" w:w="549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Типизировать Kurpishev system и atlas gate.</w:t>
            </w:r>
          </w:p>
        </w:tc>
        <w:tc>
          <w:tcPr>
            <w:tcW w:type="dxa" w:w="272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PARTIAL · FULL ATLAS OPEN</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T4-ML-PO-010</w:t>
            </w:r>
          </w:p>
        </w:tc>
        <w:tc>
          <w:tcPr>
            <w:tcW w:type="dxa" w:w="549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Доказать observer equivalence modulo regular background.</w:t>
            </w:r>
          </w:p>
        </w:tc>
        <w:tc>
          <w:tcPr>
            <w:tcW w:type="dxa" w:w="272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CLOSED · THM-FORMAL</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T4-ML-PO-011</w:t>
            </w:r>
          </w:p>
        </w:tc>
        <w:tc>
          <w:tcPr>
            <w:tcW w:type="dxa" w:w="549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Типизировать RPLD1/RPLD2/RPLD.</w:t>
            </w:r>
          </w:p>
        </w:tc>
        <w:tc>
          <w:tcPr>
            <w:tcW w:type="dxa" w:w="272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CLOSED MODEL; EMP BRIDGE OPEN</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T4-ML-PO-012</w:t>
            </w:r>
          </w:p>
        </w:tc>
        <w:tc>
          <w:tcPr>
            <w:tcW w:type="dxa" w:w="549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Исторический atlas/refinement и obstruction naturality.</w:t>
            </w:r>
          </w:p>
        </w:tc>
        <w:tc>
          <w:tcPr>
            <w:tcW w:type="dxa" w:w="272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CLOSED COND</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T4-ML-PO-013</w:t>
            </w:r>
          </w:p>
        </w:tc>
        <w:tc>
          <w:tcPr>
            <w:tcW w:type="dxa" w:w="549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Сформировать междисциплинарную export matrix.</w:t>
            </w:r>
          </w:p>
        </w:tc>
        <w:tc>
          <w:tcPr>
            <w:tcW w:type="dxa" w:w="272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CLOSED · EMP-PLAN</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T4-ML-PO-014</w:t>
            </w:r>
          </w:p>
        </w:tc>
        <w:tc>
          <w:tcPr>
            <w:tcW w:type="dxa" w:w="549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Получить exact bytes трёх library posters для frozen package.</w:t>
            </w:r>
          </w:p>
        </w:tc>
        <w:tc>
          <w:tcPr>
            <w:tcW w:type="dxa" w:w="272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OPEN NON-VETO</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T4-ML-PO-015</w:t>
            </w:r>
          </w:p>
        </w:tc>
        <w:tc>
          <w:tcPr>
            <w:tcW w:type="dxa" w:w="549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Реализовать KLT-RBD schema fields principal_part/counterterm/gauge/obstruction.</w:t>
            </w:r>
          </w:p>
        </w:tc>
        <w:tc>
          <w:tcPr>
            <w:tcW w:type="dxa" w:w="272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OPEN → VOLUME V</w:t>
            </w:r>
          </w:p>
        </w:tc>
      </w:tr>
      <w:tr>
        <w:trPr>
          <w:trHeight w:hRule="atLeast"/>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T4-DLG-PO-001</w:t>
            </w:r>
          </w:p>
        </w:tc>
        <w:tc>
          <w:tcPr>
            <w:tcW w:type="dxa" w:w="549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Зарегистрировать авторскую заметку и legacy-версии.</w:t>
            </w:r>
          </w:p>
        </w:tc>
        <w:tc>
          <w:tcPr>
            <w:tcW w:type="dxa" w:w="272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CLOSED · SOURCE AUDIT</w:t>
            </w:r>
          </w:p>
        </w:tc>
      </w:tr>
      <w:tr>
        <w:trPr>
          <w:trHeight w:hRule="atLeast"/>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T4-DLG-PO-002</w:t>
            </w:r>
          </w:p>
        </w:tc>
        <w:tc>
          <w:tcPr>
            <w:tcW w:type="dxa" w:w="549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Проверить цитату Леви-Брюля и библиографическую локализацию.</w:t>
            </w:r>
          </w:p>
        </w:tc>
        <w:tc>
          <w:tcPr>
            <w:tcW w:type="dxa" w:w="272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CLOSED TEXT; PAGE BY EDITION OPEN</w:t>
            </w:r>
          </w:p>
        </w:tc>
      </w:tr>
      <w:tr>
        <w:trPr>
          <w:trHeight w:hRule="atLeast"/>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T4-DLG-PO-003</w:t>
            </w:r>
          </w:p>
        </w:tc>
        <w:tc>
          <w:tcPr>
            <w:tcW w:type="dxa" w:w="549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Задать R-атлас без тотального ранжирования.</w:t>
            </w:r>
          </w:p>
        </w:tc>
        <w:tc>
          <w:tcPr>
            <w:tcW w:type="dxa" w:w="272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CLOSED · DEF/THM</w:t>
            </w:r>
          </w:p>
        </w:tc>
      </w:tr>
      <w:tr>
        <w:trPr>
          <w:trHeight w:hRule="atLeast"/>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T4-DLG-PO-004</w:t>
            </w:r>
          </w:p>
        </w:tc>
        <w:tc>
          <w:tcPr>
            <w:tcW w:type="dxa" w:w="549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Разделить participation и causal support layers.</w:t>
            </w:r>
          </w:p>
        </w:tc>
        <w:tc>
          <w:tcPr>
            <w:tcW w:type="dxa" w:w="272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CLOSED · TYPE DEF</w:t>
            </w:r>
          </w:p>
        </w:tc>
      </w:tr>
      <w:tr>
        <w:trPr>
          <w:trHeight w:hRule="atLeast"/>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T4-DLG-PO-005</w:t>
            </w:r>
          </w:p>
        </w:tc>
        <w:tc>
          <w:tcPr>
            <w:tcW w:type="dxa" w:w="549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Определить K(A)-матрицу «Перьев».</w:t>
            </w:r>
          </w:p>
        </w:tc>
        <w:tc>
          <w:tcPr>
            <w:tcW w:type="dxa" w:w="272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CLOSED · DEF</w:t>
            </w:r>
          </w:p>
        </w:tc>
      </w:tr>
      <w:tr>
        <w:trPr>
          <w:trHeight w:hRule="atLeast"/>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T4-DLG-PO-006</w:t>
            </w:r>
          </w:p>
        </w:tc>
        <w:tc>
          <w:tcPr>
            <w:tcW w:type="dxa" w:w="549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Доказать rank/kernel/spectrum theorem.</w:t>
            </w:r>
          </w:p>
        </w:tc>
        <w:tc>
          <w:tcPr>
            <w:tcW w:type="dxa" w:w="272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CLOSED · THM-FORMAL</w:t>
            </w:r>
          </w:p>
        </w:tc>
      </w:tr>
      <w:tr>
        <w:trPr>
          <w:trHeight w:hRule="atLeast"/>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T4-DLG-PO-007</w:t>
            </w:r>
          </w:p>
        </w:tc>
        <w:tc>
          <w:tcPr>
            <w:tcW w:type="dxa" w:w="549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Построить минимальную опорную факторизацию.</w:t>
            </w:r>
          </w:p>
        </w:tc>
        <w:tc>
          <w:tcPr>
            <w:tcW w:type="dxa" w:w="272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CLOSED · CLASSICAL THM/KLT INTERPRETATION</w:t>
            </w:r>
          </w:p>
        </w:tc>
      </w:tr>
      <w:tr>
        <w:trPr>
          <w:trHeight w:hRule="atLeast"/>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T4-DLG-PO-008</w:t>
            </w:r>
          </w:p>
        </w:tc>
        <w:tc>
          <w:tcPr>
            <w:tcW w:type="dxa" w:w="549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Доказать trace non-identifiability.</w:t>
            </w:r>
          </w:p>
        </w:tc>
        <w:tc>
          <w:tcPr>
            <w:tcW w:type="dxa" w:w="272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CLOSED · THM-FORMAL</w:t>
            </w:r>
          </w:p>
        </w:tc>
      </w:tr>
      <w:tr>
        <w:trPr>
          <w:trHeight w:hRule="atLeast"/>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T4-DLG-PO-009</w:t>
            </w:r>
          </w:p>
        </w:tc>
        <w:tc>
          <w:tcPr>
            <w:tcW w:type="dxa" w:w="549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Определить daemon-gap и elimination gate.</w:t>
            </w:r>
          </w:p>
        </w:tc>
        <w:tc>
          <w:tcPr>
            <w:tcW w:type="dxa" w:w="272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CLOSED · DEF/THM-BY-DEF</w:t>
            </w:r>
          </w:p>
        </w:tc>
      </w:tr>
      <w:tr>
        <w:trPr>
          <w:trHeight w:hRule="atLeast"/>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T4-DLG-PO-010</w:t>
            </w:r>
          </w:p>
        </w:tc>
        <w:tc>
          <w:tcPr>
            <w:tcW w:type="dxa" w:w="549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Формализовать R−1→R−02→R−03.</w:t>
            </w:r>
          </w:p>
        </w:tc>
        <w:tc>
          <w:tcPr>
            <w:tcW w:type="dxa" w:w="272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CLOSED MODEL; EMP OPEN</w:t>
            </w:r>
          </w:p>
        </w:tc>
      </w:tr>
      <w:tr>
        <w:trPr>
          <w:trHeight w:hRule="atLeast"/>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T4-DLG-PO-011</w:t>
            </w:r>
          </w:p>
        </w:tc>
        <w:tc>
          <w:tcPr>
            <w:tcW w:type="dxa" w:w="549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Типизировать Enoch Fold и χ.</w:t>
            </w:r>
          </w:p>
        </w:tc>
        <w:tc>
          <w:tcPr>
            <w:tcW w:type="dxa" w:w="272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CLOSED HERM-MODEL; MATH χ OPEN</w:t>
            </w:r>
          </w:p>
        </w:tc>
      </w:tr>
      <w:tr>
        <w:trPr>
          <w:trHeight w:hRule="atLeast"/>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T4-DLG-PO-012</w:t>
            </w:r>
          </w:p>
        </w:tc>
        <w:tc>
          <w:tcPr>
            <w:tcW w:type="dxa" w:w="549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Разделить text/history/theology/KLT model.</w:t>
            </w:r>
          </w:p>
        </w:tc>
        <w:tc>
          <w:tcPr>
            <w:tcW w:type="dxa" w:w="272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CLOSED · STATUS FIREWALL</w:t>
            </w:r>
          </w:p>
        </w:tc>
      </w:tr>
      <w:tr>
        <w:trPr>
          <w:trHeight w:hRule="atLeast"/>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T4-DLG-PO-013</w:t>
            </w:r>
          </w:p>
        </w:tc>
        <w:tc>
          <w:tcPr>
            <w:tcW w:type="dxa" w:w="549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Определить Melichron.</w:t>
            </w:r>
          </w:p>
        </w:tc>
        <w:tc>
          <w:tcPr>
            <w:tcW w:type="dxa" w:w="272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OPEN BLOCKER</w:t>
            </w:r>
          </w:p>
        </w:tc>
      </w:tr>
      <w:tr>
        <w:trPr>
          <w:trHeight w:hRule="atLeast"/>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T4-DLG-PO-014</w:t>
            </w:r>
          </w:p>
        </w:tc>
        <w:tc>
          <w:tcPr>
            <w:tcW w:type="dxa" w:w="549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Проверить гипотезу о конфуцианской смеси режимов.</w:t>
            </w:r>
          </w:p>
        </w:tc>
        <w:tc>
          <w:tcPr>
            <w:tcW w:type="dxa" w:w="272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OPEN HIST-EMP</w:t>
            </w:r>
          </w:p>
        </w:tc>
      </w:tr>
      <w:tr>
        <w:trPr>
          <w:trHeight w:hRule="atLeast"/>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T4-DLG-PO-015</w:t>
            </w:r>
          </w:p>
        </w:tc>
        <w:tc>
          <w:tcPr>
            <w:tcW w:type="dxa" w:w="549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Операционализировать R-режимы на корпусах и экспериментах.</w:t>
            </w:r>
          </w:p>
        </w:tc>
        <w:tc>
          <w:tcPr>
            <w:tcW w:type="dxa" w:w="272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OPEN EMP-PLAN</w:t>
            </w:r>
          </w:p>
        </w:tc>
      </w:tr>
      <w:tr>
        <w:trPr>
          <w:trHeight w:hRule="atLeast"/>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T4-DLG-PO-016</w:t>
            </w:r>
          </w:p>
        </w:tc>
        <w:tc>
          <w:tcPr>
            <w:tcW w:type="dxa" w:w="549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Реализовать Feather/support/daemon schema в KLT-RBD.</w:t>
            </w:r>
          </w:p>
        </w:tc>
        <w:tc>
          <w:tcPr>
            <w:tcW w:type="dxa" w:w="272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OPEN → VOLUME V</w:t>
            </w:r>
          </w:p>
        </w:tc>
      </w:tr>
      <w:tr>
        <w:trPr>
          <w:trHeight w:hRule="atLeast"/>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T4-CRT-PO-001</w:t>
            </w:r>
          </w:p>
        </w:tc>
        <w:tc>
          <w:tcPr>
            <w:tcW w:type="dxa" w:w="5499"/>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Зафиксировать философскую редакционную норму Тома IV.</w:t>
            </w:r>
          </w:p>
        </w:tc>
        <w:tc>
          <w:tcPr>
            <w:tcW w:type="dxa" w:w="272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CLOSED · EDITORIAL DEF</w:t>
            </w:r>
          </w:p>
        </w:tc>
      </w:tr>
      <w:tr>
        <w:trPr>
          <w:trHeight w:hRule="atLeast"/>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T4-CRT-PO-002</w:t>
            </w:r>
          </w:p>
        </w:tc>
        <w:tc>
          <w:tcPr>
            <w:tcW w:type="dxa" w:w="5499"/>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Определить фиксированную формальную среду E.</w:t>
            </w:r>
          </w:p>
        </w:tc>
        <w:tc>
          <w:tcPr>
            <w:tcW w:type="dxa" w:w="272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CLOSED · DEF</w:t>
            </w:r>
          </w:p>
        </w:tc>
      </w:tr>
      <w:tr>
        <w:trPr>
          <w:trHeight w:hRule="atLeast"/>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T4-CRT-PO-003</w:t>
            </w:r>
          </w:p>
        </w:tc>
        <w:tc>
          <w:tcPr>
            <w:tcW w:type="dxa" w:w="5499"/>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Различить Disc/Inv операционно.</w:t>
            </w:r>
          </w:p>
        </w:tc>
        <w:tc>
          <w:tcPr>
            <w:tcW w:type="dxa" w:w="272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CLOSED · THM-FORMAL</w:t>
            </w:r>
          </w:p>
        </w:tc>
      </w:tr>
      <w:tr>
        <w:trPr>
          <w:trHeight w:hRule="atLeast"/>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T4-CRT-PO-004</w:t>
            </w:r>
          </w:p>
        </w:tc>
        <w:tc>
          <w:tcPr>
            <w:tcW w:type="dxa" w:w="5499"/>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Типизировать математическое видение и proof gate.</w:t>
            </w:r>
          </w:p>
        </w:tc>
        <w:tc>
          <w:tcPr>
            <w:tcW w:type="dxa" w:w="272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CLOSED · MODEL/STATUS THM</w:t>
            </w:r>
          </w:p>
        </w:tc>
      </w:tr>
      <w:tr>
        <w:trPr>
          <w:trHeight w:hRule="atLeast"/>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T4-CRT-PO-005</w:t>
            </w:r>
          </w:p>
        </w:tc>
        <w:tc>
          <w:tcPr>
            <w:tcW w:type="dxa" w:w="5499"/>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Ввести Reper открытия и вектор новизны.</w:t>
            </w:r>
          </w:p>
        </w:tc>
        <w:tc>
          <w:tcPr>
            <w:tcW w:type="dxa" w:w="272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CLOSED · DEF</w:t>
            </w:r>
          </w:p>
        </w:tc>
      </w:tr>
      <w:tr>
        <w:trPr>
          <w:trHeight w:hRule="atLeast"/>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T4-CRT-PO-006</w:t>
            </w:r>
          </w:p>
        </w:tc>
        <w:tc>
          <w:tcPr>
            <w:tcW w:type="dxa" w:w="5499"/>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Определить контекст, τ и commuting D-square.</w:t>
            </w:r>
          </w:p>
        </w:tc>
        <w:tc>
          <w:tcPr>
            <w:tcW w:type="dxa" w:w="272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CLOSED · DEF</w:t>
            </w:r>
          </w:p>
        </w:tc>
      </w:tr>
      <w:tr>
        <w:trPr>
          <w:trHeight w:hRule="atLeast"/>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T4-CRT-PO-007</w:t>
            </w:r>
          </w:p>
        </w:tc>
        <w:tc>
          <w:tcPr>
            <w:tcW w:type="dxa" w:w="5499"/>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Доказать теорему переноса D и ABSTAIN-HERM.</w:t>
            </w:r>
          </w:p>
        </w:tc>
        <w:tc>
          <w:tcPr>
            <w:tcW w:type="dxa" w:w="272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CLOSED · THM-FORMAL</w:t>
            </w:r>
          </w:p>
        </w:tc>
      </w:tr>
      <w:tr>
        <w:trPr>
          <w:trHeight w:hRule="atLeast"/>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T4-CRT-PO-008</w:t>
            </w:r>
          </w:p>
        </w:tc>
        <w:tc>
          <w:tcPr>
            <w:tcW w:type="dxa" w:w="5499"/>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Разделить foreign-D, disagreement, reinterpretation и fraud.</w:t>
            </w:r>
          </w:p>
        </w:tc>
        <w:tc>
          <w:tcPr>
            <w:tcW w:type="dxa" w:w="272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CLOSED · TYPE FIREWALL</w:t>
            </w:r>
          </w:p>
        </w:tc>
      </w:tr>
      <w:tr>
        <w:trPr>
          <w:trHeight w:hRule="atLeast"/>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T4-CRT-PO-009</w:t>
            </w:r>
          </w:p>
        </w:tc>
        <w:tc>
          <w:tcPr>
            <w:tcW w:type="dxa" w:w="5499"/>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Определить g_D и Repair_D.</w:t>
            </w:r>
          </w:p>
        </w:tc>
        <w:tc>
          <w:tcPr>
            <w:tcW w:type="dxa" w:w="272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CLOSED · PARTIAL OPERATOR</w:t>
            </w:r>
          </w:p>
        </w:tc>
      </w:tr>
      <w:tr>
        <w:trPr>
          <w:trHeight w:hRule="atLeast"/>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T4-CRT-PO-010</w:t>
            </w:r>
          </w:p>
        </w:tc>
        <w:tc>
          <w:tcPr>
            <w:tcW w:type="dxa" w:w="5499"/>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Переопределить AnthroCGI как вектор Γ_h.</w:t>
            </w:r>
          </w:p>
        </w:tc>
        <w:tc>
          <w:tcPr>
            <w:tcW w:type="dxa" w:w="272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CLOSED · DEF</w:t>
            </w:r>
          </w:p>
        </w:tc>
      </w:tr>
      <w:tr>
        <w:trPr>
          <w:trHeight w:hRule="atLeast"/>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T4-CRT-PO-011</w:t>
            </w:r>
          </w:p>
        </w:tc>
        <w:tc>
          <w:tcPr>
            <w:tcW w:type="dxa" w:w="5499"/>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Доказать no-canonical-scalarization theorem.</w:t>
            </w:r>
          </w:p>
        </w:tc>
        <w:tc>
          <w:tcPr>
            <w:tcW w:type="dxa" w:w="272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CLOSED · THM-FORMAL</w:t>
            </w:r>
          </w:p>
        </w:tc>
      </w:tr>
      <w:tr>
        <w:trPr>
          <w:trHeight w:hRule="atLeast"/>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T4-CRT-PO-012</w:t>
            </w:r>
          </w:p>
        </w:tc>
        <w:tc>
          <w:tcPr>
            <w:tcW w:type="dxa" w:w="5499"/>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Построить таксономию разрывов и weakest-link repair.</w:t>
            </w:r>
          </w:p>
        </w:tc>
        <w:tc>
          <w:tcPr>
            <w:tcW w:type="dxa" w:w="272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CLOSED · DEF/PROP</w:t>
            </w:r>
          </w:p>
        </w:tc>
      </w:tr>
      <w:tr>
        <w:trPr>
          <w:trHeight w:hRule="atLeast"/>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T4-CRT-PO-013</w:t>
            </w:r>
          </w:p>
        </w:tc>
        <w:tc>
          <w:tcPr>
            <w:tcW w:type="dxa" w:w="5499"/>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Определить Doc_h и Archive_h.</w:t>
            </w:r>
          </w:p>
        </w:tc>
        <w:tc>
          <w:tcPr>
            <w:tcW w:type="dxa" w:w="272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CLOSED · DEF</w:t>
            </w:r>
          </w:p>
        </w:tc>
      </w:tr>
      <w:tr>
        <w:trPr>
          <w:trHeight w:hRule="atLeast"/>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T4-CRT-PO-014</w:t>
            </w:r>
          </w:p>
        </w:tc>
        <w:tc>
          <w:tcPr>
            <w:tcW w:type="dxa" w:w="5499"/>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Доказать независимость authenticity/truth и non-injectivity Enc.</w:t>
            </w:r>
          </w:p>
        </w:tc>
        <w:tc>
          <w:tcPr>
            <w:tcW w:type="dxa" w:w="272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CLOSED · THM-FORMAL</w:t>
            </w:r>
          </w:p>
        </w:tc>
      </w:tr>
      <w:tr>
        <w:trPr>
          <w:trHeight w:hRule="atLeast"/>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T4-CRT-PO-015</w:t>
            </w:r>
          </w:p>
        </w:tc>
        <w:tc>
          <w:tcPr>
            <w:tcW w:type="dxa" w:w="5499"/>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Создать ExtMem_h, RA6 и философский status lock.</w:t>
            </w:r>
          </w:p>
        </w:tc>
        <w:tc>
          <w:tcPr>
            <w:tcW w:type="dxa" w:w="272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CLOSED · AUTHORIAL</w:t>
            </w:r>
          </w:p>
        </w:tc>
      </w:tr>
      <w:tr>
        <w:trPr>
          <w:trHeight w:hRule="atLeast"/>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T4-CRT-PO-016</w:t>
            </w:r>
          </w:p>
        </w:tc>
        <w:tc>
          <w:tcPr>
            <w:tcW w:type="dxa" w:w="5499"/>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Реализовать схемы Disc/Inv/Γ_h/Archive в KLT-RBD и провести доменные исследования.</w:t>
            </w:r>
          </w:p>
        </w:tc>
        <w:tc>
          <w:tcPr>
            <w:tcW w:type="dxa" w:w="272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OPEN → VOLUME V / EMP-PLAN</w:t>
            </w:r>
          </w:p>
        </w:tc>
      </w:tr>
      <w:tr>
        <w:trPr>
          <w:trHeight w:hRule="atLeast"/>
        </w:trPr>
        <w:tc>
          <w:tcPr>
            <w:tcW w:type="dxa" w:w="180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T4-KERN-PO-001</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Define the Size@Dimension index category, carriers and reduction maps.</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CLOSED · DEF</w:t>
            </w:r>
          </w:p>
        </w:tc>
      </w:tr>
      <w:tr>
        <w:trPr>
          <w:trHeight w:hRule="atLeast"/>
        </w:trPr>
        <w:tc>
          <w:tcPr>
            <w:tcW w:type="dxa" w:w="180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T4-KERN-PO-002</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Type the Kurpishev Course-of-Time field Θ_K, metric field g_K and transition potential A_K.</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CLOSED · DEF/MODEL</w:t>
            </w:r>
          </w:p>
        </w:tc>
      </w:tr>
      <w:tr>
        <w:trPr>
          <w:trHeight w:hRule="atLeast"/>
        </w:trPr>
        <w:tc>
          <w:tcPr>
            <w:tcW w:type="dxa" w:w="180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T4-KERN-PO-003</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Define P@P as PIX internal metric throws plus PEAKS projective-harmonic transitions.</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CLOSED · AUTHORIAL DEF</w:t>
            </w:r>
          </w:p>
        </w:tc>
      </w:tr>
      <w:tr>
        <w:trPr>
          <w:trHeight w:hRule="atLeast"/>
        </w:trPr>
        <w:tc>
          <w:tcPr>
            <w:tcW w:type="dxa" w:w="180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T4-KERN-PO-004</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Formulate KLT-A1 as a variational generation axiom with explicit admissible variations.</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CLOSED · AXIOM</w:t>
            </w:r>
          </w:p>
        </w:tc>
      </w:tr>
      <w:tr>
        <w:trPr>
          <w:trHeight w:hRule="atLeast"/>
        </w:trPr>
        <w:tc>
          <w:tcPr>
            <w:tcW w:type="dxa" w:w="180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T4-KERN-PO-005</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Formulate KLT-A2 on an admissible packet groupoid, including boundary terms.</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CLOSED · AXIOM</w:t>
            </w:r>
          </w:p>
        </w:tc>
      </w:tr>
      <w:tr>
        <w:trPr>
          <w:trHeight w:hRule="atLeast"/>
        </w:trPr>
        <w:tc>
          <w:tcPr>
            <w:tcW w:type="dxa" w:w="180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T4-KERN-PO-006</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Define the amplitude compatibility relation and final rigidity gate.</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CLOSED · DEF/COND</w:t>
            </w:r>
          </w:p>
        </w:tc>
      </w:tr>
      <w:tr>
        <w:trPr>
          <w:trHeight w:hRule="atLeast"/>
        </w:trPr>
        <w:tc>
          <w:tcPr>
            <w:tcW w:type="dxa" w:w="180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T4-KERN-PO-007</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Construct the Hilbert reduction R_H and list every freezing hypothesis.</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CLOSED · DEF</w:t>
            </w:r>
          </w:p>
        </w:tc>
      </w:tr>
      <w:tr>
        <w:trPr>
          <w:trHeight w:hRule="atLeast"/>
        </w:trPr>
        <w:tc>
          <w:tcPr>
            <w:tcW w:type="dxa" w:w="180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T4-KERN-PO-008</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Prove that KLT-A1 reduces to Hilbert Axiom I under R_H.</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CLOSED · THM-FORMAL</w:t>
            </w:r>
          </w:p>
        </w:tc>
      </w:tr>
      <w:tr>
        <w:trPr>
          <w:trHeight w:hRule="atLeast"/>
        </w:trPr>
        <w:tc>
          <w:tcPr>
            <w:tcW w:type="dxa" w:w="180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T4-KERN-PO-009</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Prove that KLT-A2 reduces to Hilbert Axiom II under R_H.</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CLOSED · THM-FORMAL</w:t>
            </w:r>
          </w:p>
        </w:tc>
      </w:tr>
      <w:tr>
        <w:trPr>
          <w:trHeight w:hRule="atLeast"/>
        </w:trPr>
        <w:tc>
          <w:tcPr>
            <w:tcW w:type="dxa" w:w="180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T4-KERN-PO-010</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Prove non-reversibility: Hilbert I-II do not reconstruct the full KLT hierarchy.</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CLOSED · COUNTERMODEL/THM</w:t>
            </w:r>
          </w:p>
        </w:tc>
      </w:tr>
      <w:tr>
        <w:trPr>
          <w:trHeight w:hRule="atLeast"/>
        </w:trPr>
        <w:tc>
          <w:tcPr>
            <w:tcW w:type="dxa" w:w="180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T4-KERN-PO-011</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Localize the Noether bridge to smooth associative Lie-group reductions.</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CLOSED · CLASSICAL BRIDGE</w:t>
            </w:r>
          </w:p>
        </w:tc>
      </w:tr>
      <w:tr>
        <w:trPr>
          <w:trHeight w:hRule="atLeast"/>
        </w:trPr>
        <w:tc>
          <w:tcPr>
            <w:tcW w:type="dxa" w:w="180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T4-KERN-PO-012</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Construct at least one nontrivial mathematical model satisfying both KLT kernels.</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OPEN · MODEL CONSTRUCTION</w:t>
            </w:r>
          </w:p>
        </w:tc>
      </w:tr>
      <w:tr>
        <w:trPr>
          <w:trHeight w:hRule="atLeast"/>
        </w:trPr>
        <w:tc>
          <w:tcPr>
            <w:tcW w:type="dxa" w:w="180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T4-KERN-PO-013</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Provide an independent physical realization of Θ_K, PIX, PEAKS and the amplitude gate.</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OPEN · PHY-HYP/EMP-PLAN</w:t>
            </w:r>
          </w:p>
        </w:tc>
      </w:tr>
      <w:tr>
        <w:trPr>
          <w:trHeight w:hRule="atLeast"/>
        </w:trPr>
        <w:tc>
          <w:tcPr>
            <w:tcW w:type="dxa" w:w="180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T4-KERN-PO-014</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Synchronize the two kernels with Tomes I-III through explicit change-sets without editing frozen masters.</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PARTIAL · CROSS-VOLUME CHANGE-SET</w:t>
            </w:r>
          </w:p>
        </w:tc>
      </w:tr>
      <w:tr>
        <w:trPr>
          <w:trHeight w:hRule="atLeast"/>
        </w:trPr>
        <w:tc>
          <w:tcPr>
            <w:tcW w:type="dxa" w:w="180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T4-MEM-PO-001</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Define machine memory as a typed external archive rather than human lived memory.</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CLOSED · DEF</w:t>
            </w:r>
          </w:p>
        </w:tc>
      </w:tr>
      <w:tr>
        <w:trPr>
          <w:trHeight w:hRule="atLeast"/>
        </w:trPr>
        <w:tc>
          <w:tcPr>
            <w:tcW w:type="dxa" w:w="180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T4-MEM-PO-002</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Prove the absence of a universal inverse from record to lived event.</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CLOSED · THM-FORMAL</w:t>
            </w:r>
          </w:p>
        </w:tc>
      </w:tr>
      <w:tr>
        <w:trPr>
          <w:trHeight w:hRule="atLeast"/>
        </w:trPr>
        <w:tc>
          <w:tcPr>
            <w:tcW w:type="dxa" w:w="180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T4-MEM-PO-003</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Define proof-carrying records and status monotonicity.</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CLOSED · DEF/THM</w:t>
            </w:r>
          </w:p>
        </w:tc>
      </w:tr>
      <w:tr>
        <w:trPr>
          <w:trHeight w:hRule="atLeast"/>
        </w:trPr>
        <w:tc>
          <w:tcPr>
            <w:tcW w:type="dxa" w:w="180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T4-MEM-PO-004</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Introduce privacy, rights, purpose and retention gates.</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CLOSED · MODEL/ETHICS; LEGAL ADAPTER OPEN</w:t>
            </w:r>
          </w:p>
        </w:tc>
      </w:tr>
      <w:tr>
        <w:trPr>
          <w:trHeight w:hRule="atLeast"/>
        </w:trPr>
        <w:tc>
          <w:tcPr>
            <w:tcW w:type="dxa" w:w="180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T4-MEM-PO-005</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Separate C@C_world, C@C_human and C@C_database.</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CLOSED · TYPE FIREWALL</w:t>
            </w:r>
          </w:p>
        </w:tc>
      </w:tr>
      <w:tr>
        <w:trPr>
          <w:trHeight w:hRule="atLeast"/>
        </w:trPr>
        <w:tc>
          <w:tcPr>
            <w:tcW w:type="dxa" w:w="180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T4-MEM-PO-006</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Define domain adapters and their source-bound contract.</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CLOSED · DEF</w:t>
            </w:r>
          </w:p>
        </w:tc>
      </w:tr>
      <w:tr>
        <w:trPr>
          <w:trHeight w:hRule="atLeast"/>
        </w:trPr>
        <w:tc>
          <w:tcPr>
            <w:tcW w:type="dxa" w:w="180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T4-MEM-PO-007</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Prove adapter status non-promotion and weakest-link aggregation.</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CLOSED · THM-FORMAL</w:t>
            </w:r>
          </w:p>
        </w:tc>
      </w:tr>
      <w:tr>
        <w:trPr>
          <w:trHeight w:hRule="atLeast"/>
        </w:trPr>
        <w:tc>
          <w:tcPr>
            <w:tcW w:type="dxa" w:w="180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T4-MEM-PO-008</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Build a scientific-article adapter.</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MODEL · IMPLEMENTATION PARTIAL</w:t>
            </w:r>
          </w:p>
        </w:tc>
      </w:tr>
      <w:tr>
        <w:trPr>
          <w:trHeight w:hRule="atLeast"/>
        </w:trPr>
        <w:tc>
          <w:tcPr>
            <w:tcW w:type="dxa" w:w="180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T4-MEM-PO-009</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Build a court-document adapter without automatic legal conclusions.</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MODEL · LEGAL VALIDATION OPEN</w:t>
            </w:r>
          </w:p>
        </w:tc>
      </w:tr>
      <w:tr>
        <w:trPr>
          <w:trHeight w:hRule="atLeast"/>
        </w:trPr>
        <w:tc>
          <w:tcPr>
            <w:tcW w:type="dxa" w:w="180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T4-MEM-PO-010</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Build engineering and chemistry adapters linked to existing KLT-RBD schemas.</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PARTIAL · SOFTWARE NEXT</w:t>
            </w:r>
          </w:p>
        </w:tc>
      </w:tr>
      <w:tr>
        <w:trPr>
          <w:trHeight w:hRule="atLeast"/>
        </w:trPr>
        <w:tc>
          <w:tcPr>
            <w:tcW w:type="dxa" w:w="180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T4-MEM-PO-011</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Build a forecast adapter with explicit ABSTAIN.</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MODEL · EXTERNAL VALIDATION OPEN</w:t>
            </w:r>
          </w:p>
        </w:tc>
      </w:tr>
      <w:tr>
        <w:trPr>
          <w:trHeight w:hRule="atLeast"/>
        </w:trPr>
        <w:tc>
          <w:tcPr>
            <w:tcW w:type="dxa" w:w="180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T4-MEM-PO-012</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Complete end-to-end privacy, security and independent audit.</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OPEN · T4/T5 SOFTWARE STAGE</w:t>
            </w:r>
          </w:p>
        </w:tc>
      </w:tr>
      <w:t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T4-NAT-PO-001</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Separate world-event, appearance, record, model and claim.</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CLOSED · TYPE FIREWALL</w:t>
            </w:r>
          </w:p>
        </w:tc>
      </w:tr>
      <w:t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T4-NAT-PO-002</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Define observer/instrument/protocol as a partial observation interface.</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CLOSED · DEF</w:t>
            </w:r>
          </w:p>
        </w:tc>
      </w:tr>
      <w:t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T4-NAT-PO-003</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Define a proof-carrying scientific fact passport.</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CLOSED · DEF</w:t>
            </w:r>
          </w:p>
        </w:tc>
      </w:tr>
      <w:t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T4-NAT-PO-004</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Separate model fit from causal/mechanistic explanation.</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CLOSED · PROP/COUNTERMODEL</w:t>
            </w:r>
          </w:p>
        </w:tc>
      </w:tr>
      <w:t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T4-NAT-PO-005</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Type experiment through Δ/Ξ/Υ without claiming universal physical realization.</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CLOSED · ARCH/COND</w:t>
            </w:r>
          </w:p>
        </w:tc>
      </w:tr>
      <w:t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T4-NAT-PO-006</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Define reduction with declared preserved invariants.</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CLOSED · DEF</w:t>
            </w:r>
          </w:p>
        </w:tc>
      </w:tr>
      <w:t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T4-NAT-PO-007</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Require a residual ledger for every anthropologically relevant reduction.</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CLOSED · NORMATIVE GATE</w:t>
            </w:r>
          </w:p>
        </w:tc>
      </w:tr>
      <w:t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T4-NAT-PO-008</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Define relative emergence without metaphysical inflation.</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CLOSED · COND</w:t>
            </w:r>
          </w:p>
        </w:tc>
      </w:tr>
      <w:t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T4-NAT-PO-009</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Integrate classical philosophy-of-science prior art with explicit attribution.</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CLOSED · SOURCE MAP</w:t>
            </w:r>
          </w:p>
        </w:tc>
      </w:tr>
      <w:t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T4-NAT-PO-010</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Construct the partial natural-science operator 𝔑_KLT.</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CLOSED · DEF</w:t>
            </w:r>
          </w:p>
        </w:tc>
      </w:tr>
      <w:t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T4-NAT-PO-011</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Build domain examples with real scientific data.</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OPEN · EMP/SOFTWARE</w:t>
            </w:r>
          </w:p>
        </w:tc>
      </w:tr>
      <w:t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T4-NAT-PO-012</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Independently validate transferability of the science-cycle adapter.</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OPEN · EXT-RUN</w:t>
            </w:r>
          </w:p>
        </w:tc>
      </w:tr>
      <w:t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T4-E2E-PO-001</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Define the full anthropological input type X_h.</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CLOSED · DEF</w:t>
            </w:r>
          </w:p>
        </w:tc>
      </w:tr>
      <w:t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T4-E2E-PO-002</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Define the partial end-to-end operator 𝔄_KLT with ABSTAIN.</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CLOSED · DEF</w:t>
            </w:r>
          </w:p>
        </w:tc>
      </w:tr>
      <w:t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T4-E2E-PO-003</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Prove weakest-link status monotonicity.</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CLOSED · THM-FORMAL</w:t>
            </w:r>
          </w:p>
        </w:tc>
      </w:tr>
      <w:t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T4-E2E-PO-004</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Define the human residual of noninjective encoding.</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CLOSED · DEF/THM</w:t>
            </w:r>
          </w:p>
        </w:tc>
      </w:tr>
      <w:t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T4-E2E-PO-005</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Separate automation from transfer of responsibility.</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CLOSED · ETHICAL FIREWALL</w:t>
            </w:r>
          </w:p>
        </w:tc>
      </w:tr>
      <w:t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T4-E2E-PO-006</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Define publication gate TYPE-DOM-D-PROOF-PROV-REPRO-ETHICS-STATUS.</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CLOSED · DEF</w:t>
            </w:r>
          </w:p>
        </w:tc>
      </w:tr>
      <w:t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T4-E2E-PO-007</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Define theorem/model/interpretation/ABSTAIN publication outputs.</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CLOSED · DEF</w:t>
            </w:r>
          </w:p>
        </w:tc>
      </w:tr>
      <w:t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T4-E2E-PO-008</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Define anthropological completeness and contestation/versioning.</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CLOSED · NORMATIVE AXIOM</w:t>
            </w:r>
          </w:p>
        </w:tc>
      </w:tr>
      <w:t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T4-E2E-PO-009</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Construct a nonscalar publication status vector.</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CLOSED · DEF</w:t>
            </w:r>
          </w:p>
        </w:tc>
      </w:tr>
      <w:t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T4-E2E-PO-010</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Construct falsifiability matrix across formal, numerical, empirical, historical and ethical channels.</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CLOSED · AUDIT</w:t>
            </w:r>
          </w:p>
        </w:tc>
      </w:tr>
      <w:t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T4-E2E-PO-011</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Fix authorial novelty and prior-art attribution boundaries.</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CLOSED · SOURCE/LEGAL</w:t>
            </w:r>
          </w:p>
        </w:tc>
      </w:tr>
      <w:t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T4-E2E-PO-012</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Implement consent, contestability and responsibility gates in KLT-RBD software.</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OPEN · SOFTWARE</w:t>
            </w:r>
          </w:p>
        </w:tc>
      </w:tr>
      <w:t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T4-E2E-PO-013</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Perform privacy/security/legal review in target jurisdictions.</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OPEN · LEGAL/ETHICS</w:t>
            </w:r>
          </w:p>
        </w:tc>
      </w:tr>
      <w:t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T4-E2E-PO-014</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Run independent end-to-end audit on at least one scientific and one human-document domain.</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OPEN · EXT-RUN</w:t>
            </w:r>
          </w:p>
        </w:tc>
      </w:tr>
    </w:tbl>
    <w:p>
      <w:pPr>
        <w:widowControl/>
        <w:spacing w:after="20"/>
      </w:pPr>
    </w:p>
    <w:tbl>
      <w:tblPr>
        <w:tblW w:type="auto" w:w="0"/>
        <w:jc w:val="center"/>
        <w:tblLayout w:type="fixed"/>
        <w:tblLook w:firstColumn="1" w:firstRow="1" w:lastColumn="0" w:lastRow="0" w:noHBand="0" w:noVBand="1" w:val="04A0"/>
      </w:tblPr>
      <w:tblGrid>
        <w:gridCol w:w="9638"/>
      </w:tblGrid>
      <w:tr>
        <w:trPr>
          <w:cantSplit/>
          <w:trHeight w:hRule="atLeast"/>
          <w:tblHeader w:val="true"/>
        </w:trPr>
        <w:tc>
          <w:tcPr>
            <w:tcW w:type="dxa" w:w="9865"/>
            <w:shd w:fill="EAF0F7" w:val="clear"/>
            <w:tcMar>
              <w:top w:w="90" w:type="dxa"/>
              <w:start w:w="100" w:type="dxa"/>
              <w:bottom w:w="90" w:type="dxa"/>
              <w:end w:w="100" w:type="dxa"/>
            </w:tcMar>
            <w:vAlign w:val="center"/>
          </w:tcPr>
          <w:p>
            <w:pPr>
              <w:widowControl/>
              <w:spacing w:before="0" w:after="0" w:line="252" w:lineRule="auto"/>
              <w:jc w:val="left"/>
            </w:pPr>
            <w:r>
              <w:rPr>
                <w:rFonts w:ascii="DejaVu Serif" w:hAnsi="DejaVu Serif" w:eastAsia="DejaVu Serif"/>
                <w:sz w:val="19"/>
              </w:rPr>
              <w:t>СЛЕДУЮЩАЯ СТАДИЯ. T4-AUDIT-v0.9: сквозной философско-математический аудит двадцати четырёх глав, controlled diff, библиографическая проверка, синхронизация формул и статусов, подготовка freeze-candidate.</w:t>
            </w:r>
          </w:p>
        </w:tc>
      </w:tr>
    </w:tbl>
    <w:p>
      <w:pPr>
        <w:widowControl/>
        <w:spacing w:after="0"/>
      </w:pPr>
    </w:p>
    <w:p>
      <w:pPr>
        <w:pStyle w:val="Heading1"/>
        <w:keepNext/>
        <w:pageBreakBefore w:val="0"/>
        <w:widowControl/>
        <w:spacing w:before="200" w:after="100"/>
      </w:pPr>
      <w:r>
        <w:t>Приложение A. Формульный реестр T4-F001-T4-F240</w:t>
      </w:r>
    </w:p>
    <w:tbl>
      <w:tblPr>
        <w:tblStyle w:val="TableGrid"/>
        <w:tblW w:type="auto" w:w="0"/>
        <w:jc w:val="center"/>
        <w:tblLayout w:type="fixed"/>
        <w:tblLook w:firstColumn="1" w:firstRow="1" w:lastColumn="0" w:lastRow="0" w:noHBand="0" w:noVBand="1" w:val="04A0"/>
      </w:tblPr>
      <w:tblGrid>
        <w:gridCol w:w="1417"/>
        <w:gridCol w:w="6180"/>
        <w:gridCol w:w="2041"/>
      </w:tblGrid>
      <w:tr>
        <w:trPr>
          <w:trHeight w:hRule="atLeast"/>
          <w:tblHeader w:val="true"/>
          <w:cantSplit/>
        </w:trPr>
        <w:tc>
          <w:tcPr>
            <w:tcW w:type="dxa" w:w="1296"/>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5"/>
              </w:rPr>
              <w:t>ID</w:t>
            </w:r>
          </w:p>
        </w:tc>
        <w:tc>
          <w:tcPr>
            <w:tcW w:type="dxa" w:w="6552"/>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5"/>
              </w:rPr>
              <w:t>Формула</w:t>
            </w:r>
          </w:p>
        </w:tc>
        <w:tc>
          <w:tcPr>
            <w:tcW w:type="dxa" w:w="1512"/>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5"/>
              </w:rPr>
              <w:t>Статус</w:t>
            </w:r>
          </w:p>
        </w:tc>
      </w:tr>
      <w:tr>
        <w:trPr>
          <w:cantSplit/>
          <w:trHeight w:hRule="atLeast"/>
        </w:trPr>
        <w:tc>
          <w:tcPr>
            <w:tcW w:type="dxa" w:w="1296"/>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T4-F001</w:t>
            </w:r>
          </w:p>
        </w:tc>
        <w:tc>
          <w:tcPr>
            <w:tcW w:type="dxa" w:w="655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Human_R = C@C~_h ⊞_arch Rep_h ⊞_arch (Δ_h,Ξ_h,Υ_h) ⊞_arch L_h ⊞_arch λ_h ⊞_arch σ_h</w:t>
            </w:r>
          </w:p>
        </w:tc>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ARCHITECTURE/MODEL</w:t>
            </w:r>
          </w:p>
        </w:tc>
      </w:tr>
      <w:tr>
        <w:trPr>
          <w:cantSplit/>
          <w:trHeight w:hRule="atLeast"/>
        </w:trPr>
        <w:tc>
          <w:tcPr>
            <w:tcW w:type="dxa" w:w="1296"/>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T4-F002</w:t>
            </w:r>
          </w:p>
        </w:tc>
        <w:tc>
          <w:tcPr>
            <w:tcW w:type="dxa" w:w="655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Import_T4(x) = (Ref_T1(x), Ref_T2(x), StatusPreservingRef_T3(x))</w:t>
            </w:r>
          </w:p>
        </w:tc>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EDITORIAL DEF</w:t>
            </w:r>
          </w:p>
        </w:tc>
      </w:tr>
      <w:tr>
        <w:trPr>
          <w:cantSplit/>
          <w:trHeight w:hRule="atLeast"/>
        </w:trPr>
        <w:tc>
          <w:tcPr>
            <w:tcW w:type="dxa" w:w="1296"/>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T4-F003</w:t>
            </w:r>
          </w:p>
        </w:tc>
        <w:tc>
          <w:tcPr>
            <w:tcW w:type="dxa" w:w="655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σ_h = (σ_form, σ_hist, σ_phen, σ_emp, σ_eth, σ_legal)</w:t>
            </w:r>
          </w:p>
        </w:tc>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DEF</w:t>
            </w:r>
          </w:p>
        </w:tc>
      </w:tr>
      <w:tr>
        <w:trPr>
          <w:cantSplit/>
          <w:trHeight w:hRule="atLeast"/>
        </w:trPr>
        <w:tc>
          <w:tcPr>
            <w:tcW w:type="dxa" w:w="1296"/>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T4-F010</w:t>
            </w:r>
          </w:p>
        </w:tc>
        <w:tc>
          <w:tcPr>
            <w:tcW w:type="dxa" w:w="655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T4-RA2 = (C@C_h^0, source-card, Dom, D, σ_h, blocker-list)</w:t>
            </w:r>
          </w:p>
        </w:tc>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ROLLBACK DEF</w:t>
            </w:r>
          </w:p>
        </w:tc>
      </w:tr>
      <w:tr>
        <w:trPr>
          <w:cantSplit/>
          <w:trHeight w:hRule="atLeast"/>
        </w:trPr>
        <w:tc>
          <w:tcPr>
            <w:tcW w:type="dxa" w:w="1296"/>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T4-F011</w:t>
            </w:r>
          </w:p>
        </w:tc>
        <w:tc>
          <w:tcPr>
            <w:tcW w:type="dxa" w:w="655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Ω_h = (A,T,E,S,W,H,D,L,Σ, Adm, Comp, Prov)</w:t>
            </w:r>
          </w:p>
        </w:tc>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DEF</w:t>
            </w:r>
          </w:p>
        </w:tc>
      </w:tr>
      <w:tr>
        <w:trPr>
          <w:cantSplit/>
          <w:trHeight w:hRule="atLeast"/>
        </w:trPr>
        <w:tc>
          <w:tcPr>
            <w:tcW w:type="dxa" w:w="1296"/>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T4-F012</w:t>
            </w:r>
          </w:p>
        </w:tc>
        <w:tc>
          <w:tcPr>
            <w:tcW w:type="dxa" w:w="655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ValidD_Ω(D)=Typed(D)∧Traceable(D)∧MandatoryConflictsExposed(D)</w:t>
            </w:r>
          </w:p>
        </w:tc>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MODEL DEF</w:t>
            </w:r>
          </w:p>
        </w:tc>
      </w:tr>
      <w:tr>
        <w:trPr>
          <w:cantSplit/>
          <w:trHeight w:hRule="atLeast"/>
        </w:trPr>
        <w:tc>
          <w:tcPr>
            <w:tcW w:type="dxa" w:w="1296"/>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T4-F013</w:t>
            </w:r>
          </w:p>
        </w:tc>
        <w:tc>
          <w:tcPr>
            <w:tcW w:type="dxa" w:w="655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foreignD_Ω(D′) ⇔ D′∈D_{Ω′} ∧ ¬∃τ_{Ω′→Ω} admissible</w:t>
            </w:r>
          </w:p>
        </w:tc>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DEF</w:t>
            </w:r>
          </w:p>
        </w:tc>
      </w:tr>
      <w:tr>
        <w:trPr>
          <w:cantSplit/>
          <w:trHeight w:hRule="atLeast"/>
        </w:trPr>
        <w:tc>
          <w:tcPr>
            <w:tcW w:type="dxa" w:w="1296"/>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T4-F014</w:t>
            </w:r>
          </w:p>
        </w:tc>
        <w:tc>
          <w:tcPr>
            <w:tcW w:type="dxa" w:w="655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Dom(g∘f)={x∈Dom(f):f(x)∈Dom(g)}</w:t>
            </w:r>
          </w:p>
        </w:tc>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DEF</w:t>
            </w:r>
          </w:p>
        </w:tc>
      </w:tr>
      <w:tr>
        <w:trPr>
          <w:cantSplit/>
          <w:trHeight w:hRule="atLeast"/>
        </w:trPr>
        <w:tc>
          <w:tcPr>
            <w:tcW w:type="dxa" w:w="1296"/>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T4-F015</w:t>
            </w:r>
          </w:p>
        </w:tc>
        <w:tc>
          <w:tcPr>
            <w:tcW w:type="dxa" w:w="655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(g∘f)(x)=g(f(x))</w:t>
            </w:r>
          </w:p>
        </w:tc>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DEF</w:t>
            </w:r>
          </w:p>
        </w:tc>
      </w:tr>
      <w:tr>
        <w:trPr>
          <w:cantSplit/>
          <w:trHeight w:hRule="atLeast"/>
        </w:trPr>
        <w:tc>
          <w:tcPr>
            <w:tcW w:type="dxa" w:w="1296"/>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T4-F016</w:t>
            </w:r>
          </w:p>
        </w:tc>
        <w:tc>
          <w:tcPr>
            <w:tcW w:type="dxa" w:w="655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f̂(x)=f(x) if x∈Dom(f); otherwise ⊥_b</w:t>
            </w:r>
          </w:p>
        </w:tc>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DEF</w:t>
            </w:r>
          </w:p>
        </w:tc>
      </w:tr>
      <w:tr>
        <w:trPr>
          <w:cantSplit/>
          <w:trHeight w:hRule="atLeast"/>
        </w:trPr>
        <w:tc>
          <w:tcPr>
            <w:tcW w:type="dxa" w:w="1296"/>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T4-F017</w:t>
            </w:r>
          </w:p>
        </w:tc>
        <w:tc>
          <w:tcPr>
            <w:tcW w:type="dxa" w:w="655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C@C_h^0(Ω)={(e,s):Comp_Ω(e,s)=1}</w:t>
            </w:r>
          </w:p>
        </w:tc>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DEF</w:t>
            </w:r>
          </w:p>
        </w:tc>
      </w:tr>
      <w:tr>
        <w:trPr>
          <w:cantSplit/>
          <w:trHeight w:hRule="atLeast"/>
        </w:trPr>
        <w:tc>
          <w:tcPr>
            <w:tcW w:type="dxa" w:w="1296"/>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T4-F018</w:t>
            </w:r>
          </w:p>
        </w:tc>
        <w:tc>
          <w:tcPr>
            <w:tcW w:type="dxa" w:w="655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C@C~_h(Ω)=(e,s;w,h;D,L,σ)</w:t>
            </w:r>
          </w:p>
        </w:tc>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MODEL DEF</w:t>
            </w:r>
          </w:p>
        </w:tc>
      </w:tr>
      <w:tr>
        <w:trPr>
          <w:cantSplit/>
          <w:trHeight w:hRule="atLeast"/>
        </w:trPr>
        <w:tc>
          <w:tcPr>
            <w:tcW w:type="dxa" w:w="1296"/>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T4-F019</w:t>
            </w:r>
          </w:p>
        </w:tc>
        <w:tc>
          <w:tcPr>
            <w:tcW w:type="dxa" w:w="655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Adm_Ω=Comp∧Typed∧Prov</w:t>
            </w:r>
          </w:p>
        </w:tc>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DEF</w:t>
            </w:r>
          </w:p>
        </w:tc>
      </w:tr>
      <w:tr>
        <w:trPr>
          <w:cantSplit/>
          <w:trHeight w:hRule="atLeast"/>
        </w:trPr>
        <w:tc>
          <w:tcPr>
            <w:tcW w:type="dxa" w:w="1296"/>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T4-F020</w:t>
            </w:r>
          </w:p>
        </w:tc>
        <w:tc>
          <w:tcPr>
            <w:tcW w:type="dxa" w:w="655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Rep_h(c)=(R_h(c),I_h(c),U_h(c);D_h(c))</w:t>
            </w:r>
          </w:p>
        </w:tc>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DEF</w:t>
            </w:r>
          </w:p>
        </w:tc>
      </w:tr>
      <w:tr>
        <w:trPr>
          <w:cantSplit/>
          <w:trHeight w:hRule="atLeast"/>
        </w:trPr>
        <w:tc>
          <w:tcPr>
            <w:tcW w:type="dxa" w:w="1296"/>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T4-F021</w:t>
            </w:r>
          </w:p>
        </w:tc>
        <w:tc>
          <w:tcPr>
            <w:tcW w:type="dxa" w:w="655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λ_h=((u-r)(i-d))/((u-d)(i-r)) after ι_Ω</w:t>
            </w:r>
          </w:p>
        </w:tc>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DEF/COND</w:t>
            </w:r>
          </w:p>
        </w:tc>
      </w:tr>
      <w:tr>
        <w:trPr>
          <w:cantSplit/>
          <w:trHeight w:hRule="atLeast"/>
        </w:trPr>
        <w:tc>
          <w:tcPr>
            <w:tcW w:type="dxa" w:w="1296"/>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T4-F022</w:t>
            </w:r>
          </w:p>
        </w:tc>
        <w:tc>
          <w:tcPr>
            <w:tcW w:type="dxa" w:w="655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Dom(λ_h)={H:ι_Ω defined,u≠d,i≠r,type contract valid}</w:t>
            </w:r>
          </w:p>
        </w:tc>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DEF</w:t>
            </w:r>
          </w:p>
        </w:tc>
      </w:tr>
      <w:tr>
        <w:trPr>
          <w:cantSplit/>
          <w:trHeight w:hRule="atLeast"/>
        </w:trPr>
        <w:tc>
          <w:tcPr>
            <w:tcW w:type="dxa" w:w="1296"/>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T4-F023</w:t>
            </w:r>
          </w:p>
        </w:tc>
        <w:tc>
          <w:tcPr>
            <w:tcW w:type="dxa" w:w="655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Δ_h:S_h×Alt_h×D_h×L_h⇀AAct_h</w:t>
            </w:r>
          </w:p>
        </w:tc>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DEF</w:t>
            </w:r>
          </w:p>
        </w:tc>
      </w:tr>
      <w:tr>
        <w:trPr>
          <w:cantSplit/>
          <w:trHeight w:hRule="atLeast"/>
        </w:trPr>
        <w:tc>
          <w:tcPr>
            <w:tcW w:type="dxa" w:w="1296"/>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T4-F024</w:t>
            </w:r>
          </w:p>
        </w:tc>
        <w:tc>
          <w:tcPr>
            <w:tcW w:type="dxa" w:w="655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Ξ_h:AAct_h×T_{≥0}⇀Path_h</w:t>
            </w:r>
          </w:p>
        </w:tc>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DEF</w:t>
            </w:r>
          </w:p>
        </w:tc>
      </w:tr>
      <w:tr>
        <w:trPr>
          <w:cantSplit/>
          <w:trHeight w:hRule="atLeast"/>
        </w:trPr>
        <w:tc>
          <w:tcPr>
            <w:tcW w:type="dxa" w:w="1296"/>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T4-F025</w:t>
            </w:r>
          </w:p>
        </w:tc>
        <w:tc>
          <w:tcPr>
            <w:tcW w:type="dxa" w:w="655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Υ_h:Path_h×W_h^⊥×D_h⇀S_h×M_h</w:t>
            </w:r>
          </w:p>
        </w:tc>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DEF</w:t>
            </w:r>
          </w:p>
        </w:tc>
      </w:tr>
      <w:tr>
        <w:trPr>
          <w:cantSplit/>
          <w:trHeight w:hRule="atLeast"/>
        </w:trPr>
        <w:tc>
          <w:tcPr>
            <w:tcW w:type="dxa" w:w="1296"/>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T4-F026</w:t>
            </w:r>
          </w:p>
        </w:tc>
        <w:tc>
          <w:tcPr>
            <w:tcW w:type="dxa" w:w="655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T_h=Υ_h∘Ξ_h∘Δ_h</w:t>
            </w:r>
          </w:p>
        </w:tc>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PARTIAL COMPOSITION</w:t>
            </w:r>
          </w:p>
        </w:tc>
      </w:tr>
      <w:tr>
        <w:trPr>
          <w:cantSplit/>
          <w:trHeight w:hRule="atLeast"/>
        </w:trPr>
        <w:tc>
          <w:tcPr>
            <w:tcW w:type="dxa" w:w="1296"/>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T4-F027</w:t>
            </w:r>
          </w:p>
        </w:tc>
        <w:tc>
          <w:tcPr>
            <w:tcW w:type="dxa" w:w="655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cr(2,1;0,4/3)=-1; cr(2,1;0,3)=4</w:t>
            </w:r>
          </w:p>
        </w:tc>
        <w:tc>
          <w:tcPr>
            <w:tcW w:type="dxa" w:w="15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EXACT COUNTERMODEL</w:t>
            </w:r>
          </w:p>
        </w:tc>
      </w:tr>
      <w:tr>
        <w:trPr>
          <w:cantSplit/>
          <w:trHeight w:hRule="atLeast"/>
        </w:trPr>
        <w:tc>
          <w:tcPr>
            <w:tcW w:type="dxa" w:w="1296"/>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T4-F028</w:t>
            </w:r>
          </w:p>
        </w:tc>
        <w:tc>
          <w:tcPr>
            <w:tcW w:type="dxa" w:w="655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Data(e)=const; Rep(e|F₀)≠Rep(e|F₁) possible</w:t>
            </w:r>
          </w:p>
        </w:tc>
        <w:tc>
          <w:tcPr>
            <w:tcW w:type="dxa" w:w="15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METHODOLOGICAL MODEL</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T4-F029</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B_h(s)=(T_sM_h,g_s,F_s,C_body,E_res,S_sens)</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DEF</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T4-F030</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AdmAct_h=C_body∩C_L∩C_D∩C_access</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DEF</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T4-F031</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τ_T:AdmAct(O,s)→AdmAct(O⊕T,s)</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COND/DEF</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T4-F032</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Eval, Sel and Δ typed separately</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DEF</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T4-F033</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Eval_h≠Sel_h≠Δ_h</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TYPE SEPARATION</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T4-F034</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P(T_sM_Ξ⊕R)=(T_sM_Ξ×{1})∪H∞</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CLASSICAL/DEF</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T4-F035</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p∞_Δ=[v_Δ:0]; ℓ_Δ=closure[s₀+τv_Δ:1]</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MODEL DEF</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T4-F036</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h_Δ=dist_P([v_Δ],P(C_Ξ(s₀)))</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MODEL DEF</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T4-F037</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Dvizh_Δ=(O,s₀,a,p∞_Δ,ℓ_Δ,D,L,σ)</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AUTHORIAL DEF</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T4-F038</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FreeInit⁰=Defined(Δ)∧AgentAuth∧Prov</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MODEL DEF</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T4-F039</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FreeInit⁺=FreeInit⁰∧h_Δ&gt;0</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MODEL DEF</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T4-F040</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G⁺=G_Ξ⊕a_Δ</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DEF</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T4-F041</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H_Δ(t)=d(x^Δ(t),x⁰(t))</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MODEL DEF</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T4-F042</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Ḣ_Δ≤-γH_Δ+u</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COND MODEL</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T4-F043</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Gronwall bound for H_Δ</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THM-COND</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T4-F044</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ẇ_e=-γ_ew_e+m_e; V_C=min_e w_e</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MODEL DEF</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T4-F045</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ChainAlive_C⇔V_C≥θ_C</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DEF</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T4-F046</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LagGap_e=max(0,t_support-t_crit)</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DEF</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T4-F047</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ẋ=f_Υ+Σu_jg_j</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CONTROL MODEL</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T4-F048</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commutator/tacking flow identity</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PRIOR ART/COND</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T4-F049</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AK-6 timing and resistance conditions</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MODEL/COND</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T4-F050</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AK5 amplitude symmetry A_-=A_+</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SYMMETRY HYP</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T4-F051</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M_e={(F_k,D_k,Rep(e|F_k),σ_k)}; Data(e)=const</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DEF</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T4-F052</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Retro_T(e,D_T)=Rep(e|F_T,D_T)</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PARTIAL RECONSTRUCTION</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T4-F053</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Inv_event=(event_id,raw_hash,acquisition_time)</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PROVENANCE INVARIANT</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T4-F054</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D_resp=(Authorship,Awareness,Capacity,Control,Foreseeability,Traceability,Dom)</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MODEL DEF</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T4-F055</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RespProfile=Meet Evidence or ABSTAIN-RESP</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COND/GATE</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T4-F056</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Clock_q=(Obj,Criterion,V,≼,D,Dom)</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DEF</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T4-F057</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Good_q/Evil_q are context-relative predicates</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CONTEXTUAL MODEL</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T4-F058</w:t>
            </w:r>
          </w:p>
        </w:tc>
        <w:tc>
          <w:tcPr>
            <w:tcW w:type="dxa" w:w="655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T4-RA3 = T4-RA2 + action/projective/trace/memory gates</w:t>
            </w:r>
          </w:p>
        </w:tc>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ROLLBACK DEF</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T4-F059</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Pₐ(z)=Σ cₐ,ₖ(z−a)^{-k}</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CLASSICAL DEF</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T4-F060</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PPₐ(f)=Pₐ; Pole(f)⊆A</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CLASSICAL THM</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T4-F061</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PP(f)=PP(g) ⇔ f−g∈O(Ω); Sol=f₀+O(Ω)</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CLASSICAL THM</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T4-F062</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f(z)=f(0)+Σ bⱼ[1/(z−zⱼ)+1/zⱼ]</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SPECIAL COND</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T4-F063</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0→H→M→P→0</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EXACT SEQUENCE</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T4-F064</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H⁰(M)→H⁰(P)→H¹(H)</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COHOMOLOGY</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T4-F065</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pᵢ=(Uᵢ,Pᵢ,Domᵢ,Dᵢ,provᵢ,σᵢ)</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AUTHORIAL DEF</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T4-F066</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Ob_ML(p)=δ([p])∈H¹(X,H)</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OBSTRUCTION</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T4-F067</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Gate_ML=Typed∧Dom∧D∧Prov∧Status∧Compat</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AUTHORIAL GATE</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T4-F068</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Global_KLT≠∅ iff Ob=0 and Gate=1</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THM-FORMAL/COND</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T4-F069</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Global_KLT=M₀+H⁰(X,H)</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TORSOR</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T4-F070</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Q_n=P_n−H_n; principal part preserved</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CLASSICAL LEMMA</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T4-F071</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sup_Kn|Q_n|≤2^{-n} ⇒ normal convergence</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CLASSICAL THM</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T4-F072</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L_ℓ(m)=m+h_ℓ</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AUTHORIAL MODEL</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T4-F073</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PP(L_ℓ(m))=PP(m)</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THM-FORMAL</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T4-F074</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PIT=(Core,Boundary,policy,prov,status)</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AUTHORIAL DEF</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T4-F075</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PIT∘PIT=PIT</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THM-BY-DEF</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T4-F076</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K=(X,S,U,φ,G,τ,H,M,P,Λ,D,Σ)</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AUTHORIAL DEF</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T4-F077</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projective transition ∈PGL(V)</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ATLAS GATE</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T4-F078</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global logistic section compatibility</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COND</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T4-F079</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Rec_O(p;D,Lang,Mem)=M_O</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AUTHORIAL MODEL</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T4-F080</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same PP iff difference regular</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THM-FORMAL</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T4-F081</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d_inter=(d_PP,d_reg,d_D,d_Dom,d_prov,d_status)</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AUTHORIAL DEF</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T4-F082</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RPLD1 sensory layer</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MODEL</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T4-F083</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RPLD2 memory/imagination/language layer</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MODEL</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T4-F084</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RPLD=Fold(RPLD1,RPLD2)</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PARTIAL OPERATOR</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T4-F085</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historical atlas A_τ</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AUTHORIAL DEF</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T4-F086</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refinement/translation r_{τ→τ′}</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COND</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T4-F087</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Ob(r* p)=r*(Ob(p))</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NATURALITY/COND</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T4-F088</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global prediction gate</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THM-FORMAL</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T4-F089</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T4-RA4 rollback tuple</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ROLLBACK DEF</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T4-F090</w:t>
            </w:r>
          </w:p>
        </w:tc>
        <w:tc>
          <w:tcPr>
            <w:tcW w:type="dxa" w:w="6180"/>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truth_layer_promotion=0</w:t>
            </w:r>
          </w:p>
        </w:tc>
        <w:tc>
          <w:tcPr>
            <w:tcW w:type="dxa" w:w="204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STATUS LOCK</w:t>
            </w:r>
          </w:p>
        </w:tc>
      </w:tr>
      <w:tr>
        <w:trPr>
          <w:trHeight w:hRule="atLeast"/>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T4-F091</w:t>
            </w:r>
          </w:p>
        </w:tc>
        <w:tc>
          <w:tcPr>
            <w:tcW w:type="dxa" w:w="6180"/>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𝔅_R={R−01,R−1,R−02,R−2,R−03,R−3,R−04,R−4}</w:t>
            </w:r>
          </w:p>
        </w:tc>
        <w:tc>
          <w:tcPr>
            <w:tcW w:type="dxa" w:w="204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AUTHORIAL DEF</w:t>
            </w:r>
          </w:p>
        </w:tc>
      </w:tr>
      <w:tr>
        <w:trPr>
          <w:trHeight w:hRule="atLeast"/>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T4-F092</w:t>
            </w:r>
          </w:p>
        </w:tc>
        <w:tc>
          <w:tcPr>
            <w:tcW w:type="dxa" w:w="6180"/>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R_ν=(A_ν,Cl_ν,Rel_ν,D_ν,Dom_ν,Prov_ν,σ_ν)</w:t>
            </w:r>
          </w:p>
        </w:tc>
        <w:tc>
          <w:tcPr>
            <w:tcW w:type="dxa" w:w="204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MODEL DEF</w:t>
            </w:r>
          </w:p>
        </w:tc>
      </w:tr>
      <w:tr>
        <w:trPr>
          <w:trHeight w:hRule="atLeast"/>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T4-F093</w:t>
            </w:r>
          </w:p>
        </w:tc>
        <w:tc>
          <w:tcPr>
            <w:tcW w:type="dxa" w:w="6180"/>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closure operators Cl_log/Cl_exp/Cl_rit</w:t>
            </w:r>
          </w:p>
        </w:tc>
        <w:tc>
          <w:tcPr>
            <w:tcW w:type="dxa" w:w="204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CLOSURE MODEL</w:t>
            </w:r>
          </w:p>
        </w:tc>
      </w:tr>
      <w:tr>
        <w:trPr>
          <w:trHeight w:hRule="atLeast"/>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T4-F094</w:t>
            </w:r>
          </w:p>
        </w:tc>
        <w:tc>
          <w:tcPr>
            <w:tcW w:type="dxa" w:w="6180"/>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Mixed_R tuple</w:t>
            </w:r>
          </w:p>
        </w:tc>
        <w:tc>
          <w:tcPr>
            <w:tcW w:type="dxa" w:w="204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AUTHORIAL MODEL</w:t>
            </w:r>
          </w:p>
        </w:tc>
      </w:tr>
      <w:tr>
        <w:trPr>
          <w:trHeight w:hRule="atLeast"/>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T4-F095</w:t>
            </w:r>
          </w:p>
        </w:tc>
        <w:tc>
          <w:tcPr>
            <w:tcW w:type="dxa" w:w="6180"/>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Dialog bridge with residual</w:t>
            </w:r>
          </w:p>
        </w:tc>
        <w:tc>
          <w:tcPr>
            <w:tcW w:type="dxa" w:w="204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AUTHORIAL DEF</w:t>
            </w:r>
          </w:p>
        </w:tc>
      </w:tr>
      <w:tr>
        <w:trPr>
          <w:trHeight w:hRule="atLeast"/>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T4-F096</w:t>
            </w:r>
          </w:p>
        </w:tc>
        <w:tc>
          <w:tcPr>
            <w:tcW w:type="dxa" w:w="6180"/>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V_PD=P^±⊕D^±</w:t>
            </w:r>
          </w:p>
        </w:tc>
        <w:tc>
          <w:tcPr>
            <w:tcW w:type="dxa" w:w="204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MODEL DEF</w:t>
            </w:r>
          </w:p>
        </w:tc>
      </w:tr>
      <w:tr>
        <w:trPr>
          <w:trHeight w:hRule="atLeast"/>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T4-F097</w:t>
            </w:r>
          </w:p>
        </w:tc>
        <w:tc>
          <w:tcPr>
            <w:tcW w:type="dxa" w:w="6180"/>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K(A)=[[0,A],[-Aᵀ,0]]</w:t>
            </w:r>
          </w:p>
        </w:tc>
        <w:tc>
          <w:tcPr>
            <w:tcW w:type="dxa" w:w="204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AUTHORIAL NAMING/CLASSICAL</w:t>
            </w:r>
          </w:p>
        </w:tc>
      </w:tr>
      <w:tr>
        <w:trPr>
          <w:trHeight w:hRule="atLeast"/>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T4-F098</w:t>
            </w:r>
          </w:p>
        </w:tc>
        <w:tc>
          <w:tcPr>
            <w:tcW w:type="dxa" w:w="6180"/>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Feather(p,d)=p∧d</w:t>
            </w:r>
          </w:p>
        </w:tc>
        <w:tc>
          <w:tcPr>
            <w:tcW w:type="dxa" w:w="204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AUTHORIAL DEF</w:t>
            </w:r>
          </w:p>
        </w:tc>
      </w:tr>
      <w:tr>
        <w:trPr>
          <w:trHeight w:hRule="atLeast"/>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T4-F099</w:t>
            </w:r>
          </w:p>
        </w:tc>
        <w:tc>
          <w:tcPr>
            <w:tcW w:type="dxa" w:w="6180"/>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Kᵀ=−K; rank K=2 rank A</w:t>
            </w:r>
          </w:p>
        </w:tc>
        <w:tc>
          <w:tcPr>
            <w:tcW w:type="dxa" w:w="204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THM-FORMAL</w:t>
            </w:r>
          </w:p>
        </w:tc>
      </w:tr>
      <w:tr>
        <w:trPr>
          <w:trHeight w:hRule="atLeast"/>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T4-F100</w:t>
            </w:r>
          </w:p>
        </w:tc>
        <w:tc>
          <w:tcPr>
            <w:tcW w:type="dxa" w:w="6180"/>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dim ker K formula</w:t>
            </w:r>
          </w:p>
        </w:tc>
        <w:tc>
          <w:tcPr>
            <w:tcW w:type="dxa" w:w="204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THM-FORMAL</w:t>
            </w:r>
          </w:p>
        </w:tc>
      </w:tr>
      <w:tr>
        <w:trPr>
          <w:trHeight w:hRule="atLeast"/>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T4-F101</w:t>
            </w:r>
          </w:p>
        </w:tc>
        <w:tc>
          <w:tcPr>
            <w:tcW w:type="dxa" w:w="6180"/>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Spec(K)={±iσ_j}</w:t>
            </w:r>
          </w:p>
        </w:tc>
        <w:tc>
          <w:tcPr>
            <w:tcW w:type="dxa" w:w="204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THM-FORMAL</w:t>
            </w:r>
          </w:p>
        </w:tc>
      </w:tr>
      <w:tr>
        <w:trPr>
          <w:trHeight w:hRule="atLeast"/>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T4-F102</w:t>
            </w:r>
          </w:p>
        </w:tc>
        <w:tc>
          <w:tcPr>
            <w:tcW w:type="dxa" w:w="6180"/>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Gap_Feather index</w:t>
            </w:r>
          </w:p>
        </w:tc>
        <w:tc>
          <w:tcPr>
            <w:tcW w:type="dxa" w:w="204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AUTHORIAL INDEX</w:t>
            </w:r>
          </w:p>
        </w:tc>
      </w:tr>
      <w:tr>
        <w:trPr>
          <w:trHeight w:hRule="atLeast"/>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T4-F103</w:t>
            </w:r>
          </w:p>
        </w:tc>
        <w:tc>
          <w:tcPr>
            <w:tcW w:type="dxa" w:w="6180"/>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sign atlas Σ_PD</w:t>
            </w:r>
          </w:p>
        </w:tc>
        <w:tc>
          <w:tcPr>
            <w:tcW w:type="dxa" w:w="204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SIGN DEF</w:t>
            </w:r>
          </w:p>
        </w:tc>
      </w:tr>
      <w:tr>
        <w:trPr>
          <w:trHeight w:hRule="atLeast"/>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T4-F104</w:t>
            </w:r>
          </w:p>
        </w:tc>
        <w:tc>
          <w:tcPr>
            <w:tcW w:type="dxa" w:w="6180"/>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minimal support factorization A=UV</w:t>
            </w:r>
          </w:p>
        </w:tc>
        <w:tc>
          <w:tcPr>
            <w:tcW w:type="dxa" w:w="204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CLASSICAL THM/KLT</w:t>
            </w:r>
          </w:p>
        </w:tc>
      </w:tr>
      <w:tr>
        <w:trPr>
          <w:trHeight w:hRule="atLeast"/>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T4-F105</w:t>
            </w:r>
          </w:p>
        </w:tc>
        <w:tc>
          <w:tcPr>
            <w:tcW w:type="dxa" w:w="6180"/>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Act/Trace/Consequence/Foundation types</w:t>
            </w:r>
          </w:p>
        </w:tc>
        <w:tc>
          <w:tcPr>
            <w:tcW w:type="dxa" w:w="204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TYPE LOCK</w:t>
            </w:r>
          </w:p>
        </w:tc>
      </w:tr>
      <w:tr>
        <w:trPr>
          <w:trHeight w:hRule="atLeast"/>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T4-F106</w:t>
            </w:r>
          </w:p>
        </w:tc>
        <w:tc>
          <w:tcPr>
            <w:tcW w:type="dxa" w:w="6180"/>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pairwise type inequality</w:t>
            </w:r>
          </w:p>
        </w:tc>
        <w:tc>
          <w:tcPr>
            <w:tcW w:type="dxa" w:w="204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NEGATIVE TYPE THM</w:t>
            </w:r>
          </w:p>
        </w:tc>
      </w:tr>
      <w:tr>
        <w:trPr>
          <w:trHeight w:hRule="atLeast"/>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T4-F107</w:t>
            </w:r>
          </w:p>
        </w:tc>
        <w:tc>
          <w:tcPr>
            <w:tcW w:type="dxa" w:w="6180"/>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trace observation map h</w:t>
            </w:r>
          </w:p>
        </w:tc>
        <w:tc>
          <w:tcPr>
            <w:tcW w:type="dxa" w:w="204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MODEL</w:t>
            </w:r>
          </w:p>
        </w:tc>
      </w:tr>
      <w:tr>
        <w:trPr>
          <w:trHeight w:hRule="atLeast"/>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T4-F108</w:t>
            </w:r>
          </w:p>
        </w:tc>
        <w:tc>
          <w:tcPr>
            <w:tcW w:type="dxa" w:w="6180"/>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causal graph vs participation hypergraph</w:t>
            </w:r>
          </w:p>
        </w:tc>
        <w:tc>
          <w:tcPr>
            <w:tcW w:type="dxa" w:w="204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TWO-LAYER MODEL</w:t>
            </w:r>
          </w:p>
        </w:tc>
      </w:tr>
      <w:tr>
        <w:trPr>
          <w:trHeight w:hRule="atLeast"/>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T4-F109</w:t>
            </w:r>
          </w:p>
        </w:tc>
        <w:tc>
          <w:tcPr>
            <w:tcW w:type="dxa" w:w="6180"/>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Demon=Gap_D</w:t>
            </w:r>
          </w:p>
        </w:tc>
        <w:tc>
          <w:tcPr>
            <w:tcW w:type="dxa" w:w="204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AUTHORIAL DEF</w:t>
            </w:r>
          </w:p>
        </w:tc>
      </w:tr>
      <w:tr>
        <w:trPr>
          <w:trHeight w:hRule="atLeast"/>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T4-F110</w:t>
            </w:r>
          </w:p>
        </w:tc>
        <w:tc>
          <w:tcPr>
            <w:tcW w:type="dxa" w:w="6180"/>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DaemonFree gate</w:t>
            </w:r>
          </w:p>
        </w:tc>
        <w:tc>
          <w:tcPr>
            <w:tcW w:type="dxa" w:w="204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KLT GATE</w:t>
            </w:r>
          </w:p>
        </w:tc>
      </w:tr>
      <w:tr>
        <w:trPr>
          <w:trHeight w:hRule="atLeast"/>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T4-F111</w:t>
            </w:r>
          </w:p>
        </w:tc>
        <w:tc>
          <w:tcPr>
            <w:tcW w:type="dxa" w:w="6180"/>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R−1→R−02→R−03 schema</w:t>
            </w:r>
          </w:p>
        </w:tc>
        <w:tc>
          <w:tcPr>
            <w:tcW w:type="dxa" w:w="204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AUTHORIAL MODEL</w:t>
            </w:r>
          </w:p>
        </w:tc>
      </w:tr>
      <w:tr>
        <w:trPr>
          <w:trHeight w:hRule="atLeast"/>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T4-F112</w:t>
            </w:r>
          </w:p>
        </w:tc>
        <w:tc>
          <w:tcPr>
            <w:tcW w:type="dxa" w:w="6180"/>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Text_Enoch≠Event_Enoch≠KLT_Model</w:t>
            </w:r>
          </w:p>
        </w:tc>
        <w:tc>
          <w:tcPr>
            <w:tcW w:type="dxa" w:w="204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STATUS FIREWALL</w:t>
            </w:r>
          </w:p>
        </w:tc>
      </w:tr>
      <w:tr>
        <w:trPr>
          <w:trHeight w:hRule="atLeast"/>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T4-F113</w:t>
            </w:r>
          </w:p>
        </w:tc>
        <w:tc>
          <w:tcPr>
            <w:tcW w:type="dxa" w:w="6180"/>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E_Enoch:PreFold⇀RPLD</w:t>
            </w:r>
          </w:p>
        </w:tc>
        <w:tc>
          <w:tcPr>
            <w:tcW w:type="dxa" w:w="204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HERM OPERATOR</w:t>
            </w:r>
          </w:p>
        </w:tc>
      </w:tr>
      <w:tr>
        <w:trPr>
          <w:trHeight w:hRule="atLeast"/>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T4-F114</w:t>
            </w:r>
          </w:p>
        </w:tc>
        <w:tc>
          <w:tcPr>
            <w:tcW w:type="dxa" w:w="6180"/>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E_Enoch=p∞(Melichron/FOS)</w:t>
            </w:r>
          </w:p>
        </w:tc>
        <w:tc>
          <w:tcPr>
            <w:tcW w:type="dxa" w:w="204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SYMBOLIC ONLY</w:t>
            </w:r>
          </w:p>
        </w:tc>
      </w:tr>
      <w:tr>
        <w:trPr>
          <w:trHeight w:hRule="atLeast"/>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T4-F115</w:t>
            </w:r>
          </w:p>
        </w:tc>
        <w:tc>
          <w:tcPr>
            <w:tcW w:type="dxa" w:w="6180"/>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RPLD Fold import</w:t>
            </w:r>
          </w:p>
        </w:tc>
        <w:tc>
          <w:tcPr>
            <w:tcW w:type="dxa" w:w="204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MODEL</w:t>
            </w:r>
          </w:p>
        </w:tc>
      </w:tr>
      <w:tr>
        <w:trPr>
          <w:trHeight w:hRule="atLeast"/>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T4-F116</w:t>
            </w:r>
          </w:p>
        </w:tc>
        <w:tc>
          <w:tcPr>
            <w:tcW w:type="dxa" w:w="6180"/>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χ:FOS⇀Beyond(FOS)</w:t>
            </w:r>
          </w:p>
        </w:tc>
        <w:tc>
          <w:tcPr>
            <w:tcW w:type="dxa" w:w="204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OPEN</w:t>
            </w:r>
          </w:p>
        </w:tc>
      </w:tr>
      <w:tr>
        <w:trPr>
          <w:trHeight w:hRule="atLeast"/>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T4-F117</w:t>
            </w:r>
          </w:p>
        </w:tc>
        <w:tc>
          <w:tcPr>
            <w:tcW w:type="dxa" w:w="6180"/>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Moses/Kant/Christ hermeneutic maps</w:t>
            </w:r>
          </w:p>
        </w:tc>
        <w:tc>
          <w:tcPr>
            <w:tcW w:type="dxa" w:w="204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HERM-MODEL</w:t>
            </w:r>
          </w:p>
        </w:tc>
      </w:tr>
      <w:tr>
        <w:trPr>
          <w:trHeight w:hRule="atLeast"/>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T4-F118</w:t>
            </w:r>
          </w:p>
        </w:tc>
        <w:tc>
          <w:tcPr>
            <w:tcW w:type="dxa" w:w="6180"/>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σ_herm vector</w:t>
            </w:r>
          </w:p>
        </w:tc>
        <w:tc>
          <w:tcPr>
            <w:tcW w:type="dxa" w:w="204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STATUS VECTOR</w:t>
            </w:r>
          </w:p>
        </w:tc>
      </w:tr>
      <w:tr>
        <w:trPr>
          <w:trHeight w:hRule="atLeast"/>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T4-F119</w:t>
            </w:r>
          </w:p>
        </w:tc>
        <w:tc>
          <w:tcPr>
            <w:tcW w:type="dxa" w:w="6180"/>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Melichron blocker definition</w:t>
            </w:r>
          </w:p>
        </w:tc>
        <w:tc>
          <w:tcPr>
            <w:tcW w:type="dxa" w:w="204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BLOCKER</w:t>
            </w:r>
          </w:p>
        </w:tc>
      </w:tr>
      <w:tr>
        <w:trPr>
          <w:trHeight w:hRule="atLeast"/>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T4-F120</w:t>
            </w:r>
          </w:p>
        </w:tc>
        <w:tc>
          <w:tcPr>
            <w:tcW w:type="dxa" w:w="6180"/>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HERM + no bridge ⇒ ABSTAIN-STATUS</w:t>
            </w:r>
          </w:p>
        </w:tc>
        <w:tc>
          <w:tcPr>
            <w:tcW w:type="dxa" w:w="204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STATUS THM</w:t>
            </w:r>
          </w:p>
        </w:tc>
      </w:tr>
      <w:tr>
        <w:trPr>
          <w:trHeight w:hRule="atLeast"/>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T4-F121</w:t>
            </w:r>
          </w:p>
        </w:tc>
        <w:tc>
          <w:tcPr>
            <w:tcW w:type="dxa" w:w="6180"/>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T4-RA5 tuple</w:t>
            </w:r>
          </w:p>
        </w:tc>
        <w:tc>
          <w:tcPr>
            <w:tcW w:type="dxa" w:w="204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ROLLBACK DEF</w:t>
            </w:r>
          </w:p>
        </w:tc>
      </w:tr>
      <w:tr>
        <w:trPr>
          <w:trHeight w:hRule="atLeast"/>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T4-F122</w:t>
            </w:r>
          </w:p>
        </w:tc>
        <w:tc>
          <w:tcPr>
            <w:tcW w:type="dxa" w:w="6180"/>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v0.5 status lock</w:t>
            </w:r>
          </w:p>
        </w:tc>
        <w:tc>
          <w:tcPr>
            <w:tcW w:type="dxa" w:w="204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STATUS LOCK</w:t>
            </w:r>
          </w:p>
        </w:tc>
      </w:tr>
      <w:tr>
        <w:trPr>
          <w:trHeight w:hRule="atLeast"/>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T4-F123</w:t>
            </w:r>
          </w:p>
        </w:tc>
        <w:tc>
          <w:tcPr>
            <w:tcW w:type="dxa" w:w="618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E=(Σ,Ax,Rules,Dom,D,Prov,σ)</w:t>
            </w:r>
          </w:p>
        </w:tc>
        <w:tc>
          <w:tcPr>
            <w:tcW w:type="dxa" w:w="204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AUTHORIAL DEF</w:t>
            </w:r>
          </w:p>
        </w:tc>
      </w:tr>
      <w:tr>
        <w:trPr>
          <w:trHeight w:hRule="atLeast"/>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T4-F124</w:t>
            </w:r>
          </w:p>
        </w:tc>
        <w:tc>
          <w:tcPr>
            <w:tcW w:type="dxa" w:w="618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Sol_E(P)</w:t>
            </w:r>
          </w:p>
        </w:tc>
        <w:tc>
          <w:tcPr>
            <w:tcW w:type="dxa" w:w="204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DEF/COND</w:t>
            </w:r>
          </w:p>
        </w:tc>
      </w:tr>
      <w:tr>
        <w:trPr>
          <w:trHeight w:hRule="atLeast"/>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T4-F125</w:t>
            </w:r>
          </w:p>
        </w:tc>
        <w:tc>
          <w:tcPr>
            <w:tcW w:type="dxa" w:w="618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Disc_E:Trace_E⇀Sol_E(P)</w:t>
            </w:r>
          </w:p>
        </w:tc>
        <w:tc>
          <w:tcPr>
            <w:tcW w:type="dxa" w:w="204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AUTHORIAL DEF</w:t>
            </w:r>
          </w:p>
        </w:tc>
      </w:tr>
      <w:tr>
        <w:trPr>
          <w:trHeight w:hRule="atLeast"/>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T4-F126</w:t>
            </w:r>
          </w:p>
        </w:tc>
        <w:tc>
          <w:tcPr>
            <w:tcW w:type="dxa" w:w="618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Inv:E⇀E′</w:t>
            </w:r>
          </w:p>
        </w:tc>
        <w:tc>
          <w:tcPr>
            <w:tcW w:type="dxa" w:w="204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AUTHORIAL DEF</w:t>
            </w:r>
          </w:p>
        </w:tc>
      </w:tr>
      <w:tr>
        <w:trPr>
          <w:trHeight w:hRule="atLeast"/>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T4-F127</w:t>
            </w:r>
          </w:p>
        </w:tc>
        <w:tc>
          <w:tcPr>
            <w:tcW w:type="dxa" w:w="618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Vis_h:(H,M,U(E))⇀Conj(E)</w:t>
            </w:r>
          </w:p>
        </w:tc>
        <w:tc>
          <w:tcPr>
            <w:tcW w:type="dxa" w:w="204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AUTHORIAL MODEL</w:t>
            </w:r>
          </w:p>
        </w:tc>
      </w:tr>
      <w:tr>
        <w:trPr>
          <w:trHeight w:hRule="atLeast"/>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T4-F128</w:t>
            </w:r>
          </w:p>
        </w:tc>
        <w:tc>
          <w:tcPr>
            <w:tcW w:type="dxa" w:w="618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status(Vis)⪯CONJ until proof gate</w:t>
            </w:r>
          </w:p>
        </w:tc>
        <w:tc>
          <w:tcPr>
            <w:tcW w:type="dxa" w:w="204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STATUS LOCK</w:t>
            </w:r>
          </w:p>
        </w:tc>
      </w:tr>
      <w:tr>
        <w:trPr>
          <w:trHeight w:hRule="atLeast"/>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T4-F129</w:t>
            </w:r>
          </w:p>
        </w:tc>
        <w:tc>
          <w:tcPr>
            <w:tcW w:type="dxa" w:w="618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Rep_disc=(R_x,I_inv,U_alt;D_proof)</w:t>
            </w:r>
          </w:p>
        </w:tc>
        <w:tc>
          <w:tcPr>
            <w:tcW w:type="dxa" w:w="204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AUTHORIAL DEF</w:t>
            </w:r>
          </w:p>
        </w:tc>
      </w:tr>
      <w:tr>
        <w:trPr>
          <w:trHeight w:hRule="atLeast"/>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T4-F130</w:t>
            </w:r>
          </w:p>
        </w:tc>
        <w:tc>
          <w:tcPr>
            <w:tcW w:type="dxa" w:w="618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N=(n_obj,n_rule,n_repr,n_proof,n_use)</w:t>
            </w:r>
          </w:p>
        </w:tc>
        <w:tc>
          <w:tcPr>
            <w:tcW w:type="dxa" w:w="204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VECTOR DEF</w:t>
            </w:r>
          </w:p>
        </w:tc>
      </w:tr>
      <w:tr>
        <w:trPr>
          <w:trHeight w:hRule="atLeast"/>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T4-F131</w:t>
            </w:r>
          </w:p>
        </w:tc>
        <w:tc>
          <w:tcPr>
            <w:tcW w:type="dxa" w:w="618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Ctx tuple</w:t>
            </w:r>
          </w:p>
        </w:tc>
        <w:tc>
          <w:tcPr>
            <w:tcW w:type="dxa" w:w="204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AUTHORIAL DEF</w:t>
            </w:r>
          </w:p>
        </w:tc>
      </w:tr>
      <w:tr>
        <w:trPr>
          <w:trHeight w:hRule="atLeast"/>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T4-F132</w:t>
            </w:r>
          </w:p>
        </w:tc>
        <w:tc>
          <w:tcPr>
            <w:tcW w:type="dxa" w:w="618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D refined tuple</w:t>
            </w:r>
          </w:p>
        </w:tc>
        <w:tc>
          <w:tcPr>
            <w:tcW w:type="dxa" w:w="204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REFINED DEF</w:t>
            </w:r>
          </w:p>
        </w:tc>
      </w:tr>
      <w:tr>
        <w:trPr>
          <w:trHeight w:hRule="atLeast"/>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T4-F133</w:t>
            </w:r>
          </w:p>
        </w:tc>
        <w:tc>
          <w:tcPr>
            <w:tcW w:type="dxa" w:w="618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τ=(τ_C,τ_D,residual)</w:t>
            </w:r>
          </w:p>
        </w:tc>
        <w:tc>
          <w:tcPr>
            <w:tcW w:type="dxa" w:w="204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AUTHORIAL DEF</w:t>
            </w:r>
          </w:p>
        </w:tc>
      </w:tr>
      <w:tr>
        <w:trPr>
          <w:trHeight w:hRule="atLeast"/>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T4-F134</w:t>
            </w:r>
          </w:p>
        </w:tc>
        <w:tc>
          <w:tcPr>
            <w:tcW w:type="dxa" w:w="618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commuting justification square</w:t>
            </w:r>
          </w:p>
        </w:tc>
        <w:tc>
          <w:tcPr>
            <w:tcW w:type="dxa" w:w="204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THM GATE</w:t>
            </w:r>
          </w:p>
        </w:tc>
      </w:tr>
      <w:tr>
        <w:trPr>
          <w:trHeight w:hRule="atLeast"/>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T4-F135</w:t>
            </w:r>
          </w:p>
        </w:tc>
        <w:tc>
          <w:tcPr>
            <w:tcW w:type="dxa" w:w="618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foreign-D condition</w:t>
            </w:r>
          </w:p>
        </w:tc>
        <w:tc>
          <w:tcPr>
            <w:tcW w:type="dxa" w:w="204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DEF</w:t>
            </w:r>
          </w:p>
        </w:tc>
      </w:tr>
      <w:tr>
        <w:trPr>
          <w:trHeight w:hRule="atLeast"/>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T4-F136</w:t>
            </w:r>
          </w:p>
        </w:tc>
        <w:tc>
          <w:tcPr>
            <w:tcW w:type="dxa" w:w="618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Misreading classifier</w:t>
            </w:r>
          </w:p>
        </w:tc>
        <w:tc>
          <w:tcPr>
            <w:tcW w:type="dxa" w:w="204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AUTHORIAL</w:t>
            </w:r>
          </w:p>
        </w:tc>
      </w:tr>
      <w:tr>
        <w:trPr>
          <w:trHeight w:hRule="atLeast"/>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T4-F137</w:t>
            </w:r>
          </w:p>
        </w:tc>
        <w:tc>
          <w:tcPr>
            <w:tcW w:type="dxa" w:w="618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g_D defect vector</w:t>
            </w:r>
          </w:p>
        </w:tc>
        <w:tc>
          <w:tcPr>
            <w:tcW w:type="dxa" w:w="204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VECTOR DEF</w:t>
            </w:r>
          </w:p>
        </w:tc>
      </w:tr>
      <w:tr>
        <w:trPr>
          <w:trHeight w:hRule="atLeast"/>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T4-F138</w:t>
            </w:r>
          </w:p>
        </w:tc>
        <w:tc>
          <w:tcPr>
            <w:tcW w:type="dxa" w:w="618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Repair_D partial operator</w:t>
            </w:r>
          </w:p>
        </w:tc>
        <w:tc>
          <w:tcPr>
            <w:tcW w:type="dxa" w:w="204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AUTHORIAL</w:t>
            </w:r>
          </w:p>
        </w:tc>
      </w:tr>
      <w:tr>
        <w:trPr>
          <w:trHeight w:hRule="atLeast"/>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T4-F139</w:t>
            </w:r>
          </w:p>
        </w:tc>
        <w:tc>
          <w:tcPr>
            <w:tcW w:type="dxa" w:w="618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unresolved residual⇒ABSTAIN-HERM</w:t>
            </w:r>
          </w:p>
        </w:tc>
        <w:tc>
          <w:tcPr>
            <w:tcW w:type="dxa" w:w="204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STATUS GATE</w:t>
            </w:r>
          </w:p>
        </w:tc>
      </w:tr>
      <w:tr>
        <w:trPr>
          <w:trHeight w:hRule="atLeast"/>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T4-F140</w:t>
            </w:r>
          </w:p>
        </w:tc>
        <w:tc>
          <w:tcPr>
            <w:tcW w:type="dxa" w:w="618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Γ_h anthropological gap vector</w:t>
            </w:r>
          </w:p>
        </w:tc>
        <w:tc>
          <w:tcPr>
            <w:tcW w:type="dxa" w:w="204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AUTHORIAL VECTOR</w:t>
            </w:r>
          </w:p>
        </w:tc>
      </w:tr>
      <w:tr>
        <w:trPr>
          <w:trHeight w:hRule="atLeast"/>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T4-F141</w:t>
            </w:r>
          </w:p>
        </w:tc>
        <w:tc>
          <w:tcPr>
            <w:tcW w:type="dxa" w:w="618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typed component spaces G_j</w:t>
            </w:r>
          </w:p>
        </w:tc>
        <w:tc>
          <w:tcPr>
            <w:tcW w:type="dxa" w:w="204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TYPED DEF</w:t>
            </w:r>
          </w:p>
        </w:tc>
      </w:tr>
      <w:tr>
        <w:trPr>
          <w:trHeight w:hRule="atLeast"/>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T4-F142</w:t>
            </w:r>
          </w:p>
        </w:tc>
        <w:tc>
          <w:tcPr>
            <w:tcW w:type="dxa" w:w="618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componentwise partial order</w:t>
            </w:r>
          </w:p>
        </w:tc>
        <w:tc>
          <w:tcPr>
            <w:tcW w:type="dxa" w:w="204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ORDER DEF</w:t>
            </w:r>
          </w:p>
        </w:tc>
      </w:tr>
      <w:tr>
        <w:trPr>
          <w:trHeight w:hRule="atLeast"/>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T4-F143</w:t>
            </w:r>
          </w:p>
        </w:tc>
        <w:tc>
          <w:tcPr>
            <w:tcW w:type="dxa" w:w="618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AnthroCGI:=Γ_h</w:t>
            </w:r>
          </w:p>
        </w:tc>
        <w:tc>
          <w:tcPr>
            <w:tcW w:type="dxa" w:w="204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AUTHORIAL DEF</w:t>
            </w:r>
          </w:p>
        </w:tc>
      </w:tr>
      <w:tr>
        <w:trPr>
          <w:trHeight w:hRule="atLeast"/>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T4-F144</w:t>
            </w:r>
          </w:p>
        </w:tc>
        <w:tc>
          <w:tcPr>
            <w:tcW w:type="dxa" w:w="618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conditional aggregation Agg_w</w:t>
            </w:r>
          </w:p>
        </w:tc>
        <w:tc>
          <w:tcPr>
            <w:tcW w:type="dxa" w:w="204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COND/NO DEFAULT</w:t>
            </w:r>
          </w:p>
        </w:tc>
      </w:tr>
      <w:tr>
        <w:trPr>
          <w:trHeight w:hRule="atLeast"/>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T4-F145</w:t>
            </w:r>
          </w:p>
        </w:tc>
        <w:tc>
          <w:tcPr>
            <w:tcW w:type="dxa" w:w="618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Bridge_j repair map</w:t>
            </w:r>
          </w:p>
        </w:tc>
        <w:tc>
          <w:tcPr>
            <w:tcW w:type="dxa" w:w="204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PARTIAL OPERATOR</w:t>
            </w:r>
          </w:p>
        </w:tc>
      </w:tr>
      <w:tr>
        <w:trPr>
          <w:trHeight w:hRule="atLeast"/>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T4-F146</w:t>
            </w:r>
          </w:p>
        </w:tc>
        <w:tc>
          <w:tcPr>
            <w:tcW w:type="dxa" w:w="618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Repair(Γ_h)</w:t>
            </w:r>
          </w:p>
        </w:tc>
        <w:tc>
          <w:tcPr>
            <w:tcW w:type="dxa" w:w="204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AUTHORIAL OPERATOR</w:t>
            </w:r>
          </w:p>
        </w:tc>
      </w:tr>
      <w:tr>
        <w:trPr>
          <w:trHeight w:hRule="atLeast"/>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T4-F147</w:t>
            </w:r>
          </w:p>
        </w:tc>
        <w:tc>
          <w:tcPr>
            <w:tcW w:type="dxa" w:w="618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mandatory unresolved⇒ABSTAIN-ANTHRO</w:t>
            </w:r>
          </w:p>
        </w:tc>
        <w:tc>
          <w:tcPr>
            <w:tcW w:type="dxa" w:w="204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WEAKEST-LINK</w:t>
            </w:r>
          </w:p>
        </w:tc>
      </w:tr>
      <w:tr>
        <w:trPr>
          <w:trHeight w:hRule="atLeast"/>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T4-F148</w:t>
            </w:r>
          </w:p>
        </w:tc>
        <w:tc>
          <w:tcPr>
            <w:tcW w:type="dxa" w:w="618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Doc_h tuple</w:t>
            </w:r>
          </w:p>
        </w:tc>
        <w:tc>
          <w:tcPr>
            <w:tcW w:type="dxa" w:w="204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AUTHORIAL DEF</w:t>
            </w:r>
          </w:p>
        </w:tc>
      </w:tr>
      <w:tr>
        <w:trPr>
          <w:trHeight w:hRule="atLeast"/>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T4-F149</w:t>
            </w:r>
          </w:p>
        </w:tc>
        <w:tc>
          <w:tcPr>
            <w:tcW w:type="dxa" w:w="618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Authenticity≠Truth≠Reliability≠Relevance≠Sufficiency</w:t>
            </w:r>
          </w:p>
        </w:tc>
        <w:tc>
          <w:tcPr>
            <w:tcW w:type="dxa" w:w="204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TYPE FIREWALL</w:t>
            </w:r>
          </w:p>
        </w:tc>
      </w:tr>
      <w:tr>
        <w:trPr>
          <w:trHeight w:hRule="atLeast"/>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T4-F150</w:t>
            </w:r>
          </w:p>
        </w:tc>
        <w:tc>
          <w:tcPr>
            <w:tcW w:type="dxa" w:w="618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Archive_h category tuple</w:t>
            </w:r>
          </w:p>
        </w:tc>
        <w:tc>
          <w:tcPr>
            <w:tcW w:type="dxa" w:w="204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AUTHORIAL CATEGORY</w:t>
            </w:r>
          </w:p>
        </w:tc>
      </w:tr>
      <w:tr>
        <w:trPr>
          <w:trHeight w:hRule="atLeast"/>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T4-F151</w:t>
            </w:r>
          </w:p>
        </w:tc>
        <w:tc>
          <w:tcPr>
            <w:tcW w:type="dxa" w:w="618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Custody chain</w:t>
            </w:r>
          </w:p>
        </w:tc>
        <w:tc>
          <w:tcPr>
            <w:tcW w:type="dxa" w:w="204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PROVENANCE</w:t>
            </w:r>
          </w:p>
        </w:tc>
      </w:tr>
      <w:tr>
        <w:trPr>
          <w:trHeight w:hRule="atLeast"/>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T4-F152</w:t>
            </w:r>
          </w:p>
        </w:tc>
        <w:tc>
          <w:tcPr>
            <w:tcW w:type="dxa" w:w="618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Enc:LivedEvent⇀Doc</w:t>
            </w:r>
          </w:p>
        </w:tc>
        <w:tc>
          <w:tcPr>
            <w:tcW w:type="dxa" w:w="204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PARTIAL ENCODING</w:t>
            </w:r>
          </w:p>
        </w:tc>
      </w:tr>
      <w:tr>
        <w:trPr>
          <w:trHeight w:hRule="atLeast"/>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T4-F153</w:t>
            </w:r>
          </w:p>
        </w:tc>
        <w:tc>
          <w:tcPr>
            <w:tcW w:type="dxa" w:w="618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Enc non-injective⇒no total inverse</w:t>
            </w:r>
          </w:p>
        </w:tc>
        <w:tc>
          <w:tcPr>
            <w:tcW w:type="dxa" w:w="204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THM-FORMAL</w:t>
            </w:r>
          </w:p>
        </w:tc>
      </w:tr>
      <w:tr>
        <w:trPr>
          <w:trHeight w:hRule="atLeast"/>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T4-F154</w:t>
            </w:r>
          </w:p>
        </w:tc>
        <w:tc>
          <w:tcPr>
            <w:tcW w:type="dxa" w:w="618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Reconstruct partial set-valued map</w:t>
            </w:r>
          </w:p>
        </w:tc>
        <w:tc>
          <w:tcPr>
            <w:tcW w:type="dxa" w:w="204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PARTIAL</w:t>
            </w:r>
          </w:p>
        </w:tc>
      </w:tr>
      <w:tr>
        <w:trPr>
          <w:trHeight w:hRule="atLeast"/>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T4-F155</w:t>
            </w:r>
          </w:p>
        </w:tc>
        <w:tc>
          <w:tcPr>
            <w:tcW w:type="dxa" w:w="618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ExtMem_h graph</w:t>
            </w:r>
          </w:p>
        </w:tc>
        <w:tc>
          <w:tcPr>
            <w:tcW w:type="dxa" w:w="204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AUTHORIAL DEF</w:t>
            </w:r>
          </w:p>
        </w:tc>
      </w:tr>
      <w:tr>
        <w:trPr>
          <w:trHeight w:hRule="atLeast"/>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T4-F156</w:t>
            </w:r>
          </w:p>
        </w:tc>
        <w:tc>
          <w:tcPr>
            <w:tcW w:type="dxa" w:w="618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KLT document/archive pipeline</w:t>
            </w:r>
          </w:p>
        </w:tc>
        <w:tc>
          <w:tcPr>
            <w:tcW w:type="dxa" w:w="204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AUTHORIAL PIPELINE</w:t>
            </w:r>
          </w:p>
        </w:tc>
      </w:tr>
      <w:tr>
        <w:trPr>
          <w:trHeight w:hRule="atLeast"/>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T4-F157</w:t>
            </w:r>
          </w:p>
        </w:tc>
        <w:tc>
          <w:tcPr>
            <w:tcW w:type="dxa" w:w="6180"/>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T4-RA6 tuple</w:t>
            </w:r>
          </w:p>
        </w:tc>
        <w:tc>
          <w:tcPr>
            <w:tcW w:type="dxa" w:w="204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ROLLBACK DEF</w:t>
            </w:r>
          </w:p>
        </w:tc>
      </w:tr>
      <w:tr>
        <w:trPr>
          <w:trHeight w:hRule="atLeast"/>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T4-F158</w:t>
            </w:r>
          </w:p>
        </w:tc>
        <w:tc>
          <w:tcPr>
            <w:tcW w:type="dxa" w:w="6180"/>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v0.6 philosophy/status lock</w:t>
            </w:r>
          </w:p>
        </w:tc>
        <w:tc>
          <w:tcPr>
            <w:tcW w:type="dxa" w:w="204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STATUS LOCK</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T4-F159</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𝕀_K=(I,≽),  α≻β means larger Size@Dimension R@R reduces to smaller R@R</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INDEXED SIZE@DIMENSION DEF</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T4-F160</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X_K={X_α}_{α∈I};  ρ_{αβ}:X_α⇀X_β for α≻β</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STRATIFIED CARRIER DEF</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T4-F161</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Θ_K={Θ_{αβ}}_{α≻β}: field of the Kurpishev Course of Time</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AUTHORIAL FIELD DEF</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T4-F162</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g_K={g_α};  Π_g^PIX: internal phase throws inside a state packet</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METRIC PIX DEF</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T4-F163</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A_K={A_{αβ}};  T_A^PEAKS: projective-harmonic inter-dimensional transitions</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TRANSITION POTENTIAL DEF</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T4-F164</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Φ_K=(Θ_K,g_K,A_K;D,Dom,Prov,σ)</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WORLD-FIELD DATUM</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T4-F165</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P@P=(Π_g^PIX,T_A^PEAKS;Compat)</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AUTHORIAL PACKET DEF</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T4-F166</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S_K[Φ_K]=Σ_{α≻β}∫_{Ω_{αβ}} H_K(j^rΘ,j^rg,j^rA;D,Dom)dμ_{g_α}</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KLT WORLD ACTION</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T4-F167</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KLT-A1: δ_{Θ,g,A}S_K=0 on admissible compactly supported variations</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PERMANENT KERNEL I</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T4-F168</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C@C=G_K(Crit S_K, P@P, D/Dom, AmpGate, σ)</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EVENT@STATE GENERATION</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T4-F169</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𝔊_KLT=⟨Aut(P@P),Aut(M@R),Aut(C@B),Aut(R@R)⟩_adm</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ADMISSIBLE PACKET GROUPOID</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T4-F170</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KLT-A2: S_K[γ·Φ_K]=S_K[Φ_K]+∫_{∂Ω}B_γ,  γ∈𝔊_KLT</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PERMANENT KERNEL II</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T4-F171</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R_amp⊂A_event×A_state is the admissible event-state amplitude relation</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AMPLITUDE RELATION DEF</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T4-F172</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supp Ψ_{S|e}⊂{s:(Amp_E(e),Amp_S(s))∈R_amp}</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STATE SUB-AMPLITUDE GATE</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T4-F173</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Real_K(e,s)⇔Crit∧Cov∧AmpGate∧Rigidity∧D/Dom∧Prov∧Status</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MODEL REALIZATION GATE</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T4-F174</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ker Hess(S_red)_x=T_x(𝔊_KLT·x), and Hess&gt;0 on the normal quotient</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FINAL RIGIDITY GATE</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T4-F175</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R_H:(X_K,Θ_K,g_K,A_K,𝔊_KLT)⇀(M⁴,g_{μν},q_s,Diff(M))</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HILBERT REDUCTION FUNCTOR</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T4-F176</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R_H(S_K)=∫_M H(g_{μν},q_s,∂g,∂q,...)√|g| d⁴x</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HILBERT WORLD FUNCTION</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T4-F177</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R_H(KLT-A1)=Hilbert I;  R_H(KLT-A2)=Hilbert II</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REDUCTION THEOREM</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T4-F178</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Hilbert I+II ⇏ full KLT hierarchy, P@P, nonassociativity, or D/Dom</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NON-REVERSIBILITY</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T4-F179</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δ_εS=0 under a smooth Lie symmetry ⇒ differential identity / conserved current</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NOETHER BRIDGE · REDUCED</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T4-F180</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Kern_KLT=(Genesis_by_variation, Identity_by_invariance)</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EINEN BLEIBENDEN KERN</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T4-F181</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World→C@C_world→C@C_human→Reper_h is a chain of typed reductions, not identities</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ANTHROPOLOGICAL REDUCTION</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T4-F182</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Mem_machine=(Records,Schema,Prov,D,Dom,σ,Access,Retention)</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MACHINE MEMORY DEF</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T4-F183</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Enc:LivedEvent_h⇀Record_RBD</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NONINJECTIVE ENCODING</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T4-F184</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Enc noninjective ⇒ no universal total inverse Enc⁻¹</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NO COMPLETE RETURN THEOREM</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T4-F185</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Record_R=(bytes,metadata,source-card,Reper,D,Dom,Prov,σ,rights)</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PROOF-CARRYING RECORD</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T4-F186</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σ(machine_output)≼σ(source_inputs)</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MACHINE STATUS MONOTONICITY</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T4-F187</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PrivacyGate=Purpose∧Minimization∧Access∧Retention∧Consent_or_LawfulBasis</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PRIVACY/ETHICS GATE</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T4-F188</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missing mandatory field or incompatible rights ⇒ ABSTAIN-MEMORY</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BLOCKER-SAFE MEMORY</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T4-F189</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C@C_world≠C@C_human≠C@C_database</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TYPE FIREWALL</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T4-F190</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A_Ω:Core_KLT×Data_Ω⇀Claims_Ω×ProofPassport_Ω</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DOMAIN ADAPTER DEF</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T4-F191</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σ(A_Ω(x))≼σ(x); adapters cannot create proof or evidence</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ADAPTER NON-PROMOTION</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T4-F192</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SourceBound(A_Ω)⇔every output edge has locator, version, hash, Dom and D</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SOURCE-BOUND CONTRACT</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T4-F193</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A_article:formula-chain→claim-status; no citation→theorem promotion</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SCIENTIFIC ARTICLE ADAPTER</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T4-F194</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A_court:document-chain→structural dossier; no automatic legal conclusion</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COURT-DOCUMENT ADAPTER</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T4-F195</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A_engineering:requirements→interfaces→tests→as-built evidence</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ENGINEERING ADAPTER</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T4-F196</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A_chem:species@state→reaction@conditions→Evidence-D</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CHEMISTRY ADAPTER</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T4-F197</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A_forecast:certified history→candidate set∪{ABSTAIN}</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FORECAST ADAPTER</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T4-F198</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WorldFunction_Ω means a domain-generating structural functional unless a physical bridge is proved</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SEMANTIC FIREWALL</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T4-F199</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EndToEndStatus=min_≼{module statuses}; weakest mandatory gate controls the result</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WEAKEST-LINK THEOREM</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T4-F200</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T4-RA7=T4-RA6⊞KLT-A1/A2⊞HilbertReduction⊞MachineMemory⊞DomainAdapters</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ROLLBACK DEF</w:t>
            </w:r>
          </w:p>
        </w:tc>
      </w:tr>
      <w:t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T4-F201</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World_h = (C@C_world, Body_h, Horizon_h, Language_h, Memory_h; D_h, L_h, σ_h)</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ARCH/HERM</w:t>
            </w:r>
          </w:p>
        </w:tc>
      </w:tr>
      <w:t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T4-F202</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Fold_h : C@C_world × Horizon_h ⇀ C@C_human</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MODEL/HERM</w:t>
            </w:r>
          </w:p>
        </w:tc>
      </w:tr>
      <w:t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T4-F203</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Human_R^φ = (C@C_h, Body_h, Freedom_h, Language_h, Memory_h, Other_h, Responsibility_h, L_h; Reper_h, D_h, Dom_h, σ_h)</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ARCH</w:t>
            </w:r>
          </w:p>
        </w:tc>
      </w:tr>
      <w:t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T4-F204</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Freedom_h(s) = Init_h(s) ∩ Adm_L(s); Freedom_h ≠ unbounded power</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DEF/HERM</w:t>
            </w:r>
          </w:p>
        </w:tc>
      </w:tr>
      <w:t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T4-F205</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Resp_h(a) = {y | a↝y ∧ attributable(a,y) ∧ foreseeable_D(a,y)}</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MODEL/ETHICS</w:t>
            </w:r>
          </w:p>
        </w:tc>
      </w:tr>
      <w:t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T4-F206</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Memory_h ≠ Archive_h; Archive_h ≠ LivedEvent_h; Hash(d) ≠ Meaning(d)</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TYPE FIREWALL</w:t>
            </w:r>
          </w:p>
        </w:tc>
      </w:tr>
      <w:t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T4-F207</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Res_h(F,x) = {r∈Rel(x) | ¬Preserved_F(r)}</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DEF</w:t>
            </w:r>
          </w:p>
        </w:tc>
      </w:tr>
      <w:t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T4-F208</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Science_h = WorldResistance ⊗ Method ⊗ PublicCritique ⊗ Responsibility</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PHILOSOPHICAL SYNTHESIS</w:t>
            </w:r>
          </w:p>
        </w:tc>
      </w:tr>
      <w:t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T4-F209</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PhilosophyGate_h = NonReduction ∧ NoStatusInflation ∧ ResponsibleUse</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NORMATIVE GATE</w:t>
            </w:r>
          </w:p>
        </w:tc>
      </w:tr>
      <w:t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T4-F210</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SciObj_KLT = (W,A,R,M,Q; D,Dom,Prov,σ)</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DEF</w:t>
            </w:r>
          </w:p>
        </w:tc>
      </w:tr>
      <w:t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T4-F211</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W ≠ A ≠ R ≠ M ≠ Q</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TYPE FIREWALL</w:t>
            </w:r>
          </w:p>
        </w:tc>
      </w:tr>
      <w:t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T4-F212</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Obs_{ω,a,p}: C@C_world ⇀ C@C_record</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PARTIAL MAP</w:t>
            </w:r>
          </w:p>
        </w:tc>
      </w:tr>
      <w:t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T4-F213</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Fact_sci = (e,s,value,unit,uncertainty,calibration,protocol,time,Prov,D,Dom,σ)</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DEF</w:t>
            </w:r>
          </w:p>
        </w:tc>
      </w:tr>
      <w:t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T4-F214</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Model: Records ⇀ ℘(Candidates×Predictions×Certificates)</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DEF</w:t>
            </w:r>
          </w:p>
        </w:tc>
      </w:tr>
      <w:t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T4-F215</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Expl = (fit,mechanism,invariance,counterfactual,transport,simplicity,D,σ)</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VECTOR</w:t>
            </w:r>
          </w:p>
        </w:tc>
      </w:tr>
      <w:t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T4-F216</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Experiment_h = Υ_record ∘ Ξ_protocol ∘ Δ_intervention</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ARCH/COND</w:t>
            </w:r>
          </w:p>
        </w:tc>
      </w:tr>
      <w:t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T4-F217</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R_{X→Y}:X⇀Y; Inv_Y(Rx)=Inv_X(x) for declared invariants</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DEF/COND</w:t>
            </w:r>
          </w:p>
        </w:tc>
      </w:tr>
      <w:t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T4-F218</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Res_R(x)=Rel_X(x)\Preserved_R(x)</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DEF</w:t>
            </w:r>
          </w:p>
        </w:tc>
      </w:tr>
      <w:t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T4-F219</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Emerg_R(P) ⇔ Stable_X(P) ∧ ¬Definable_{Lang(Y)}(P) ∧ ReconstructionRequired(P)</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COND</w:t>
            </w:r>
          </w:p>
        </w:tc>
      </w:tr>
      <w:t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T4-F220</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𝔑_KLT = RespGate∘StatusGate∘Test∘Explain∘Model∘Record∘Observe</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PARTIAL COMPOSITION</w:t>
            </w:r>
          </w:p>
        </w:tc>
      </w:tr>
      <w:t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T4-F221</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X_h=(C@C,Body,Instrument,Horizon,Language,Memory,Other,D,Dom,Prov,Consent,σ)</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INPUT TYPE</w:t>
            </w:r>
          </w:p>
        </w:tc>
      </w:tr>
      <w:t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T4-F222</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𝔄_KLT:X_h⇀℘(Y_h×Certificate_h)∪{ABSTAIN(blocker)}</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PARTIAL OPERATOR</w:t>
            </w:r>
          </w:p>
        </w:tc>
      </w:tr>
      <w:t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T4-F223</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𝔄_KLT=DecisionGate∘RespGate∘CandidateGate∘Audit_{λ,CGI}∘D/DomGate∘HumanRBuild∘Memory∘Language∘Orientation∘Intake</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ARCH</w:t>
            </w:r>
          </w:p>
        </w:tc>
      </w:tr>
      <w:t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T4-F224</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σ_out ⪯ ⋀_{i∈RequiredPath} σ_i</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THM-FORMAL</w:t>
            </w:r>
          </w:p>
        </w:tc>
      </w:tr>
      <w:t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T4-F225</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Res_h(Enc,x)={r∈Rel(Human_R(x)) | ¬Preserved_Enc(r)}</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DEF</w:t>
            </w:r>
          </w:p>
        </w:tc>
      </w:tr>
      <w:t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T4-F226</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ND_h={goal-setting,consent,value-conflict,final-attribution,risk-acceptance,override}</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NORMATIVE SET</w:t>
            </w:r>
          </w:p>
        </w:tc>
      </w:tr>
      <w:t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T4-F227</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Gate_pub=TYPE∧DOM∧D∧PROOF∧PROV∧REPRO∧ETHICS∧STATUS</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DEF</w:t>
            </w:r>
          </w:p>
        </w:tc>
      </w:tr>
      <w:t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T4-F228</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Publish(c)∈{THEOREM,MODEL/HYPOTHESIS,REVIEW/INTERPRETATION,ABSTAIN/BLOCKER}</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OUTPUT TYPE</w:t>
            </w:r>
          </w:p>
        </w:tc>
      </w:tr>
      <w:t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T4-F229</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Complete_h(P)⇔Sound(P)∧ConsequenceMap(P)∧Contestable(P)∧Responsible(P)</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NORMATIVE AXIOM</w:t>
            </w:r>
          </w:p>
        </w:tc>
      </w:tr>
      <w:t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T4-F230</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Contest(x)⇒create Version(x′)∧preserve Source(x)∧link(x′,x,reason)</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VERSIONING RULE</w:t>
            </w:r>
          </w:p>
        </w:tc>
      </w:tr>
      <w:t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T4-F231</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σ_pub=(formal,mathematical,numerical,empirical,historical,hermeneutic,ethical,legal,reproducible)</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STATUS VECTOR</w:t>
            </w:r>
          </w:p>
        </w:tc>
      </w:tr>
      <w:t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T4-F232</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THEOREM_pub(c)⇔Gate_pub(c)=1∧formal≥THM∧proof=verified</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COND</w:t>
            </w:r>
          </w:p>
        </w:tc>
      </w:tr>
      <w:t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T4-F233</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MODEL_pub(c)⇔assumptions,Dom,calibration,limitations,validation-plan explicit</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COND</w:t>
            </w:r>
          </w:p>
        </w:tc>
      </w:tr>
      <w:t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T4-F234</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ABSTAIN_pub(c)⇔∃ mandatory gate g:g(c)=OPEN or FAILED</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DEF</w:t>
            </w:r>
          </w:p>
        </w:tc>
      </w:tr>
      <w:t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T4-F235</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Fals_h(c)=(countermodel,failed-proof-step,numerical-divergence,empirical-test,source-refutation,ethical-blocker)</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VECTOR</w:t>
            </w:r>
          </w:p>
        </w:tc>
      </w:tr>
      <w:t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T4-F236</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Novelty_KLT(c)=(new object,new typing,new composition,new proof,new computation,new use)</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VECTOR</w:t>
            </w:r>
          </w:p>
        </w:tc>
      </w:tr>
      <w:t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T4-F237</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Authorial(c)⇒cite(prior_art)∧identify(new_composition)∧preserve(status)</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ATTRIBUTION RULE</w:t>
            </w:r>
          </w:p>
        </w:tc>
      </w:tr>
      <w:t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T4-F238</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Tom I→Tom II→Tom III→Tom IV→Tom V</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VOLUME BRIDGE</w:t>
            </w:r>
          </w:p>
        </w:tc>
      </w:tr>
      <w:t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T4-F239</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T4-RA8=T4-RA7⊞PhilosophyPrologue⊞NaturalScienceCycle⊞ResidualLedger⊞EndToEndAnthro⊞PublicationGate</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ROLLBACK</w:t>
            </w:r>
          </w:p>
        </w:tc>
      </w:tr>
      <w:t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T4-F240</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Human_R=locus(question,action,memory,relation,responsibility) under D/Dom/L</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FINAL SYNOPSIS</w:t>
            </w:r>
          </w:p>
        </w:tc>
      </w:tr>
    </w:tbl>
    <w:p>
      <w:pPr>
        <w:widowControl/>
        <w:spacing w:after="20"/>
      </w:pPr>
    </w:p>
    <w:p>
      <w:bookmarkStart w:id="113" w:name="appB"/>
      <w:pPr>
        <w:pStyle w:val="Heading1"/>
        <w:keepNext/>
        <w:pageBreakBefore w:val="0"/>
        <w:widowControl/>
        <w:spacing w:before="200" w:after="100"/>
      </w:pPr>
      <w:r>
        <w:rPr>
          <w:rFonts w:ascii="DejaVu Sans" w:hAnsi="DejaVu Sans" w:eastAsia="DejaVu Sans"/>
          <w:b/>
          <w:color w:val="173A61"/>
          <w:sz w:val="35"/>
        </w:rPr>
        <w:t>Приложение B. Реестр T4-PO-001-T4-PO-030</w:t>
      </w:r>
      <w:bookmarkEnd w:id="113"/>
    </w:p>
    <w:tbl>
      <w:tblPr>
        <w:tblStyle w:val="TableGrid"/>
        <w:tblW w:type="auto" w:w="0"/>
        <w:jc w:val="center"/>
        <w:tblLayout w:type="fixed"/>
        <w:tblLook w:firstColumn="1" w:firstRow="1" w:lastColumn="0" w:lastRow="0" w:noHBand="0" w:noVBand="1" w:val="04A0"/>
      </w:tblPr>
      <w:tblGrid>
        <w:gridCol w:w="1701"/>
        <w:gridCol w:w="5386"/>
        <w:gridCol w:w="2551"/>
      </w:tblGrid>
      <w:tr>
        <w:trPr>
          <w:trHeight w:hRule="atLeast"/>
          <w:tblHeader w:val="true"/>
          <w:cantSplit/>
        </w:trPr>
        <w:tc>
          <w:tcPr>
            <w:tcW w:type="dxa" w:w="1440"/>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6"/>
              </w:rPr>
              <w:t>Диапазон</w:t>
            </w:r>
          </w:p>
        </w:tc>
        <w:tc>
          <w:tcPr>
            <w:tcW w:type="dxa" w:w="6192"/>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6"/>
              </w:rPr>
              <w:t>Обязательство</w:t>
            </w:r>
          </w:p>
        </w:tc>
        <w:tc>
          <w:tcPr>
            <w:tcW w:type="dxa" w:w="1728"/>
            <w:shd w:fill="173A61" w:val="clear"/>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before="0" w:after="0" w:line="252" w:lineRule="auto"/>
              <w:jc w:val="center"/>
            </w:pPr>
            <w:r/>
            <w:r>
              <w:rPr>
                <w:rFonts w:ascii="DejaVu Sans" w:hAnsi="DejaVu Sans" w:eastAsia="DejaVu Sans"/>
                <w:b/>
                <w:i w:val="0"/>
                <w:color w:val="FFFFFF"/>
                <w:sz w:val="16"/>
              </w:rPr>
              <w:t>Статус v0.7</w:t>
            </w:r>
          </w:p>
        </w:tc>
      </w:tr>
      <w:tr>
        <w:trPr>
          <w:cantSplit/>
          <w:trHeight w:hRule="atLeast"/>
        </w:trPr>
        <w:tc>
          <w:tcPr>
            <w:tcW w:type="dxa" w:w="1440"/>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6"/>
              </w:rPr>
              <w:t>001-003</w:t>
            </w:r>
          </w:p>
        </w:tc>
        <w:tc>
          <w:tcPr>
            <w:tcW w:type="dxa" w:w="619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Импорт, source manifest, notation collision ledger</w:t>
            </w:r>
          </w:p>
        </w:tc>
        <w:tc>
          <w:tcPr>
            <w:tcW w:type="dxa" w:w="172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AUDIT · active</w:t>
            </w:r>
          </w:p>
        </w:tc>
      </w:tr>
      <w:tr>
        <w:trPr>
          <w:cantSplit/>
          <w:trHeight w:hRule="atLeast"/>
        </w:trPr>
        <w:tc>
          <w:tcPr>
            <w:tcW w:type="dxa" w:w="1440"/>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6"/>
              </w:rPr>
              <w:t>004-007</w:t>
            </w:r>
          </w:p>
        </w:tc>
        <w:tc>
          <w:tcPr>
            <w:tcW w:type="dxa" w:w="619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C@C_h, AnthPar_Ω, Human_R, Dom/Cod операторов</w:t>
            </w:r>
          </w:p>
        </w:tc>
        <w:tc>
          <w:tcPr>
            <w:tcW w:type="dxa" w:w="1728"/>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CLOSED formal</w:t>
            </w:r>
          </w:p>
        </w:tc>
      </w:tr>
      <w:tr>
        <w:trPr>
          <w:cantSplit/>
          <w:trHeight w:hRule="atLeast"/>
        </w:trPr>
        <w:tc>
          <w:tcPr>
            <w:tcW w:type="dxa" w:w="1440"/>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6"/>
              </w:rPr>
              <w:t>008-011</w:t>
            </w:r>
          </w:p>
        </w:tc>
        <w:tc>
          <w:tcPr>
            <w:tcW w:type="dxa" w:w="619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Инварианты, память, witness, реконструкция</w:t>
            </w:r>
          </w:p>
        </w:tc>
        <w:tc>
          <w:tcPr>
            <w:tcW w:type="dxa" w:w="172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6"/>
              </w:rPr>
              <w:t>008-009 closed formal; 010-011 partial</w:t>
            </w:r>
          </w:p>
        </w:tc>
      </w:tr>
      <w:tr>
        <w:trPr>
          <w:cantSplit/>
          <w:trHeight w:hRule="atLeast"/>
        </w:trPr>
        <w:tc>
          <w:tcPr>
            <w:tcW w:type="dxa" w:w="1440"/>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6"/>
              </w:rPr>
              <w:t>012-015</w:t>
            </w:r>
          </w:p>
        </w:tc>
        <w:tc>
          <w:tcPr>
            <w:tcW w:type="dxa" w:w="619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Исторические режимы D, foreign-D, misreading</w:t>
            </w:r>
          </w:p>
        </w:tc>
        <w:tc>
          <w:tcPr>
            <w:tcW w:type="dxa" w:w="1728"/>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40" w:lineRule="auto"/>
              <w:jc w:val="left"/>
            </w:pPr>
            <w:r>
              <w:rPr>
                <w:rFonts w:ascii="DejaVu Serif" w:hAnsi="DejaVu Serif" w:eastAsia="DejaVu Serif"/>
                <w:b w:val="0"/>
                <w:i w:val="0"/>
                <w:color w:val="1A2433"/>
                <w:sz w:val="16"/>
              </w:rPr>
              <w:t>CLOSED formal; historical applications remain domain-specific</w:t>
            </w:r>
          </w:p>
        </w:tc>
      </w:tr>
      <w:tr>
        <w:trPr>
          <w:cantSplit/>
          <w:trHeight w:hRule="atLeast"/>
        </w:trPr>
        <w:tc>
          <w:tcPr>
            <w:tcW w:type="dxa" w:w="1440"/>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6"/>
              </w:rPr>
              <w:t>016-019</w:t>
            </w:r>
          </w:p>
        </w:tc>
        <w:tc>
          <w:tcPr>
            <w:tcW w:type="dxa" w:w="619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AnthroCGI, метрика разрыва, несводимость к диагностике</w:t>
            </w:r>
          </w:p>
        </w:tc>
        <w:tc>
          <w:tcPr>
            <w:tcW w:type="dxa" w:w="172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40" w:lineRule="auto"/>
              <w:jc w:val="left"/>
            </w:pPr>
            <w:r>
              <w:rPr>
                <w:rFonts w:ascii="DejaVu Serif" w:hAnsi="DejaVu Serif" w:eastAsia="DejaVu Serif"/>
                <w:b w:val="0"/>
                <w:i w:val="0"/>
                <w:color w:val="1A2433"/>
                <w:sz w:val="16"/>
              </w:rPr>
              <w:t>CLOSED formal vector/no-scalar theorem; empirical/clinical channels OPEN</w:t>
            </w:r>
          </w:p>
        </w:tc>
      </w:tr>
      <w:tr>
        <w:trPr>
          <w:cantSplit/>
          <w:trHeight w:hRule="atLeast"/>
        </w:trPr>
        <w:tc>
          <w:tcPr>
            <w:tcW w:type="dxa" w:w="1440"/>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6"/>
              </w:rPr>
              <w:t>020-023</w:t>
            </w:r>
          </w:p>
        </w:tc>
        <w:tc>
          <w:tcPr>
            <w:tcW w:type="dxa" w:w="619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Документ, архив, provenance, подлинность</w:t>
            </w:r>
          </w:p>
        </w:tc>
        <w:tc>
          <w:tcPr>
            <w:tcW w:type="dxa" w:w="1728"/>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40" w:lineRule="auto"/>
              <w:jc w:val="left"/>
            </w:pPr>
            <w:r>
              <w:rPr>
                <w:rFonts w:ascii="DejaVu Serif" w:hAnsi="DejaVu Serif" w:eastAsia="DejaVu Serif"/>
                <w:b w:val="0"/>
                <w:i w:val="0"/>
                <w:color w:val="1A2433"/>
                <w:sz w:val="16"/>
              </w:rPr>
              <w:t>CLOSED formal document/archive/provenance core; implementation PARTIAL</w:t>
            </w:r>
          </w:p>
        </w:tc>
      </w:tr>
      <w:tr>
        <w:trPr>
          <w:cantSplit/>
          <w:trHeight w:hRule="atLeast"/>
        </w:trPr>
        <w:tc>
          <w:tcPr>
            <w:tcW w:type="dxa" w:w="1440"/>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6"/>
              </w:rPr>
              <w:t>024-027</w:t>
            </w:r>
          </w:p>
        </w:tc>
        <w:tc>
          <w:tcPr>
            <w:tcW w:type="dxa" w:w="619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6"/>
              </w:rPr>
              <w:t>Human_R→KLT-RBD/RPD, privacy/ethics gate, ABSTAIN</w:t>
            </w:r>
          </w:p>
        </w:tc>
        <w:tc>
          <w:tcPr>
            <w:tcW w:type="dxa" w:w="172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before="0" w:after="0" w:line="252" w:lineRule="auto"/>
              <w:jc w:val="left"/>
            </w:pPr>
            <w:r/>
            <w:r>
              <w:rPr>
                <w:rFonts w:ascii="DejaVu Serif" w:hAnsi="DejaVu Serif" w:eastAsia="DejaVu Serif"/>
                <w:b w:val="0"/>
                <w:i w:val="0"/>
                <w:color w:val="1A2433"/>
                <w:sz w:val="14"/>
              </w:rPr>
              <w:t>PARTIAL-CLOSED · machine memory formal core and privacy model; software/independent audit OPEN</w:t>
            </w:r>
          </w:p>
        </w:tc>
      </w:tr>
      <w:tr>
        <w:trPr>
          <w:cantSplit/>
          <w:trHeight w:hRule="atLeast"/>
        </w:trPr>
        <w:tc>
          <w:tcPr>
            <w:tcW w:type="dxa" w:w="1440"/>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6"/>
              </w:rPr>
              <w:t>028-030</w:t>
            </w:r>
          </w:p>
        </w:tc>
        <w:tc>
          <w:tcPr>
            <w:tcW w:type="dxa" w:w="619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6"/>
              </w:rPr>
              <w:t>Фальсифицируемость, prior-art, publication/legal gate</w:t>
            </w:r>
          </w:p>
        </w:tc>
        <w:tc>
          <w:tcPr>
            <w:tcW w:type="dxa" w:w="1728"/>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before="0" w:after="0" w:line="252" w:lineRule="auto"/>
              <w:jc w:val="left"/>
            </w:pPr>
            <w:r/>
            <w:r>
              <w:rPr>
                <w:rFonts w:ascii="DejaVu Serif" w:hAnsi="DejaVu Serif" w:eastAsia="DejaVu Serif"/>
                <w:b w:val="0"/>
                <w:i w:val="0"/>
                <w:color w:val="1A2433"/>
                <w:sz w:val="14"/>
              </w:rPr>
              <w:t>PARTIAL · domain adapters and status theorem closed; publication gate remains chapter 24</w:t>
            </w:r>
          </w:p>
        </w:tc>
      </w:tr>
      <w:tr>
        <w:trPr>
          <w:trHeight w:hRule="atLeast"/>
        </w:trPr>
        <w:tc>
          <w:tcPr>
            <w:tcW w:type="dxa" w:w="180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KERN-001-014</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Two permanent KLT kernels, Hilbert reduction, Noether bridge and physical-model obligations.</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001-011 CLOSED formal; 012-014 OPEN/PARTIAL</w:t>
            </w:r>
          </w:p>
        </w:tc>
      </w:tr>
      <w:tr>
        <w:trPr>
          <w:trHeight w:hRule="atLeast"/>
        </w:trPr>
        <w:tc>
          <w:tcPr>
            <w:tcW w:type="dxa" w:w="180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MEM-001-012</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Machine memory, privacy, domain adapters, software and independent audit.</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001-007 CLOSED formal/model; 008-012 PARTIAL/OPEN</w:t>
            </w:r>
          </w:p>
        </w:tc>
      </w:tr>
    </w:tbl>
    <w:p>
      <w:pPr>
        <w:widowControl/>
        <w:spacing w:after="20"/>
      </w:pPr>
    </w:p>
    <w:p>
      <w:pPr>
        <w:pStyle w:val="Heading2"/>
        <w:keepNext/>
        <w:widowControl/>
      </w:pPr>
      <w:r>
        <w:rPr>
          <w:rFonts w:ascii="DejaVu Sans" w:hAnsi="DejaVu Sans" w:eastAsia="DejaVu Sans"/>
          <w:i w:val="0"/>
          <w:color w:val="1A2433"/>
          <w:sz w:val="21"/>
        </w:rPr>
        <w:t>B.1. Реестр T4-ACT-PO-001-T4-ACT-PO-012</w:t>
      </w:r>
    </w:p>
    <w:tbl>
      <w:tblPr>
        <w:tblW w:type="auto" w:w="0"/>
        <w:jc w:val="center"/>
        <w:tblLayout w:type="fixed"/>
        <w:tblLook w:firstColumn="1" w:firstRow="1" w:lastColumn="0" w:lastRow="0" w:noHBand="0" w:noVBand="1" w:val="04A0"/>
      </w:tblPr>
      <w:tblGrid>
        <w:gridCol w:w="3288"/>
        <w:gridCol w:w="3288"/>
        <w:gridCol w:w="3288"/>
      </w:tblGrid>
      <w:tr>
        <w:trPr>
          <w:cantSplit/>
          <w:trHeight w:hRule="atLeast"/>
          <w:tblHeader w:val="true"/>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5"/>
              </w:rPr>
              <w:t>ID</w:t>
            </w:r>
          </w:p>
        </w:tc>
        <w:tc>
          <w:tcPr>
            <w:tcW w:type="dxa" w:w="59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5"/>
              </w:rPr>
              <w:t>Обязательство</w:t>
            </w:r>
          </w:p>
        </w:tc>
        <w:tc>
          <w:tcPr>
            <w:tcW w:type="dxa" w:w="201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val="clear"/>
          </w:tcPr>
          <w:p>
            <w:pPr>
              <w:widowControl/>
              <w:spacing w:before="0" w:after="0" w:line="252" w:lineRule="auto"/>
              <w:jc w:val="center"/>
            </w:pPr>
            <w:r/>
            <w:r>
              <w:rPr>
                <w:rFonts w:ascii="DejaVu Sans" w:hAnsi="DejaVu Sans" w:eastAsia="DejaVu Sans"/>
                <w:b/>
                <w:i w:val="0"/>
                <w:color w:val="FFFFFF"/>
                <w:sz w:val="16"/>
              </w:rPr>
              <w:t>Статус v0.7</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center"/>
            </w:pPr>
            <w:r>
              <w:rPr>
                <w:rFonts w:ascii="DejaVu Serif" w:hAnsi="DejaVu Serif" w:eastAsia="DejaVu Serif"/>
                <w:b w:val="0"/>
                <w:color w:val="1A2433"/>
                <w:sz w:val="15"/>
              </w:rPr>
              <w:t>ACT-001</w:t>
            </w:r>
          </w:p>
        </w:tc>
        <w:tc>
          <w:tcPr>
            <w:tcW w:type="dxa" w:w="59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Определить телесную рамку и область действия.</w:t>
            </w:r>
          </w:p>
        </w:tc>
        <w:tc>
          <w:tcPr>
            <w:tcW w:type="dxa" w:w="201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CLOSED · DEF</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center"/>
            </w:pPr>
            <w:r>
              <w:rPr>
                <w:rFonts w:ascii="DejaVu Serif" w:hAnsi="DejaVu Serif" w:eastAsia="DejaVu Serif"/>
                <w:b w:val="0"/>
                <w:color w:val="1A2433"/>
                <w:sz w:val="15"/>
              </w:rPr>
              <w:t>ACT-002</w:t>
            </w:r>
          </w:p>
        </w:tc>
        <w:tc>
          <w:tcPr>
            <w:tcW w:type="dxa" w:w="59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Различить оценку, выбор и начало.</w:t>
            </w:r>
          </w:p>
        </w:tc>
        <w:tc>
          <w:tcPr>
            <w:tcW w:type="dxa" w:w="201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CLOSED · TYPE DEF</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center"/>
            </w:pPr>
            <w:r>
              <w:rPr>
                <w:rFonts w:ascii="DejaVu Serif" w:hAnsi="DejaVu Serif" w:eastAsia="DejaVu Serif"/>
                <w:b w:val="0"/>
                <w:color w:val="1A2433"/>
                <w:sz w:val="15"/>
              </w:rPr>
              <w:t>ACT-003</w:t>
            </w:r>
          </w:p>
        </w:tc>
        <w:tc>
          <w:tcPr>
            <w:tcW w:type="dxa" w:w="59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Определить проектное завершение и p∞_Δ.</w:t>
            </w:r>
          </w:p>
        </w:tc>
        <w:tc>
          <w:tcPr>
            <w:tcW w:type="dxa" w:w="201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CLOSED · DEF/MODEL</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center"/>
            </w:pPr>
            <w:r>
              <w:rPr>
                <w:rFonts w:ascii="DejaVu Serif" w:hAnsi="DejaVu Serif" w:eastAsia="DejaVu Serif"/>
                <w:b w:val="0"/>
                <w:color w:val="1A2433"/>
                <w:sz w:val="15"/>
              </w:rPr>
              <w:t>ACT-004</w:t>
            </w:r>
          </w:p>
        </w:tc>
        <w:tc>
          <w:tcPr>
            <w:tcW w:type="dxa" w:w="59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Определить сильную/слабую свободу начинания.</w:t>
            </w:r>
          </w:p>
        </w:tc>
        <w:tc>
          <w:tcPr>
            <w:tcW w:type="dxa" w:w="201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CLOSED · MODEL DEF</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center"/>
            </w:pPr>
            <w:r>
              <w:rPr>
                <w:rFonts w:ascii="DejaVu Serif" w:hAnsi="DejaVu Serif" w:eastAsia="DejaVu Serif"/>
                <w:b w:val="0"/>
                <w:color w:val="1A2433"/>
                <w:sz w:val="15"/>
              </w:rPr>
              <w:t>ACT-005</w:t>
            </w:r>
          </w:p>
        </w:tc>
        <w:tc>
          <w:tcPr>
            <w:tcW w:type="dxa" w:w="59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Доказать совместимость action-root с causality DAG.</w:t>
            </w:r>
          </w:p>
        </w:tc>
        <w:tc>
          <w:tcPr>
            <w:tcW w:type="dxa" w:w="201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CLOSED · THM-FORMAL</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center"/>
            </w:pPr>
            <w:r>
              <w:rPr>
                <w:rFonts w:ascii="DejaVu Serif" w:hAnsi="DejaVu Serif" w:eastAsia="DejaVu Serif"/>
                <w:b w:val="0"/>
                <w:color w:val="1A2433"/>
                <w:sz w:val="15"/>
              </w:rPr>
              <w:t>ACT-006</w:t>
            </w:r>
          </w:p>
        </w:tc>
        <w:tc>
          <w:tcPr>
            <w:tcW w:type="dxa" w:w="59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Зафиксировать границу человеческой исключительности.</w:t>
            </w:r>
          </w:p>
        </w:tc>
        <w:tc>
          <w:tcPr>
            <w:tcW w:type="dxa" w:w="201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CLOSED · PHIL-HYP boundary</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center"/>
            </w:pPr>
            <w:r>
              <w:rPr>
                <w:rFonts w:ascii="DejaVu Serif" w:hAnsi="DejaVu Serif" w:eastAsia="DejaVu Serif"/>
                <w:b w:val="0"/>
                <w:color w:val="1A2433"/>
                <w:sz w:val="15"/>
              </w:rPr>
              <w:t>ACT-007</w:t>
            </w:r>
          </w:p>
        </w:tc>
        <w:tc>
          <w:tcPr>
            <w:tcW w:type="dxa" w:w="59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Доказать условное затухание следа.</w:t>
            </w:r>
          </w:p>
        </w:tc>
        <w:tc>
          <w:tcPr>
            <w:tcW w:type="dxa" w:w="201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CLOSED · THM-COND</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center"/>
            </w:pPr>
            <w:r>
              <w:rPr>
                <w:rFonts w:ascii="DejaVu Serif" w:hAnsi="DejaVu Serif" w:eastAsia="DejaVu Serif"/>
                <w:b w:val="0"/>
                <w:color w:val="1A2433"/>
                <w:sz w:val="15"/>
              </w:rPr>
              <w:t>ACT-008</w:t>
            </w:r>
          </w:p>
        </w:tc>
        <w:tc>
          <w:tcPr>
            <w:tcW w:type="dxa" w:w="59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Определить поддерживаемую причинную цепь и LagGap.</w:t>
            </w:r>
          </w:p>
        </w:tc>
        <w:tc>
          <w:tcPr>
            <w:tcW w:type="dxa" w:w="201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CLOSED · DEF/PROP</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center"/>
            </w:pPr>
            <w:r>
              <w:rPr>
                <w:rFonts w:ascii="DejaVu Serif" w:hAnsi="DejaVu Serif" w:eastAsia="DejaVu Serif"/>
                <w:b w:val="0"/>
                <w:color w:val="1A2433"/>
                <w:sz w:val="15"/>
              </w:rPr>
              <w:t>ACT-009</w:t>
            </w:r>
          </w:p>
        </w:tc>
        <w:tc>
          <w:tcPr>
            <w:tcW w:type="dxa" w:w="59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Формализовать управляемый обход/лавирование.</w:t>
            </w:r>
          </w:p>
        </w:tc>
        <w:tc>
          <w:tcPr>
            <w:tcW w:type="dxa" w:w="201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PARTIAL · CONTROL COND</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center"/>
            </w:pPr>
            <w:r>
              <w:rPr>
                <w:rFonts w:ascii="DejaVu Serif" w:hAnsi="DejaVu Serif" w:eastAsia="DejaVu Serif"/>
                <w:b w:val="0"/>
                <w:color w:val="1A2433"/>
                <w:sz w:val="15"/>
              </w:rPr>
              <w:t>ACT-010</w:t>
            </w:r>
          </w:p>
        </w:tc>
        <w:tc>
          <w:tcPr>
            <w:tcW w:type="dxa" w:w="59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Формализовать A6_Arnold и KLT-расширения без смешения статусов.</w:t>
            </w:r>
          </w:p>
        </w:tc>
        <w:tc>
          <w:tcPr>
            <w:tcW w:type="dxa" w:w="201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CLOSED · SOURCE/MODEL</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center"/>
            </w:pPr>
            <w:r>
              <w:rPr>
                <w:rFonts w:ascii="DejaVu Serif" w:hAnsi="DejaVu Serif" w:eastAsia="DejaVu Serif"/>
                <w:b w:val="0"/>
                <w:color w:val="1A2433"/>
                <w:sz w:val="15"/>
              </w:rPr>
              <w:t>ACT-011</w:t>
            </w:r>
          </w:p>
        </w:tc>
        <w:tc>
          <w:tcPr>
            <w:tcW w:type="dxa" w:w="59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Определить ретро-Reper и D_resp.</w:t>
            </w:r>
          </w:p>
        </w:tc>
        <w:tc>
          <w:tcPr>
            <w:tcW w:type="dxa" w:w="201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CLOSED/PARTIAL</w:t>
            </w:r>
          </w:p>
        </w:tc>
      </w:tr>
      <w:tr>
        <w:trPr>
          <w:cantSplit/>
          <w:trHeight w:hRule="atLeast"/>
        </w:trPr>
        <w:tc>
          <w:tcPr>
            <w:tcW w:type="dxa" w:w="12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center"/>
            </w:pPr>
            <w:r>
              <w:rPr>
                <w:rFonts w:ascii="DejaVu Serif" w:hAnsi="DejaVu Serif" w:eastAsia="DejaVu Serif"/>
                <w:b w:val="0"/>
                <w:color w:val="1A2433"/>
                <w:sz w:val="15"/>
              </w:rPr>
              <w:t>ACT-012</w:t>
            </w:r>
          </w:p>
        </w:tc>
        <w:tc>
          <w:tcPr>
            <w:tcW w:type="dxa" w:w="59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Сверить первичный скан страниц 98-102 книги Арнольда.</w:t>
            </w:r>
          </w:p>
        </w:tc>
        <w:tc>
          <w:tcPr>
            <w:tcW w:type="dxa" w:w="201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PARTIAL · POINTER LOCATED; SCAN PENDING</w:t>
            </w:r>
          </w:p>
        </w:tc>
      </w:tr>
    </w:tbl>
    <w:p>
      <w:bookmarkStart w:id="114" w:name="appC"/>
      <w:pPr>
        <w:pStyle w:val="Heading1"/>
        <w:keepNext/>
        <w:pageBreakBefore w:val="0"/>
        <w:widowControl/>
        <w:spacing w:before="200" w:after="100"/>
      </w:pPr>
      <w:r>
        <w:rPr>
          <w:rFonts w:ascii="DejaVu Sans" w:hAnsi="DejaVu Sans" w:eastAsia="DejaVu Sans"/>
          <w:b/>
          <w:color w:val="173A61"/>
          <w:sz w:val="35"/>
        </w:rPr>
        <w:t>Приложение C. Реестр контрмоделей</w:t>
      </w:r>
      <w:bookmarkEnd w:id="114"/>
    </w:p>
    <w:tbl>
      <w:tblPr>
        <w:tblStyle w:val="TableGrid"/>
        <w:tblW w:type="auto" w:w="0"/>
        <w:jc w:val="center"/>
        <w:tblLayout w:type="fixed"/>
        <w:tblLook w:firstColumn="1" w:firstRow="1" w:lastColumn="0" w:lastRow="0" w:noHBand="0" w:noVBand="1" w:val="04A0"/>
      </w:tblPr>
      <w:tblGrid>
        <w:gridCol w:w="1417"/>
        <w:gridCol w:w="2891"/>
        <w:gridCol w:w="5329"/>
      </w:tblGrid>
      <w:tr>
        <w:trPr>
          <w:trHeight w:hRule="atLeast"/>
          <w:tblHeader w:val="true"/>
          <w:cantSplit/>
        </w:trPr>
        <w:tc>
          <w:tcPr>
            <w:tcW w:type="dxa" w:w="1224"/>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5"/>
              </w:rPr>
              <w:t>ID</w:t>
            </w:r>
          </w:p>
        </w:tc>
        <w:tc>
          <w:tcPr>
            <w:tcW w:type="dxa" w:w="3384"/>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5"/>
              </w:rPr>
              <w:t>Название</w:t>
            </w:r>
          </w:p>
        </w:tc>
        <w:tc>
          <w:tcPr>
            <w:tcW w:type="dxa" w:w="4608"/>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5"/>
              </w:rPr>
              <w:t>Что опровергает</w:t>
            </w:r>
          </w:p>
        </w:tc>
      </w:tr>
      <w:tr>
        <w:trPr>
          <w:cantSplit/>
          <w:trHeight w:hRule="atLeast"/>
        </w:trPr>
        <w:tc>
          <w:tcPr>
            <w:tcW w:type="dxa" w:w="122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CM-001</w:t>
            </w:r>
          </w:p>
        </w:tc>
        <w:tc>
          <w:tcPr>
            <w:tcW w:type="dxa" w:w="338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event-only collapse</w:t>
            </w:r>
          </w:p>
        </w:tc>
        <w:tc>
          <w:tcPr>
            <w:tcW w:type="dxa" w:w="460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π_E не инъективна</w:t>
            </w:r>
          </w:p>
        </w:tc>
      </w:tr>
      <w:tr>
        <w:trPr>
          <w:cantSplit/>
          <w:trHeight w:hRule="atLeast"/>
        </w:trPr>
        <w:tc>
          <w:tcPr>
            <w:tcW w:type="dxa" w:w="1224"/>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CM-002</w:t>
            </w:r>
          </w:p>
        </w:tc>
        <w:tc>
          <w:tcPr>
            <w:tcW w:type="dxa" w:w="3384"/>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witness conflict</w:t>
            </w:r>
          </w:p>
        </w:tc>
        <w:tc>
          <w:tcPr>
            <w:tcW w:type="dxa" w:w="4608"/>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нет канонического выбора без D-rule</w:t>
            </w:r>
          </w:p>
        </w:tc>
      </w:tr>
      <w:tr>
        <w:trPr>
          <w:cantSplit/>
          <w:trHeight w:hRule="atLeast"/>
        </w:trPr>
        <w:tc>
          <w:tcPr>
            <w:tcW w:type="dxa" w:w="122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CM-003</w:t>
            </w:r>
          </w:p>
        </w:tc>
        <w:tc>
          <w:tcPr>
            <w:tcW w:type="dxa" w:w="338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horizon collapse</w:t>
            </w:r>
          </w:p>
        </w:tc>
        <w:tc>
          <w:tcPr>
            <w:tcW w:type="dxa" w:w="460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одинаковая траектория не определяет доступные альтернативы</w:t>
            </w:r>
          </w:p>
        </w:tc>
      </w:tr>
      <w:tr>
        <w:trPr>
          <w:cantSplit/>
          <w:trHeight w:hRule="atLeast"/>
        </w:trPr>
        <w:tc>
          <w:tcPr>
            <w:tcW w:type="dxa" w:w="1224"/>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CM-004</w:t>
            </w:r>
          </w:p>
        </w:tc>
        <w:tc>
          <w:tcPr>
            <w:tcW w:type="dxa" w:w="3384"/>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provenance missing</w:t>
            </w:r>
          </w:p>
        </w:tc>
        <w:tc>
          <w:tcPr>
            <w:tcW w:type="dxa" w:w="4608"/>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наличие файла не устанавливает источник и статус</w:t>
            </w:r>
          </w:p>
        </w:tc>
      </w:tr>
      <w:tr>
        <w:trPr>
          <w:cantSplit/>
          <w:trHeight w:hRule="atLeast"/>
        </w:trPr>
        <w:tc>
          <w:tcPr>
            <w:tcW w:type="dxa" w:w="122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CM-005</w:t>
            </w:r>
          </w:p>
        </w:tc>
        <w:tc>
          <w:tcPr>
            <w:tcW w:type="dxa" w:w="338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D-dependence of λ</w:t>
            </w:r>
          </w:p>
        </w:tc>
        <w:tc>
          <w:tcPr>
            <w:tcW w:type="dxa" w:w="460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d=4/3 и d=3 дают -1 и 4 при одинаковых r,i,u</w:t>
            </w:r>
          </w:p>
        </w:tc>
      </w:tr>
      <w:tr>
        <w:trPr>
          <w:cantSplit/>
          <w:trHeight w:hRule="atLeast"/>
        </w:trPr>
        <w:tc>
          <w:tcPr>
            <w:tcW w:type="dxa" w:w="1224"/>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CM-006</w:t>
            </w:r>
          </w:p>
        </w:tc>
        <w:tc>
          <w:tcPr>
            <w:tcW w:type="dxa" w:w="3384"/>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operator type collapse</w:t>
            </w:r>
          </w:p>
        </w:tc>
        <w:tc>
          <w:tcPr>
            <w:tcW w:type="dxa" w:w="4608"/>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Δ,Ξ,Υ имеют разные Cod</w:t>
            </w:r>
          </w:p>
        </w:tc>
      </w:tr>
      <w:tr>
        <w:trPr>
          <w:cantSplit/>
          <w:trHeight w:hRule="atLeast"/>
        </w:trPr>
        <w:tc>
          <w:tcPr>
            <w:tcW w:type="dxa" w:w="122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CM-007</w:t>
            </w:r>
          </w:p>
        </w:tc>
        <w:tc>
          <w:tcPr>
            <w:tcW w:type="dxa" w:w="338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missing projective encoding</w:t>
            </w:r>
          </w:p>
        </w:tc>
        <w:tc>
          <w:tcPr>
            <w:tcW w:type="dxa" w:w="460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λ_h=⊥</w:t>
            </w:r>
          </w:p>
        </w:tc>
      </w:tr>
      <w:tr>
        <w:trPr>
          <w:cantSplit/>
          <w:trHeight w:hRule="atLeast"/>
        </w:trPr>
        <w:tc>
          <w:tcPr>
            <w:tcW w:type="dxa" w:w="1224"/>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CM-008</w:t>
            </w:r>
          </w:p>
        </w:tc>
        <w:tc>
          <w:tcPr>
            <w:tcW w:type="dxa" w:w="3384"/>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status max promotion</w:t>
            </w:r>
          </w:p>
        </w:tc>
        <w:tc>
          <w:tcPr>
            <w:tcW w:type="dxa" w:w="4608"/>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formal THM не превращает empirical NONE в OBS</w:t>
            </w:r>
          </w:p>
        </w:tc>
      </w:tr>
      <w:tr>
        <w:trPr>
          <w:cantSplit/>
          <w:trHeight w:hRule="atLeast"/>
        </w:trPr>
        <w:tc>
          <w:tcPr>
            <w:tcW w:type="dxa" w:w="122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CM-009</w:t>
            </w:r>
          </w:p>
        </w:tc>
        <w:tc>
          <w:tcPr>
            <w:tcW w:type="dxa" w:w="3384"/>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past rewrite</w:t>
            </w:r>
          </w:p>
        </w:tc>
        <w:tc>
          <w:tcPr>
            <w:tcW w:type="dxa" w:w="460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неизменный event допускает изменённый Reper по новым источникам</w:t>
            </w:r>
          </w:p>
        </w:tc>
      </w:tr>
      <w:tr>
        <w:trPr>
          <w:cantSplit/>
          <w:trHeight w:hRule="atLeast"/>
        </w:trPr>
        <w:tc>
          <w:tcPr>
            <w:tcW w:type="dxa" w:w="122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CM-010</w:t>
            </w:r>
          </w:p>
        </w:tc>
        <w:tc>
          <w:tcPr>
            <w:tcW w:type="dxa" w:w="33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evaluation without action access</w:t>
            </w:r>
          </w:p>
        </w:tc>
        <w:tc>
          <w:tcPr>
            <w:tcW w:type="dxa" w:w="460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Eval/Sel не обеспечивают Dom(Δ)</w:t>
            </w:r>
          </w:p>
        </w:tc>
      </w:tr>
      <w:tr>
        <w:trPr>
          <w:cantSplit/>
          <w:trHeight w:hRule="atLeast"/>
        </w:trPr>
        <w:tc>
          <w:tcPr>
            <w:tcW w:type="dxa" w:w="122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CM-011</w:t>
            </w:r>
          </w:p>
        </w:tc>
        <w:tc>
          <w:tcPr>
            <w:tcW w:type="dxa" w:w="33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technology without maintenance</w:t>
            </w:r>
          </w:p>
        </w:tc>
        <w:tc>
          <w:tcPr>
            <w:tcW w:type="dxa" w:w="460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расширение доступа не гарантирует сохранение цепи</w:t>
            </w:r>
          </w:p>
        </w:tc>
      </w:tr>
      <w:tr>
        <w:trPr>
          <w:cantSplit/>
          <w:trHeight w:hRule="atLeast"/>
        </w:trPr>
        <w:tc>
          <w:tcPr>
            <w:tcW w:type="dxa" w:w="122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CM-012</w:t>
            </w:r>
          </w:p>
        </w:tc>
        <w:tc>
          <w:tcPr>
            <w:tcW w:type="dxa" w:w="33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zero reversal γ=0</w:t>
            </w:r>
          </w:p>
        </w:tc>
        <w:tc>
          <w:tcPr>
            <w:tcW w:type="dxa" w:w="460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универсальное затухание ложно</w:t>
            </w:r>
          </w:p>
        </w:tc>
      </w:tr>
      <w:tr>
        <w:trPr>
          <w:cantSplit/>
          <w:trHeight w:hRule="atLeast"/>
        </w:trPr>
        <w:tc>
          <w:tcPr>
            <w:tcW w:type="dxa" w:w="122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CM-013</w:t>
            </w:r>
          </w:p>
        </w:tc>
        <w:tc>
          <w:tcPr>
            <w:tcW w:type="dxa" w:w="33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AK5 asymmetry</w:t>
            </w:r>
          </w:p>
        </w:tc>
        <w:tc>
          <w:tcPr>
            <w:tcW w:type="dxa" w:w="460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равенство амплитуд не следует из AK1-AK4</w:t>
            </w:r>
          </w:p>
        </w:tc>
      </w:tr>
      <w:tr>
        <w:trPr>
          <w:cantSplit/>
          <w:trHeight w:hRule="atLeast"/>
        </w:trPr>
        <w:tc>
          <w:tcPr>
            <w:tcW w:type="dxa" w:w="122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CM-014</w:t>
            </w:r>
          </w:p>
        </w:tc>
        <w:tc>
          <w:tcPr>
            <w:tcW w:type="dxa" w:w="33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late logistics</w:t>
            </w:r>
          </w:p>
        </w:tc>
        <w:tc>
          <w:tcPr>
            <w:tcW w:type="dxa" w:w="460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сохранность узлов не гарантирует цепь</w:t>
            </w:r>
          </w:p>
        </w:tc>
      </w:tr>
      <w:tr>
        <w:trPr>
          <w:cantSplit/>
          <w:trHeight w:hRule="atLeast"/>
        </w:trPr>
        <w:tc>
          <w:tcPr>
            <w:tcW w:type="dxa" w:w="122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CM-015</w:t>
            </w:r>
          </w:p>
        </w:tc>
        <w:tc>
          <w:tcPr>
            <w:tcW w:type="dxa" w:w="33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non-bracket controllability</w:t>
            </w:r>
          </w:p>
        </w:tc>
        <w:tc>
          <w:tcPr>
            <w:tcW w:type="dxa" w:w="460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лавирование требует управляемости</w:t>
            </w:r>
          </w:p>
        </w:tc>
      </w:tr>
      <w:tr>
        <w:trPr>
          <w:cantSplit/>
          <w:trHeight w:hRule="atLeast"/>
        </w:trPr>
        <w:tc>
          <w:tcPr>
            <w:tcW w:type="dxa" w:w="122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CM-016</w:t>
            </w:r>
          </w:p>
        </w:tc>
        <w:tc>
          <w:tcPr>
            <w:tcW w:type="dxa" w:w="33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action without authorship</w:t>
            </w:r>
          </w:p>
        </w:tc>
        <w:tc>
          <w:tcPr>
            <w:tcW w:type="dxa" w:w="460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последствие не устанавливает ответственность</w:t>
            </w:r>
          </w:p>
        </w:tc>
      </w:tr>
      <w:tr>
        <w:trPr>
          <w:cantSplit/>
          <w:trHeight w:hRule="atLeast"/>
        </w:trPr>
        <w:tc>
          <w:tcPr>
            <w:tcW w:type="dxa" w:w="122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CM-017</w:t>
            </w:r>
          </w:p>
        </w:tc>
        <w:tc>
          <w:tcPr>
            <w:tcW w:type="dxa" w:w="33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freedom without foreseeability</w:t>
            </w:r>
          </w:p>
        </w:tc>
        <w:tc>
          <w:tcPr>
            <w:tcW w:type="dxa" w:w="460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свобода начинания не равна полной ответственности</w:t>
            </w:r>
          </w:p>
        </w:tc>
      </w:tr>
      <w:tr>
        <w:trPr>
          <w:cantSplit/>
          <w:trHeight w:hRule="atLeast"/>
        </w:trPr>
        <w:tc>
          <w:tcPr>
            <w:tcW w:type="dxa" w:w="122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CM-018</w:t>
            </w:r>
          </w:p>
        </w:tc>
        <w:tc>
          <w:tcPr>
            <w:tcW w:type="dxa" w:w="33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incomparable value clocks</w:t>
            </w:r>
          </w:p>
        </w:tc>
        <w:tc>
          <w:tcPr>
            <w:tcW w:type="dxa" w:w="460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нет универсального scalar Good/Evil</w:t>
            </w:r>
          </w:p>
        </w:tc>
      </w:tr>
      <w:tr>
        <w:trPr>
          <w:cantSplit/>
          <w:trHeight w:hRule="atLeast"/>
        </w:trPr>
        <w:tc>
          <w:tcPr>
            <w:tcW w:type="dxa" w:w="122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CM-019</w:t>
            </w:r>
          </w:p>
        </w:tc>
        <w:tc>
          <w:tcPr>
            <w:tcW w:type="dxa" w:w="3384"/>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memory versioning</w:t>
            </w:r>
          </w:p>
        </w:tc>
        <w:tc>
          <w:tcPr>
            <w:tcW w:type="dxa" w:w="460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новая интерпретация не меняет raw event</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CM-020</w:t>
            </w:r>
          </w:p>
        </w:tc>
        <w:tc>
          <w:tcPr>
            <w:tcW w:type="dxa" w:w="289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entire-background ambiguity</w:t>
            </w:r>
          </w:p>
        </w:tc>
        <w:tc>
          <w:tcPr>
            <w:tcW w:type="dxa" w:w="532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same poles do not identify one global function</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CM-021</w:t>
            </w:r>
          </w:p>
        </w:tc>
        <w:tc>
          <w:tcPr>
            <w:tcW w:type="dxa" w:w="289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nonzero Čech obstruction</w:t>
            </w:r>
          </w:p>
        </w:tc>
        <w:tc>
          <w:tcPr>
            <w:tcW w:type="dxa" w:w="532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pairwise local plausibility does not imply global object</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CM-022</w:t>
            </w:r>
          </w:p>
        </w:tc>
        <w:tc>
          <w:tcPr>
            <w:tcW w:type="dxa" w:w="289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same language / different principal parts</w:t>
            </w:r>
          </w:p>
        </w:tc>
        <w:tc>
          <w:tcPr>
            <w:tcW w:type="dxa" w:w="532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narrative similarity does not imply common facts</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CM-023</w:t>
            </w:r>
          </w:p>
        </w:tc>
        <w:tc>
          <w:tcPr>
            <w:tcW w:type="dxa" w:w="289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singular translation term</w:t>
            </w:r>
          </w:p>
        </w:tc>
        <w:tc>
          <w:tcPr>
            <w:tcW w:type="dxa" w:w="532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translation can change the object</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CM-024</w:t>
            </w:r>
          </w:p>
        </w:tc>
        <w:tc>
          <w:tcPr>
            <w:tcW w:type="dxa" w:w="289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same PP / foreign domain</w:t>
            </w:r>
          </w:p>
        </w:tc>
        <w:tc>
          <w:tcPr>
            <w:tcW w:type="dxa" w:w="532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common local pattern does not authorize cross-domain inference</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CM-025</w:t>
            </w:r>
          </w:p>
        </w:tc>
        <w:tc>
          <w:tcPr>
            <w:tcW w:type="dxa" w:w="289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forced RPLD fold</w:t>
            </w:r>
          </w:p>
        </w:tc>
        <w:tc>
          <w:tcPr>
            <w:tcW w:type="dxa" w:w="532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conflict cannot be hidden by scalar consensus</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CM-026</w:t>
            </w:r>
          </w:p>
        </w:tc>
        <w:tc>
          <w:tcPr>
            <w:tcW w:type="dxa" w:w="289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PIT without boundary register</w:t>
            </w:r>
          </w:p>
        </w:tc>
        <w:tc>
          <w:tcPr>
            <w:tcW w:type="dxa" w:w="532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truncation becomes evidence deletion</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CM-027</w:t>
            </w:r>
          </w:p>
        </w:tc>
        <w:tc>
          <w:tcPr>
            <w:tcW w:type="dxa" w:w="2891"/>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graph named manifold without atlas</w:t>
            </w:r>
          </w:p>
        </w:tc>
        <w:tc>
          <w:tcPr>
            <w:tcW w:type="dxa" w:w="532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terminological promotion is not a geometric proof</w:t>
            </w:r>
          </w:p>
        </w:tc>
      </w:tr>
      <w:tr>
        <w:trPr>
          <w:trHeight w:hRule="atLeast"/>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CM-028</w:t>
            </w:r>
          </w:p>
        </w:tc>
        <w:tc>
          <w:tcPr>
            <w:tcW w:type="dxa" w:w="289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non-injective track</w:t>
            </w:r>
          </w:p>
        </w:tc>
        <w:tc>
          <w:tcPr>
            <w:tcW w:type="dxa" w:w="532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два разных состояния животного оставляют один тип следа; обратная детекция без D невозможна</w:t>
            </w:r>
          </w:p>
        </w:tc>
      </w:tr>
      <w:tr>
        <w:trPr>
          <w:trHeight w:hRule="atLeast"/>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CM-029</w:t>
            </w:r>
          </w:p>
        </w:tc>
        <w:tc>
          <w:tcPr>
            <w:tcW w:type="dxa" w:w="289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skew≠causal</w:t>
            </w:r>
          </w:p>
        </w:tc>
        <w:tc>
          <w:tcPr>
            <w:tcW w:type="dxa" w:w="532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K(A) кососимметрична, но не имеет физического carrier; причинное толкование запрещено</w:t>
            </w:r>
          </w:p>
        </w:tc>
      </w:tr>
      <w:tr>
        <w:trPr>
          <w:trHeight w:hRule="atLeast"/>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CM-030</w:t>
            </w:r>
          </w:p>
        </w:tc>
        <w:tc>
          <w:tcPr>
            <w:tcW w:type="dxa" w:w="289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algebraic support without meaning</w:t>
            </w:r>
          </w:p>
        </w:tc>
        <w:tc>
          <w:tcPr>
            <w:tcW w:type="dxa" w:w="532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A=UV существует, но O_r не имеет source-card и предметной интерпретации</w:t>
            </w:r>
          </w:p>
        </w:tc>
      </w:tr>
      <w:tr>
        <w:trPr>
          <w:trHeight w:hRule="atLeast"/>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CM-031</w:t>
            </w:r>
          </w:p>
        </w:tc>
        <w:tc>
          <w:tcPr>
            <w:tcW w:type="dxa" w:w="289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mode coexistence</w:t>
            </w:r>
          </w:p>
        </w:tc>
        <w:tc>
          <w:tcPr>
            <w:tcW w:type="dxa" w:w="532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один исследователь применяет ритуал, статистику и формальную логику; линейная классификация даёт противоречие</w:t>
            </w:r>
          </w:p>
        </w:tc>
      </w:tr>
      <w:tr>
        <w:trPr>
          <w:trHeight w:hRule="atLeast"/>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CM-032</w:t>
            </w:r>
          </w:p>
        </w:tc>
        <w:tc>
          <w:tcPr>
            <w:tcW w:type="dxa" w:w="289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daemon reification</w:t>
            </w:r>
          </w:p>
        </w:tc>
        <w:tc>
          <w:tcPr>
            <w:tcW w:type="dxa" w:w="532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gap-node ошибочно объявлен существующей сущностью</w:t>
            </w:r>
          </w:p>
        </w:tc>
      </w:tr>
      <w:tr>
        <w:trPr>
          <w:trHeight w:hRule="atLeast"/>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CM-033</w:t>
            </w:r>
          </w:p>
        </w:tc>
        <w:tc>
          <w:tcPr>
            <w:tcW w:type="dxa" w:w="289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trace/consequence collapse</w:t>
            </w:r>
          </w:p>
        </w:tc>
        <w:tc>
          <w:tcPr>
            <w:tcW w:type="dxa" w:w="532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цепочка отпечатков принята за логическое следствие</w:t>
            </w:r>
          </w:p>
        </w:tc>
      </w:tr>
      <w:tr>
        <w:trPr>
          <w:trHeight w:hRule="atLeast"/>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CM-034</w:t>
            </w:r>
          </w:p>
        </w:tc>
        <w:tc>
          <w:tcPr>
            <w:tcW w:type="dxa" w:w="289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culture ranking</w:t>
            </w:r>
          </w:p>
        </w:tc>
        <w:tc>
          <w:tcPr>
            <w:tcW w:type="dxa" w:w="532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R−1 объявлен низшей ценностью, хотя модель задаёт только иной closure operator</w:t>
            </w:r>
          </w:p>
        </w:tc>
      </w:tr>
      <w:tr>
        <w:trPr>
          <w:trHeight w:hRule="atLeast"/>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CM-035</w:t>
            </w:r>
          </w:p>
        </w:tc>
        <w:tc>
          <w:tcPr>
            <w:tcW w:type="dxa" w:w="289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Enoch historical promotion</w:t>
            </w:r>
          </w:p>
        </w:tc>
        <w:tc>
          <w:tcPr>
            <w:tcW w:type="dxa" w:w="532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символическая точка p∞ превращена в утверждение о проверяемой биографии</w:t>
            </w:r>
          </w:p>
        </w:tc>
      </w:tr>
      <w:tr>
        <w:trPr>
          <w:trHeight w:hRule="atLeast"/>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CM-036</w:t>
            </w:r>
          </w:p>
        </w:tc>
        <w:tc>
          <w:tcPr>
            <w:tcW w:type="dxa" w:w="289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Satan covenant</w:t>
            </w:r>
          </w:p>
        </w:tc>
        <w:tc>
          <w:tcPr>
            <w:tcW w:type="dxa" w:w="532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ограничение в Книге Иова ошибочно переописано как договор не уничтожать мир</w:t>
            </w:r>
          </w:p>
        </w:tc>
      </w:tr>
      <w:tr>
        <w:trPr>
          <w:trHeight w:hRule="atLeast"/>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CM-037</w:t>
            </w:r>
          </w:p>
        </w:tc>
        <w:tc>
          <w:tcPr>
            <w:tcW w:type="dxa" w:w="289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χ without codomain</w:t>
            </w:r>
          </w:p>
        </w:tc>
        <w:tc>
          <w:tcPr>
            <w:tcW w:type="dxa" w:w="532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«выход за FOS» объявлен оператором без Beyond(FOS)</w:t>
            </w:r>
          </w:p>
        </w:tc>
      </w:tr>
      <w:tr>
        <w:trPr>
          <w:trHeight w:hRule="atLeast"/>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CM-038</w:t>
            </w:r>
          </w:p>
        </w:tc>
        <w:tc>
          <w:tcPr>
            <w:tcW w:type="dxa" w:w="289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Melichron undefined</w:t>
            </w:r>
          </w:p>
        </w:tc>
        <w:tc>
          <w:tcPr>
            <w:tcW w:type="dxa" w:w="532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термин использован как доказательный объект без дефиниции</w:t>
            </w:r>
          </w:p>
        </w:tc>
      </w:tr>
      <w:tr>
        <w:trPr>
          <w:trHeight w:hRule="atLeast"/>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CM-039</w:t>
            </w:r>
          </w:p>
        </w:tc>
        <w:tc>
          <w:tcPr>
            <w:tcW w:type="dxa" w:w="289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Confucian mixture overclaim</w:t>
            </w:r>
          </w:p>
        </w:tc>
        <w:tc>
          <w:tcPr>
            <w:tcW w:type="dxa" w:w="532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историческая гипотеза объявлена доказанной без корпуса и кодирования</w:t>
            </w:r>
          </w:p>
        </w:tc>
      </w:tr>
      <w:tr>
        <w:trPr>
          <w:trHeight w:hRule="atLeast"/>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CM-040</w:t>
            </w:r>
          </w:p>
        </w:tc>
        <w:tc>
          <w:tcPr>
            <w:tcW w:type="dxa" w:w="289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vision-as-proof</w:t>
            </w:r>
          </w:p>
        </w:tc>
        <w:tc>
          <w:tcPr>
            <w:tcW w:type="dxa" w:w="5329"/>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интенсивность интуиции заменяет proof object</w:t>
            </w:r>
          </w:p>
        </w:tc>
      </w:tr>
      <w:tr>
        <w:trPr>
          <w:trHeight w:hRule="atLeast"/>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CM-041</w:t>
            </w:r>
          </w:p>
        </w:tc>
        <w:tc>
          <w:tcPr>
            <w:tcW w:type="dxa" w:w="289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discovery/invention collapse</w:t>
            </w:r>
          </w:p>
        </w:tc>
        <w:tc>
          <w:tcPr>
            <w:tcW w:type="dxa" w:w="5329"/>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изменение среды скрыто при заявлении «чистого открытия»</w:t>
            </w:r>
          </w:p>
        </w:tc>
      </w:tr>
      <w:tr>
        <w:trPr>
          <w:trHeight w:hRule="atLeast"/>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CM-042</w:t>
            </w:r>
          </w:p>
        </w:tc>
        <w:tc>
          <w:tcPr>
            <w:tcW w:type="dxa" w:w="289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metaphysical smuggling</w:t>
            </w:r>
          </w:p>
        </w:tc>
        <w:tc>
          <w:tcPr>
            <w:tcW w:type="dxa" w:w="5329"/>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операционное существование в E выдано за окончательную онтологию</w:t>
            </w:r>
          </w:p>
        </w:tc>
      </w:tr>
      <w:tr>
        <w:trPr>
          <w:trHeight w:hRule="atLeast"/>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CM-043</w:t>
            </w:r>
          </w:p>
        </w:tc>
        <w:tc>
          <w:tcPr>
            <w:tcW w:type="dxa" w:w="289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novelty laundering</w:t>
            </w:r>
          </w:p>
        </w:tc>
        <w:tc>
          <w:tcPr>
            <w:tcW w:type="dxa" w:w="5329"/>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prior art переименован без вектора новизны</w:t>
            </w:r>
          </w:p>
        </w:tc>
      </w:tr>
      <w:tr>
        <w:trPr>
          <w:trHeight w:hRule="atLeast"/>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CM-044</w:t>
            </w:r>
          </w:p>
        </w:tc>
        <w:tc>
          <w:tcPr>
            <w:tcW w:type="dxa" w:w="289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disagreement-as-error</w:t>
            </w:r>
          </w:p>
        </w:tc>
        <w:tc>
          <w:tcPr>
            <w:tcW w:type="dxa" w:w="5329"/>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несогласие автоматически объявлено foreign-D</w:t>
            </w:r>
          </w:p>
        </w:tc>
      </w:tr>
      <w:tr>
        <w:trPr>
          <w:trHeight w:hRule="atLeast"/>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CM-045</w:t>
            </w:r>
          </w:p>
        </w:tc>
        <w:tc>
          <w:tcPr>
            <w:tcW w:type="dxa" w:w="289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contextless quotation</w:t>
            </w:r>
          </w:p>
        </w:tc>
        <w:tc>
          <w:tcPr>
            <w:tcW w:type="dxa" w:w="5329"/>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цитата использована без жанра, эпохи и Dom</w:t>
            </w:r>
          </w:p>
        </w:tc>
      </w:tr>
      <w:tr>
        <w:trPr>
          <w:trHeight w:hRule="atLeast"/>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CM-046</w:t>
            </w:r>
          </w:p>
        </w:tc>
        <w:tc>
          <w:tcPr>
            <w:tcW w:type="dxa" w:w="289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translation without residual</w:t>
            </w:r>
          </w:p>
        </w:tc>
        <w:tc>
          <w:tcPr>
            <w:tcW w:type="dxa" w:w="5329"/>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непереводимое содержание скрыто</w:t>
            </w:r>
          </w:p>
        </w:tc>
      </w:tr>
      <w:tr>
        <w:trPr>
          <w:trHeight w:hRule="atLeast"/>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CM-047</w:t>
            </w:r>
          </w:p>
        </w:tc>
        <w:tc>
          <w:tcPr>
            <w:tcW w:type="dxa" w:w="289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status laundering</w:t>
            </w:r>
          </w:p>
        </w:tc>
        <w:tc>
          <w:tcPr>
            <w:tcW w:type="dxa" w:w="5329"/>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интерпретация повышена до факта</w:t>
            </w:r>
          </w:p>
        </w:tc>
      </w:tr>
      <w:tr>
        <w:trPr>
          <w:trHeight w:hRule="atLeast"/>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CM-048</w:t>
            </w:r>
          </w:p>
        </w:tc>
        <w:tc>
          <w:tcPr>
            <w:tcW w:type="dxa" w:w="289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scalar person score</w:t>
            </w:r>
          </w:p>
        </w:tc>
        <w:tc>
          <w:tcPr>
            <w:tcW w:type="dxa" w:w="5329"/>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Γ_h свёрнут в универсальный рейтинг</w:t>
            </w:r>
          </w:p>
        </w:tc>
      </w:tr>
      <w:tr>
        <w:trPr>
          <w:trHeight w:hRule="atLeast"/>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CM-049</w:t>
            </w:r>
          </w:p>
        </w:tc>
        <w:tc>
          <w:tcPr>
            <w:tcW w:type="dxa" w:w="289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clinical promotion</w:t>
            </w:r>
          </w:p>
        </w:tc>
        <w:tc>
          <w:tcPr>
            <w:tcW w:type="dxa" w:w="5329"/>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структурный gap объявлен диагнозом</w:t>
            </w:r>
          </w:p>
        </w:tc>
      </w:tr>
      <w:tr>
        <w:trPr>
          <w:trHeight w:hRule="atLeast"/>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CM-050</w:t>
            </w:r>
          </w:p>
        </w:tc>
        <w:tc>
          <w:tcPr>
            <w:tcW w:type="dxa" w:w="289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compensation fallacy</w:t>
            </w:r>
          </w:p>
        </w:tc>
        <w:tc>
          <w:tcPr>
            <w:tcW w:type="dxa" w:w="5329"/>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документы скрывают разрыв ответственности</w:t>
            </w:r>
          </w:p>
        </w:tc>
      </w:tr>
      <w:tr>
        <w:trPr>
          <w:trHeight w:hRule="atLeast"/>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CM-051</w:t>
            </w:r>
          </w:p>
        </w:tc>
        <w:tc>
          <w:tcPr>
            <w:tcW w:type="dxa" w:w="289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repair totalization</w:t>
            </w:r>
          </w:p>
        </w:tc>
        <w:tc>
          <w:tcPr>
            <w:tcW w:type="dxa" w:w="5329"/>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локальный repair выдан за полное восстановление</w:t>
            </w:r>
          </w:p>
        </w:tc>
      </w:tr>
      <w:tr>
        <w:trPr>
          <w:trHeight w:hRule="atLeast"/>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CM-052</w:t>
            </w:r>
          </w:p>
        </w:tc>
        <w:tc>
          <w:tcPr>
            <w:tcW w:type="dxa" w:w="289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authentic means true</w:t>
            </w:r>
          </w:p>
        </w:tc>
        <w:tc>
          <w:tcPr>
            <w:tcW w:type="dxa" w:w="5329"/>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подлинность документа объявлена истинностью</w:t>
            </w:r>
          </w:p>
        </w:tc>
      </w:tr>
      <w:tr>
        <w:trPr>
          <w:trHeight w:hRule="atLeast"/>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CM-053</w:t>
            </w:r>
          </w:p>
        </w:tc>
        <w:tc>
          <w:tcPr>
            <w:tcW w:type="dxa" w:w="289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archive equals memory</w:t>
            </w:r>
          </w:p>
        </w:tc>
        <w:tc>
          <w:tcPr>
            <w:tcW w:type="dxa" w:w="5329"/>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архив отождествлён с пережитым</w:t>
            </w:r>
          </w:p>
        </w:tc>
      </w:tr>
      <w:tr>
        <w:trPr>
          <w:trHeight w:hRule="atLeast"/>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CM-054</w:t>
            </w:r>
          </w:p>
        </w:tc>
        <w:tc>
          <w:tcPr>
            <w:tcW w:type="dxa" w:w="2891"/>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hash equals meaning</w:t>
            </w:r>
          </w:p>
        </w:tc>
        <w:tc>
          <w:tcPr>
            <w:tcW w:type="dxa" w:w="5329"/>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совпадение байтов принято за смысл и применимость</w:t>
            </w:r>
          </w:p>
        </w:tc>
      </w:tr>
      <w:tr>
        <w:trPr>
          <w:trHeight w:hRule="atLeast"/>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center"/>
            </w:pPr>
            <w:r>
              <w:rPr>
                <w:rFonts w:ascii="DejaVu Serif" w:hAnsi="DejaVu Serif" w:eastAsia="DejaVu Serif"/>
                <w:b w:val="0"/>
                <w:i w:val="0"/>
                <w:color w:val="1A2433"/>
                <w:sz w:val="15"/>
              </w:rPr>
              <w:t>CM-055</w:t>
            </w:r>
          </w:p>
        </w:tc>
        <w:tc>
          <w:tcPr>
            <w:tcW w:type="dxa" w:w="2891"/>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latest version erasure</w:t>
            </w:r>
          </w:p>
        </w:tc>
        <w:tc>
          <w:tcPr>
            <w:tcW w:type="dxa" w:w="5329"/>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новая версия стирает историю и blockers</w:t>
            </w:r>
          </w:p>
        </w:tc>
      </w:tr>
      <w:tr>
        <w:trPr>
          <w:trHeight w:hRule="atLeast"/>
        </w:trPr>
        <w:tc>
          <w:tcPr>
            <w:tcW w:type="dxa" w:w="129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CM-056</w:t>
            </w:r>
          </w:p>
        </w:tc>
        <w:tc>
          <w:tcPr>
            <w:tcW w:type="dxa" w:w="288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arbitrary map outside the groupoid</w:t>
            </w:r>
          </w:p>
        </w:tc>
        <w:tc>
          <w:tcPr>
            <w:tcW w:type="dxa" w:w="56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An arbitrary set map can destroy types, dimensions and incidence; therefore «arbitrary transformations» cannot mean all maps without an admissibility contract.</w:t>
            </w:r>
          </w:p>
        </w:tc>
      </w:tr>
      <w:tr>
        <w:trPr>
          <w:trHeight w:hRule="atLeast"/>
        </w:trPr>
        <w:tc>
          <w:tcPr>
            <w:tcW w:type="dxa" w:w="129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CM-057</w:t>
            </w:r>
          </w:p>
        </w:tc>
        <w:tc>
          <w:tcPr>
            <w:tcW w:type="dxa" w:w="288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forgotten boundary term</w:t>
            </w:r>
          </w:p>
        </w:tc>
        <w:tc>
          <w:tcPr>
            <w:tcW w:type="dxa" w:w="56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 transformation changes the action by a boundary term. Declaring strict invariance without boundary hypotheses produces a false theorem.</w:t>
            </w:r>
          </w:p>
        </w:tc>
      </w:tr>
      <w:tr>
        <w:trPr>
          <w:trHeight w:hRule="atLeast"/>
        </w:trPr>
        <w:tc>
          <w:tcPr>
            <w:tcW w:type="dxa" w:w="129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CM-058</w:t>
            </w:r>
          </w:p>
        </w:tc>
        <w:tc>
          <w:tcPr>
            <w:tcW w:type="dxa" w:w="288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amplitude mismatch</w:t>
            </w:r>
          </w:p>
        </w:tc>
        <w:tc>
          <w:tcPr>
            <w:tcW w:type="dxa" w:w="56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A state sub-amplitude is selected although its event amplitude lies outside R_amp; the generated C@C is inadmissible.</w:t>
            </w:r>
          </w:p>
        </w:tc>
      </w:tr>
      <w:tr>
        <w:trPr>
          <w:trHeight w:hRule="atLeast"/>
        </w:trPr>
        <w:tc>
          <w:tcPr>
            <w:tcW w:type="dxa" w:w="129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CM-059</w:t>
            </w:r>
          </w:p>
        </w:tc>
        <w:tc>
          <w:tcPr>
            <w:tcW w:type="dxa" w:w="288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degenerate final stage</w:t>
            </w:r>
          </w:p>
        </w:tc>
        <w:tc>
          <w:tcPr>
            <w:tcW w:type="dxa" w:w="56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The reduced Hessian has a non-gauge null direction, so the final mechanical closure is not rigid.</w:t>
            </w:r>
          </w:p>
        </w:tc>
      </w:tr>
      <w:tr>
        <w:trPr>
          <w:trHeight w:hRule="atLeast"/>
        </w:trPr>
        <w:tc>
          <w:tcPr>
            <w:tcW w:type="dxa" w:w="129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CM-060</w:t>
            </w:r>
          </w:p>
        </w:tc>
        <w:tc>
          <w:tcPr>
            <w:tcW w:type="dxa" w:w="288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many inequivalent final orbits</w:t>
            </w:r>
          </w:p>
        </w:tc>
        <w:tc>
          <w:tcPr>
            <w:tcW w:type="dxa" w:w="56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Several inequivalent admissible states remain after quotienting by symmetry; uniqueness is not established.</w:t>
            </w:r>
          </w:p>
        </w:tc>
      </w:tr>
      <w:tr>
        <w:trPr>
          <w:trHeight w:hRule="atLeast"/>
        </w:trPr>
        <w:tc>
          <w:tcPr>
            <w:tcW w:type="dxa" w:w="129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CM-061</w:t>
            </w:r>
          </w:p>
        </w:tc>
        <w:tc>
          <w:tcPr>
            <w:tcW w:type="dxa" w:w="288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reverse Hilbert reconstruction</w:t>
            </w:r>
          </w:p>
        </w:tc>
        <w:tc>
          <w:tcPr>
            <w:tcW w:type="dxa" w:w="56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 generally invariant stationary 4D action contains no data from which the full hierarchy of R@R reductions can be recovered.</w:t>
            </w:r>
          </w:p>
        </w:tc>
      </w:tr>
      <w:tr>
        <w:trPr>
          <w:trHeight w:hRule="atLeast"/>
        </w:trPr>
        <w:tc>
          <w:tcPr>
            <w:tcW w:type="dxa" w:w="129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CM-062</w:t>
            </w:r>
          </w:p>
        </w:tc>
        <w:tc>
          <w:tcPr>
            <w:tcW w:type="dxa" w:w="288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world function without D/Dom</w:t>
            </w:r>
          </w:p>
        </w:tc>
        <w:tc>
          <w:tcPr>
            <w:tcW w:type="dxa" w:w="56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A formally elegant action lacks an admissible domain or sufficient foundation; KLT audit must return a blocker.</w:t>
            </w:r>
          </w:p>
        </w:tc>
      </w:tr>
      <w:tr>
        <w:trPr>
          <w:trHeight w:hRule="atLeast"/>
        </w:trPr>
        <w:tc>
          <w:tcPr>
            <w:tcW w:type="dxa" w:w="129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CM-063</w:t>
            </w:r>
          </w:p>
        </w:tc>
        <w:tc>
          <w:tcPr>
            <w:tcW w:type="dxa" w:w="288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record equals lived event</w:t>
            </w:r>
          </w:p>
        </w:tc>
        <w:tc>
          <w:tcPr>
            <w:tcW w:type="dxa" w:w="56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 database record is treated as the complete human event although the encoding is noninjective.</w:t>
            </w:r>
          </w:p>
        </w:tc>
      </w:tr>
      <w:tr>
        <w:trPr>
          <w:trHeight w:hRule="atLeast"/>
        </w:trPr>
        <w:tc>
          <w:tcPr>
            <w:tcW w:type="dxa" w:w="129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CM-064</w:t>
            </w:r>
          </w:p>
        </w:tc>
        <w:tc>
          <w:tcPr>
            <w:tcW w:type="dxa" w:w="288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hash equals truth</w:t>
            </w:r>
          </w:p>
        </w:tc>
        <w:tc>
          <w:tcPr>
            <w:tcW w:type="dxa" w:w="56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Byte identity is mistaken for truth, authorship or moral responsibility.</w:t>
            </w:r>
          </w:p>
        </w:tc>
      </w:tr>
      <w:tr>
        <w:trPr>
          <w:trHeight w:hRule="atLeast"/>
        </w:trPr>
        <w:tc>
          <w:tcPr>
            <w:tcW w:type="dxa" w:w="129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CM-065</w:t>
            </w:r>
          </w:p>
        </w:tc>
        <w:tc>
          <w:tcPr>
            <w:tcW w:type="dxa" w:w="288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machine status inflation</w:t>
            </w:r>
          </w:p>
        </w:tc>
        <w:tc>
          <w:tcPr>
            <w:tcW w:type="dxa" w:w="56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 ranking algorithm converts a MODEL claim into a THM or EMP-OBS label without a proof/evidence bridge.</w:t>
            </w:r>
          </w:p>
        </w:tc>
      </w:tr>
      <w:tr>
        <w:trPr>
          <w:trHeight w:hRule="atLeast"/>
        </w:trPr>
        <w:tc>
          <w:tcPr>
            <w:tcW w:type="dxa" w:w="129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CM-066</w:t>
            </w:r>
          </w:p>
        </w:tc>
        <w:tc>
          <w:tcPr>
            <w:tcW w:type="dxa" w:w="288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privacy-free total memory</w:t>
            </w:r>
          </w:p>
        </w:tc>
        <w:tc>
          <w:tcPr>
            <w:tcW w:type="dxa" w:w="56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The archive stores all personal data merely because storage is technically possible.</w:t>
            </w:r>
          </w:p>
        </w:tc>
      </w:tr>
      <w:tr>
        <w:trPr>
          <w:trHeight w:hRule="atLeast"/>
        </w:trPr>
        <w:tc>
          <w:tcPr>
            <w:tcW w:type="dxa" w:w="129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CM-067</w:t>
            </w:r>
          </w:p>
        </w:tc>
        <w:tc>
          <w:tcPr>
            <w:tcW w:type="dxa" w:w="288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domain collapse</w:t>
            </w:r>
          </w:p>
        </w:tc>
        <w:tc>
          <w:tcPr>
            <w:tcW w:type="dxa" w:w="56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 structural world function in law, chemistry or anthropology is presented as the same physical field without a typed adapter.</w:t>
            </w:r>
          </w:p>
        </w:tc>
      </w:tr>
      <w:tr>
        <w:trPr>
          <w:trHeight w:hRule="atLeast"/>
        </w:trPr>
        <w:tc>
          <w:tcPr>
            <w:tcW w:type="dxa" w:w="129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CM-068</w:t>
            </w:r>
          </w:p>
        </w:tc>
        <w:tc>
          <w:tcPr>
            <w:tcW w:type="dxa" w:w="288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automatic legal conclusion</w:t>
            </w:r>
          </w:p>
        </w:tc>
        <w:tc>
          <w:tcPr>
            <w:tcW w:type="dxa" w:w="56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A document graph is used to issue a legal judgment without jurisdiction, procedure, evidentiary rules or human authority.</w:t>
            </w:r>
          </w:p>
        </w:tc>
      </w:tr>
      <w:tr>
        <w:trPr>
          <w:trHeight w:hRule="atLeast"/>
        </w:trPr>
        <w:tc>
          <w:tcPr>
            <w:tcW w:type="dxa" w:w="129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CM-069</w:t>
            </w:r>
          </w:p>
        </w:tc>
        <w:tc>
          <w:tcPr>
            <w:tcW w:type="dxa" w:w="288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forecast score as event</w:t>
            </w:r>
          </w:p>
        </w:tc>
        <w:tc>
          <w:tcPr>
            <w:tcW w:type="dxa" w:w="56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 high forecast score is treated as an event that has already occurred.</w:t>
            </w:r>
          </w:p>
        </w:tc>
      </w:tr>
      <w:tr>
        <w:tc>
          <w:tcPr>
            <w:tcW w:type="dxa" w:w="1224"/>
            <w:tcMar>
              <w:top w:w="90" w:type="dxa"/>
              <w:start w:w="100" w:type="dxa"/>
              <w:bottom w:w="90" w:type="dxa"/>
              <w:end w:w="100" w:type="dxa"/>
            </w:tcMar>
            <w:vAlign w:val="center"/>
          </w:tcPr>
          <w:p>
            <w:pPr>
              <w:jc w:val="center"/>
            </w:pPr>
            <w:r>
              <w:rPr>
                <w:rFonts w:ascii="DejaVu Serif" w:hAnsi="DejaVu Serif" w:eastAsia="DejaVu Serif"/>
                <w:b w:val="0"/>
                <w:sz w:val="15"/>
              </w:rPr>
              <w:t>CM-070</w:t>
            </w:r>
          </w:p>
        </w:tc>
        <w:tc>
          <w:tcPr>
            <w:tcW w:type="dxa" w:w="2951"/>
            <w:tcMar>
              <w:top w:w="90" w:type="dxa"/>
              <w:start w:w="100" w:type="dxa"/>
              <w:bottom w:w="90" w:type="dxa"/>
              <w:end w:w="100" w:type="dxa"/>
            </w:tcMar>
            <w:vAlign w:val="center"/>
          </w:tcPr>
          <w:p>
            <w:pPr>
              <w:jc w:val="left"/>
            </w:pPr>
            <w:r>
              <w:rPr>
                <w:rFonts w:ascii="DejaVu Serif" w:hAnsi="DejaVu Serif" w:eastAsia="DejaVu Serif"/>
                <w:b w:val="0"/>
                <w:sz w:val="15"/>
              </w:rPr>
              <w:t>raw-data realism</w:t>
            </w:r>
          </w:p>
        </w:tc>
        <w:tc>
          <w:tcPr>
            <w:tcW w:type="dxa" w:w="5688"/>
            <w:tcMar>
              <w:top w:w="90" w:type="dxa"/>
              <w:start w:w="100" w:type="dxa"/>
              <w:bottom w:w="90" w:type="dxa"/>
              <w:end w:w="100" w:type="dxa"/>
            </w:tcMar>
            <w:vAlign w:val="center"/>
          </w:tcPr>
          <w:p>
            <w:pPr>
              <w:jc w:val="left"/>
            </w:pPr>
            <w:r>
              <w:rPr>
                <w:rFonts w:ascii="DejaVu Serif" w:hAnsi="DejaVu Serif" w:eastAsia="DejaVu Serif"/>
                <w:b w:val="0"/>
                <w:sz w:val="15"/>
              </w:rPr>
              <w:t>Raw data are treated as nature itself, erasing instrument, calibration and selection.</w:t>
            </w:r>
          </w:p>
        </w:tc>
      </w:tr>
      <w:tr>
        <w:tc>
          <w:tcPr>
            <w:tcW w:type="dxa" w:w="1224"/>
            <w:tcMar>
              <w:top w:w="90" w:type="dxa"/>
              <w:start w:w="100" w:type="dxa"/>
              <w:bottom w:w="90" w:type="dxa"/>
              <w:end w:w="100" w:type="dxa"/>
            </w:tcMar>
            <w:vAlign w:val="center"/>
            <w:shd w:fill="F4F6F9"/>
          </w:tcPr>
          <w:p>
            <w:pPr>
              <w:jc w:val="center"/>
            </w:pPr>
            <w:r>
              <w:rPr>
                <w:rFonts w:ascii="DejaVu Serif" w:hAnsi="DejaVu Serif" w:eastAsia="DejaVu Serif"/>
                <w:b w:val="0"/>
                <w:sz w:val="15"/>
              </w:rPr>
              <w:t>CM-071</w:t>
            </w:r>
          </w:p>
        </w:tc>
        <w:tc>
          <w:tcPr>
            <w:tcW w:type="dxa" w:w="2951"/>
            <w:tcMar>
              <w:top w:w="90" w:type="dxa"/>
              <w:start w:w="100" w:type="dxa"/>
              <w:bottom w:w="90" w:type="dxa"/>
              <w:end w:w="100" w:type="dxa"/>
            </w:tcMar>
            <w:vAlign w:val="center"/>
            <w:shd w:fill="F4F6F9"/>
          </w:tcPr>
          <w:p>
            <w:pPr>
              <w:jc w:val="left"/>
            </w:pPr>
            <w:r>
              <w:rPr>
                <w:rFonts w:ascii="DejaVu Serif" w:hAnsi="DejaVu Serif" w:eastAsia="DejaVu Serif"/>
                <w:b w:val="0"/>
                <w:sz w:val="15"/>
              </w:rPr>
              <w:t>observer erasure</w:t>
            </w:r>
          </w:p>
        </w:tc>
        <w:tc>
          <w:tcPr>
            <w:tcW w:type="dxa" w:w="5688"/>
            <w:tcMar>
              <w:top w:w="90" w:type="dxa"/>
              <w:start w:w="100" w:type="dxa"/>
              <w:bottom w:w="90" w:type="dxa"/>
              <w:end w:w="100" w:type="dxa"/>
            </w:tcMar>
            <w:vAlign w:val="center"/>
            <w:shd w:fill="F4F6F9"/>
          </w:tcPr>
          <w:p>
            <w:pPr>
              <w:jc w:val="left"/>
            </w:pPr>
            <w:r>
              <w:rPr>
                <w:rFonts w:ascii="DejaVu Serif" w:hAnsi="DejaVu Serif" w:eastAsia="DejaVu Serif"/>
                <w:b w:val="0"/>
                <w:sz w:val="15"/>
              </w:rPr>
              <w:t>A result is called objective because the observer and protocol were omitted rather than controlled.</w:t>
            </w:r>
          </w:p>
        </w:tc>
      </w:tr>
      <w:tr>
        <w:tc>
          <w:tcPr>
            <w:tcW w:type="dxa" w:w="1224"/>
            <w:tcMar>
              <w:top w:w="90" w:type="dxa"/>
              <w:start w:w="100" w:type="dxa"/>
              <w:bottom w:w="90" w:type="dxa"/>
              <w:end w:w="100" w:type="dxa"/>
            </w:tcMar>
            <w:vAlign w:val="center"/>
          </w:tcPr>
          <w:p>
            <w:pPr>
              <w:jc w:val="center"/>
            </w:pPr>
            <w:r>
              <w:rPr>
                <w:rFonts w:ascii="DejaVu Serif" w:hAnsi="DejaVu Serif" w:eastAsia="DejaVu Serif"/>
                <w:b w:val="0"/>
                <w:sz w:val="15"/>
              </w:rPr>
              <w:t>CM-072</w:t>
            </w:r>
          </w:p>
        </w:tc>
        <w:tc>
          <w:tcPr>
            <w:tcW w:type="dxa" w:w="2951"/>
            <w:tcMar>
              <w:top w:w="90" w:type="dxa"/>
              <w:start w:w="100" w:type="dxa"/>
              <w:bottom w:w="90" w:type="dxa"/>
              <w:end w:w="100" w:type="dxa"/>
            </w:tcMar>
            <w:vAlign w:val="center"/>
          </w:tcPr>
          <w:p>
            <w:pPr>
              <w:jc w:val="left"/>
            </w:pPr>
            <w:r>
              <w:rPr>
                <w:rFonts w:ascii="DejaVu Serif" w:hAnsi="DejaVu Serif" w:eastAsia="DejaVu Serif"/>
                <w:b w:val="0"/>
                <w:sz w:val="15"/>
              </w:rPr>
              <w:t>record equals world</w:t>
            </w:r>
          </w:p>
        </w:tc>
        <w:tc>
          <w:tcPr>
            <w:tcW w:type="dxa" w:w="5688"/>
            <w:tcMar>
              <w:top w:w="90" w:type="dxa"/>
              <w:start w:w="100" w:type="dxa"/>
              <w:bottom w:w="90" w:type="dxa"/>
              <w:end w:w="100" w:type="dxa"/>
            </w:tcMar>
            <w:vAlign w:val="center"/>
          </w:tcPr>
          <w:p>
            <w:pPr>
              <w:jc w:val="left"/>
            </w:pPr>
            <w:r>
              <w:rPr>
                <w:rFonts w:ascii="DejaVu Serif" w:hAnsi="DejaVu Serif" w:eastAsia="DejaVu Serif"/>
                <w:b w:val="0"/>
                <w:sz w:val="15"/>
              </w:rPr>
              <w:t>A database row is identified with the world-event it imperfectly encodes.</w:t>
            </w:r>
          </w:p>
        </w:tc>
      </w:tr>
      <w:tr>
        <w:tc>
          <w:tcPr>
            <w:tcW w:type="dxa" w:w="1224"/>
            <w:tcMar>
              <w:top w:w="90" w:type="dxa"/>
              <w:start w:w="100" w:type="dxa"/>
              <w:bottom w:w="90" w:type="dxa"/>
              <w:end w:w="100" w:type="dxa"/>
            </w:tcMar>
            <w:vAlign w:val="center"/>
            <w:shd w:fill="F4F6F9"/>
          </w:tcPr>
          <w:p>
            <w:pPr>
              <w:jc w:val="center"/>
            </w:pPr>
            <w:r>
              <w:rPr>
                <w:rFonts w:ascii="DejaVu Serif" w:hAnsi="DejaVu Serif" w:eastAsia="DejaVu Serif"/>
                <w:b w:val="0"/>
                <w:sz w:val="15"/>
              </w:rPr>
              <w:t>CM-073</w:t>
            </w:r>
          </w:p>
        </w:tc>
        <w:tc>
          <w:tcPr>
            <w:tcW w:type="dxa" w:w="2951"/>
            <w:tcMar>
              <w:top w:w="90" w:type="dxa"/>
              <w:start w:w="100" w:type="dxa"/>
              <w:bottom w:w="90" w:type="dxa"/>
              <w:end w:w="100" w:type="dxa"/>
            </w:tcMar>
            <w:vAlign w:val="center"/>
            <w:shd w:fill="F4F6F9"/>
          </w:tcPr>
          <w:p>
            <w:pPr>
              <w:jc w:val="left"/>
            </w:pPr>
            <w:r>
              <w:rPr>
                <w:rFonts w:ascii="DejaVu Serif" w:hAnsi="DejaVu Serif" w:eastAsia="DejaVu Serif"/>
                <w:b w:val="0"/>
                <w:sz w:val="15"/>
              </w:rPr>
              <w:t>model equals fact</w:t>
            </w:r>
          </w:p>
        </w:tc>
        <w:tc>
          <w:tcPr>
            <w:tcW w:type="dxa" w:w="5688"/>
            <w:tcMar>
              <w:top w:w="90" w:type="dxa"/>
              <w:start w:w="100" w:type="dxa"/>
              <w:bottom w:w="90" w:type="dxa"/>
              <w:end w:w="100" w:type="dxa"/>
            </w:tcMar>
            <w:vAlign w:val="center"/>
            <w:shd w:fill="F4F6F9"/>
          </w:tcPr>
          <w:p>
            <w:pPr>
              <w:jc w:val="left"/>
            </w:pPr>
            <w:r>
              <w:rPr>
                <w:rFonts w:ascii="DejaVu Serif" w:hAnsi="DejaVu Serif" w:eastAsia="DejaVu Serif"/>
                <w:b w:val="0"/>
                <w:sz w:val="15"/>
              </w:rPr>
              <w:t>A convenient model is presented as an observed fact.</w:t>
            </w:r>
          </w:p>
        </w:tc>
      </w:tr>
      <w:tr>
        <w:tc>
          <w:tcPr>
            <w:tcW w:type="dxa" w:w="1224"/>
            <w:tcMar>
              <w:top w:w="90" w:type="dxa"/>
              <w:start w:w="100" w:type="dxa"/>
              <w:bottom w:w="90" w:type="dxa"/>
              <w:end w:w="100" w:type="dxa"/>
            </w:tcMar>
            <w:vAlign w:val="center"/>
          </w:tcPr>
          <w:p>
            <w:pPr>
              <w:jc w:val="center"/>
            </w:pPr>
            <w:r>
              <w:rPr>
                <w:rFonts w:ascii="DejaVu Serif" w:hAnsi="DejaVu Serif" w:eastAsia="DejaVu Serif"/>
                <w:b w:val="0"/>
                <w:sz w:val="15"/>
              </w:rPr>
              <w:t>CM-074</w:t>
            </w:r>
          </w:p>
        </w:tc>
        <w:tc>
          <w:tcPr>
            <w:tcW w:type="dxa" w:w="2951"/>
            <w:tcMar>
              <w:top w:w="90" w:type="dxa"/>
              <w:start w:w="100" w:type="dxa"/>
              <w:bottom w:w="90" w:type="dxa"/>
              <w:end w:w="100" w:type="dxa"/>
            </w:tcMar>
            <w:vAlign w:val="center"/>
          </w:tcPr>
          <w:p>
            <w:pPr>
              <w:jc w:val="left"/>
            </w:pPr>
            <w:r>
              <w:rPr>
                <w:rFonts w:ascii="DejaVu Serif" w:hAnsi="DejaVu Serif" w:eastAsia="DejaVu Serif"/>
                <w:b w:val="0"/>
                <w:sz w:val="15"/>
              </w:rPr>
              <w:t>fit equals explanation</w:t>
            </w:r>
          </w:p>
        </w:tc>
        <w:tc>
          <w:tcPr>
            <w:tcW w:type="dxa" w:w="5688"/>
            <w:tcMar>
              <w:top w:w="90" w:type="dxa"/>
              <w:start w:w="100" w:type="dxa"/>
              <w:bottom w:w="90" w:type="dxa"/>
              <w:end w:w="100" w:type="dxa"/>
            </w:tcMar>
            <w:vAlign w:val="center"/>
          </w:tcPr>
          <w:p>
            <w:pPr>
              <w:jc w:val="left"/>
            </w:pPr>
            <w:r>
              <w:rPr>
                <w:rFonts w:ascii="DejaVu Serif" w:hAnsi="DejaVu Serif" w:eastAsia="DejaVu Serif"/>
                <w:b w:val="0"/>
                <w:sz w:val="15"/>
              </w:rPr>
              <w:t>High predictive fit is treated as a unique causal explanation.</w:t>
            </w:r>
          </w:p>
        </w:tc>
      </w:tr>
      <w:tr>
        <w:tc>
          <w:tcPr>
            <w:tcW w:type="dxa" w:w="1224"/>
            <w:tcMar>
              <w:top w:w="90" w:type="dxa"/>
              <w:start w:w="100" w:type="dxa"/>
              <w:bottom w:w="90" w:type="dxa"/>
              <w:end w:w="100" w:type="dxa"/>
            </w:tcMar>
            <w:vAlign w:val="center"/>
            <w:shd w:fill="F4F6F9"/>
          </w:tcPr>
          <w:p>
            <w:pPr>
              <w:jc w:val="center"/>
            </w:pPr>
            <w:r>
              <w:rPr>
                <w:rFonts w:ascii="DejaVu Serif" w:hAnsi="DejaVu Serif" w:eastAsia="DejaVu Serif"/>
                <w:b w:val="0"/>
                <w:sz w:val="15"/>
              </w:rPr>
              <w:t>CM-075</w:t>
            </w:r>
          </w:p>
        </w:tc>
        <w:tc>
          <w:tcPr>
            <w:tcW w:type="dxa" w:w="2951"/>
            <w:tcMar>
              <w:top w:w="90" w:type="dxa"/>
              <w:start w:w="100" w:type="dxa"/>
              <w:bottom w:w="90" w:type="dxa"/>
              <w:end w:w="100" w:type="dxa"/>
            </w:tcMar>
            <w:vAlign w:val="center"/>
            <w:shd w:fill="F4F6F9"/>
          </w:tcPr>
          <w:p>
            <w:pPr>
              <w:jc w:val="left"/>
            </w:pPr>
            <w:r>
              <w:rPr>
                <w:rFonts w:ascii="DejaVu Serif" w:hAnsi="DejaVu Serif" w:eastAsia="DejaVu Serif"/>
                <w:b w:val="0"/>
                <w:sz w:val="15"/>
              </w:rPr>
              <w:t>experiment without intervention type</w:t>
            </w:r>
          </w:p>
        </w:tc>
        <w:tc>
          <w:tcPr>
            <w:tcW w:type="dxa" w:w="5688"/>
            <w:tcMar>
              <w:top w:w="90" w:type="dxa"/>
              <w:start w:w="100" w:type="dxa"/>
              <w:bottom w:w="90" w:type="dxa"/>
              <w:end w:w="100" w:type="dxa"/>
            </w:tcMar>
            <w:vAlign w:val="center"/>
            <w:shd w:fill="F4F6F9"/>
          </w:tcPr>
          <w:p>
            <w:pPr>
              <w:jc w:val="left"/>
            </w:pPr>
            <w:r>
              <w:rPr>
                <w:rFonts w:ascii="DejaVu Serif" w:hAnsi="DejaVu Serif" w:eastAsia="DejaVu Serif"/>
                <w:b w:val="0"/>
                <w:sz w:val="15"/>
              </w:rPr>
              <w:t>An uncontrolled observation is described as a causal experiment.</w:t>
            </w:r>
          </w:p>
        </w:tc>
      </w:tr>
      <w:tr>
        <w:tc>
          <w:tcPr>
            <w:tcW w:type="dxa" w:w="1224"/>
            <w:tcMar>
              <w:top w:w="90" w:type="dxa"/>
              <w:start w:w="100" w:type="dxa"/>
              <w:bottom w:w="90" w:type="dxa"/>
              <w:end w:w="100" w:type="dxa"/>
            </w:tcMar>
            <w:vAlign w:val="center"/>
          </w:tcPr>
          <w:p>
            <w:pPr>
              <w:jc w:val="center"/>
            </w:pPr>
            <w:r>
              <w:rPr>
                <w:rFonts w:ascii="DejaVu Serif" w:hAnsi="DejaVu Serif" w:eastAsia="DejaVu Serif"/>
                <w:b w:val="0"/>
                <w:sz w:val="15"/>
              </w:rPr>
              <w:t>CM-076</w:t>
            </w:r>
          </w:p>
        </w:tc>
        <w:tc>
          <w:tcPr>
            <w:tcW w:type="dxa" w:w="2951"/>
            <w:tcMar>
              <w:top w:w="90" w:type="dxa"/>
              <w:start w:w="100" w:type="dxa"/>
              <w:bottom w:w="90" w:type="dxa"/>
              <w:end w:w="100" w:type="dxa"/>
            </w:tcMar>
            <w:vAlign w:val="center"/>
          </w:tcPr>
          <w:p>
            <w:pPr>
              <w:jc w:val="left"/>
            </w:pPr>
            <w:r>
              <w:rPr>
                <w:rFonts w:ascii="DejaVu Serif" w:hAnsi="DejaVu Serif" w:eastAsia="DejaVu Serif"/>
                <w:b w:val="0"/>
                <w:sz w:val="15"/>
              </w:rPr>
              <w:t>reduction without residual</w:t>
            </w:r>
          </w:p>
        </w:tc>
        <w:tc>
          <w:tcPr>
            <w:tcW w:type="dxa" w:w="5688"/>
            <w:tcMar>
              <w:top w:w="90" w:type="dxa"/>
              <w:start w:w="100" w:type="dxa"/>
              <w:bottom w:w="90" w:type="dxa"/>
              <w:end w:w="100" w:type="dxa"/>
            </w:tcMar>
            <w:vAlign w:val="center"/>
          </w:tcPr>
          <w:p>
            <w:pPr>
              <w:jc w:val="left"/>
            </w:pPr>
            <w:r>
              <w:rPr>
                <w:rFonts w:ascii="DejaVu Serif" w:hAnsi="DejaVu Serif" w:eastAsia="DejaVu Serif"/>
                <w:b w:val="0"/>
                <w:sz w:val="15"/>
              </w:rPr>
              <w:t>A human situation is reduced to features without listing lost relations.</w:t>
            </w:r>
          </w:p>
        </w:tc>
      </w:tr>
      <w:tr>
        <w:tc>
          <w:tcPr>
            <w:tcW w:type="dxa" w:w="1224"/>
            <w:tcMar>
              <w:top w:w="90" w:type="dxa"/>
              <w:start w:w="100" w:type="dxa"/>
              <w:bottom w:w="90" w:type="dxa"/>
              <w:end w:w="100" w:type="dxa"/>
            </w:tcMar>
            <w:vAlign w:val="center"/>
            <w:shd w:fill="F4F6F9"/>
          </w:tcPr>
          <w:p>
            <w:pPr>
              <w:jc w:val="center"/>
            </w:pPr>
            <w:r>
              <w:rPr>
                <w:rFonts w:ascii="DejaVu Serif" w:hAnsi="DejaVu Serif" w:eastAsia="DejaVu Serif"/>
                <w:b w:val="0"/>
                <w:sz w:val="15"/>
              </w:rPr>
              <w:t>CM-077</w:t>
            </w:r>
          </w:p>
        </w:tc>
        <w:tc>
          <w:tcPr>
            <w:tcW w:type="dxa" w:w="2951"/>
            <w:tcMar>
              <w:top w:w="90" w:type="dxa"/>
              <w:start w:w="100" w:type="dxa"/>
              <w:bottom w:w="90" w:type="dxa"/>
              <w:end w:w="100" w:type="dxa"/>
            </w:tcMar>
            <w:vAlign w:val="center"/>
            <w:shd w:fill="F4F6F9"/>
          </w:tcPr>
          <w:p>
            <w:pPr>
              <w:jc w:val="left"/>
            </w:pPr>
            <w:r>
              <w:rPr>
                <w:rFonts w:ascii="DejaVu Serif" w:hAnsi="DejaVu Serif" w:eastAsia="DejaVu Serif"/>
                <w:b w:val="0"/>
                <w:sz w:val="15"/>
              </w:rPr>
              <w:t>absolute emergence</w:t>
            </w:r>
          </w:p>
        </w:tc>
        <w:tc>
          <w:tcPr>
            <w:tcW w:type="dxa" w:w="5688"/>
            <w:tcMar>
              <w:top w:w="90" w:type="dxa"/>
              <w:start w:w="100" w:type="dxa"/>
              <w:bottom w:w="90" w:type="dxa"/>
              <w:end w:w="100" w:type="dxa"/>
            </w:tcMar>
            <w:vAlign w:val="center"/>
            <w:shd w:fill="F4F6F9"/>
          </w:tcPr>
          <w:p>
            <w:pPr>
              <w:jc w:val="left"/>
            </w:pPr>
            <w:r>
              <w:rPr>
                <w:rFonts w:ascii="DejaVu Serif" w:hAnsi="DejaVu Serif" w:eastAsia="DejaVu Serif"/>
                <w:b w:val="0"/>
                <w:sz w:val="15"/>
              </w:rPr>
              <w:t>Failure of one language is presented as proof of permanent nonmathematical mystery.</w:t>
            </w:r>
          </w:p>
        </w:tc>
      </w:tr>
      <w:tr>
        <w:tc>
          <w:tcPr>
            <w:tcW w:type="dxa" w:w="1224"/>
            <w:tcMar>
              <w:top w:w="90" w:type="dxa"/>
              <w:start w:w="100" w:type="dxa"/>
              <w:bottom w:w="90" w:type="dxa"/>
              <w:end w:w="100" w:type="dxa"/>
            </w:tcMar>
            <w:vAlign w:val="center"/>
          </w:tcPr>
          <w:p>
            <w:pPr>
              <w:jc w:val="center"/>
            </w:pPr>
            <w:r>
              <w:rPr>
                <w:rFonts w:ascii="DejaVu Serif" w:hAnsi="DejaVu Serif" w:eastAsia="DejaVu Serif"/>
                <w:b w:val="0"/>
                <w:sz w:val="15"/>
              </w:rPr>
              <w:t>CM-078</w:t>
            </w:r>
          </w:p>
        </w:tc>
        <w:tc>
          <w:tcPr>
            <w:tcW w:type="dxa" w:w="2951"/>
            <w:tcMar>
              <w:top w:w="90" w:type="dxa"/>
              <w:start w:w="100" w:type="dxa"/>
              <w:bottom w:w="90" w:type="dxa"/>
              <w:end w:w="100" w:type="dxa"/>
            </w:tcMar>
            <w:vAlign w:val="center"/>
          </w:tcPr>
          <w:p>
            <w:pPr>
              <w:jc w:val="left"/>
            </w:pPr>
            <w:r>
              <w:rPr>
                <w:rFonts w:ascii="DejaVu Serif" w:hAnsi="DejaVu Serif" w:eastAsia="DejaVu Serif"/>
                <w:b w:val="0"/>
                <w:sz w:val="15"/>
              </w:rPr>
              <w:t>scientific status inflation</w:t>
            </w:r>
          </w:p>
        </w:tc>
        <w:tc>
          <w:tcPr>
            <w:tcW w:type="dxa" w:w="5688"/>
            <w:tcMar>
              <w:top w:w="90" w:type="dxa"/>
              <w:start w:w="100" w:type="dxa"/>
              <w:bottom w:w="90" w:type="dxa"/>
              <w:end w:w="100" w:type="dxa"/>
            </w:tcMar>
            <w:vAlign w:val="center"/>
          </w:tcPr>
          <w:p>
            <w:pPr>
              <w:jc w:val="left"/>
            </w:pPr>
            <w:r>
              <w:rPr>
                <w:rFonts w:ascii="DejaVu Serif" w:hAnsi="DejaVu Serif" w:eastAsia="DejaVu Serif"/>
                <w:b w:val="0"/>
                <w:sz w:val="15"/>
              </w:rPr>
              <w:t>MODEL or EMP-PLAN is advertised as established law.</w:t>
            </w:r>
          </w:p>
        </w:tc>
      </w:tr>
      <w:tr>
        <w:tc>
          <w:tcPr>
            <w:tcW w:type="dxa" w:w="1224"/>
            <w:tcMar>
              <w:top w:w="90" w:type="dxa"/>
              <w:start w:w="100" w:type="dxa"/>
              <w:bottom w:w="90" w:type="dxa"/>
              <w:end w:w="100" w:type="dxa"/>
            </w:tcMar>
            <w:vAlign w:val="center"/>
            <w:shd w:fill="F4F6F9"/>
          </w:tcPr>
          <w:p>
            <w:pPr>
              <w:jc w:val="center"/>
            </w:pPr>
            <w:r>
              <w:rPr>
                <w:rFonts w:ascii="DejaVu Serif" w:hAnsi="DejaVu Serif" w:eastAsia="DejaVu Serif"/>
                <w:b w:val="0"/>
                <w:sz w:val="15"/>
              </w:rPr>
              <w:t>CM-079</w:t>
            </w:r>
          </w:p>
        </w:tc>
        <w:tc>
          <w:tcPr>
            <w:tcW w:type="dxa" w:w="2951"/>
            <w:tcMar>
              <w:top w:w="90" w:type="dxa"/>
              <w:start w:w="100" w:type="dxa"/>
              <w:bottom w:w="90" w:type="dxa"/>
              <w:end w:w="100" w:type="dxa"/>
            </w:tcMar>
            <w:vAlign w:val="center"/>
            <w:shd w:fill="F4F6F9"/>
          </w:tcPr>
          <w:p>
            <w:pPr>
              <w:jc w:val="left"/>
            </w:pPr>
            <w:r>
              <w:rPr>
                <w:rFonts w:ascii="DejaVu Serif" w:hAnsi="DejaVu Serif" w:eastAsia="DejaVu Serif"/>
                <w:b w:val="0"/>
                <w:sz w:val="15"/>
              </w:rPr>
              <w:t>automation equals responsibility</w:t>
            </w:r>
          </w:p>
        </w:tc>
        <w:tc>
          <w:tcPr>
            <w:tcW w:type="dxa" w:w="5688"/>
            <w:tcMar>
              <w:top w:w="90" w:type="dxa"/>
              <w:start w:w="100" w:type="dxa"/>
              <w:bottom w:w="90" w:type="dxa"/>
              <w:end w:w="100" w:type="dxa"/>
            </w:tcMar>
            <w:vAlign w:val="center"/>
            <w:shd w:fill="F4F6F9"/>
          </w:tcPr>
          <w:p>
            <w:pPr>
              <w:jc w:val="left"/>
            </w:pPr>
            <w:r>
              <w:rPr>
                <w:rFonts w:ascii="DejaVu Serif" w:hAnsi="DejaVu Serif" w:eastAsia="DejaVu Serif"/>
                <w:b w:val="0"/>
                <w:sz w:val="15"/>
              </w:rPr>
              <w:t>Execution by software is treated as transfer of moral or legal responsibility.</w:t>
            </w:r>
          </w:p>
        </w:tc>
      </w:tr>
      <w:tr>
        <w:tc>
          <w:tcPr>
            <w:tcW w:type="dxa" w:w="1224"/>
            <w:tcMar>
              <w:top w:w="90" w:type="dxa"/>
              <w:start w:w="100" w:type="dxa"/>
              <w:bottom w:w="90" w:type="dxa"/>
              <w:end w:w="100" w:type="dxa"/>
            </w:tcMar>
            <w:vAlign w:val="center"/>
          </w:tcPr>
          <w:p>
            <w:pPr>
              <w:jc w:val="center"/>
            </w:pPr>
            <w:r>
              <w:rPr>
                <w:rFonts w:ascii="DejaVu Serif" w:hAnsi="DejaVu Serif" w:eastAsia="DejaVu Serif"/>
                <w:b w:val="0"/>
                <w:sz w:val="15"/>
              </w:rPr>
              <w:t>CM-080</w:t>
            </w:r>
          </w:p>
        </w:tc>
        <w:tc>
          <w:tcPr>
            <w:tcW w:type="dxa" w:w="2951"/>
            <w:tcMar>
              <w:top w:w="90" w:type="dxa"/>
              <w:start w:w="100" w:type="dxa"/>
              <w:bottom w:w="90" w:type="dxa"/>
              <w:end w:w="100" w:type="dxa"/>
            </w:tcMar>
            <w:vAlign w:val="center"/>
          </w:tcPr>
          <w:p>
            <w:pPr>
              <w:jc w:val="left"/>
            </w:pPr>
            <w:r>
              <w:rPr>
                <w:rFonts w:ascii="DejaVu Serif" w:hAnsi="DejaVu Serif" w:eastAsia="DejaVu Serif"/>
                <w:b w:val="0"/>
                <w:sz w:val="15"/>
              </w:rPr>
              <w:t>no-abstain classifier</w:t>
            </w:r>
          </w:p>
        </w:tc>
        <w:tc>
          <w:tcPr>
            <w:tcW w:type="dxa" w:w="5688"/>
            <w:tcMar>
              <w:top w:w="90" w:type="dxa"/>
              <w:start w:w="100" w:type="dxa"/>
              <w:bottom w:w="90" w:type="dxa"/>
              <w:end w:w="100" w:type="dxa"/>
            </w:tcMar>
            <w:vAlign w:val="center"/>
          </w:tcPr>
          <w:p>
            <w:pPr>
              <w:jc w:val="left"/>
            </w:pPr>
            <w:r>
              <w:rPr>
                <w:rFonts w:ascii="DejaVu Serif" w:hAnsi="DejaVu Serif" w:eastAsia="DejaVu Serif"/>
                <w:b w:val="0"/>
                <w:sz w:val="15"/>
              </w:rPr>
              <w:t>A system is forced to rank a person despite missing D, consent or evidence.</w:t>
            </w:r>
          </w:p>
        </w:tc>
      </w:tr>
      <w:tr>
        <w:tc>
          <w:tcPr>
            <w:tcW w:type="dxa" w:w="1224"/>
            <w:tcMar>
              <w:top w:w="90" w:type="dxa"/>
              <w:start w:w="100" w:type="dxa"/>
              <w:bottom w:w="90" w:type="dxa"/>
              <w:end w:w="100" w:type="dxa"/>
            </w:tcMar>
            <w:vAlign w:val="center"/>
            <w:shd w:fill="F4F6F9"/>
          </w:tcPr>
          <w:p>
            <w:pPr>
              <w:jc w:val="center"/>
            </w:pPr>
            <w:r>
              <w:rPr>
                <w:rFonts w:ascii="DejaVu Serif" w:hAnsi="DejaVu Serif" w:eastAsia="DejaVu Serif"/>
                <w:b w:val="0"/>
                <w:sz w:val="15"/>
              </w:rPr>
              <w:t>CM-081</w:t>
            </w:r>
          </w:p>
        </w:tc>
        <w:tc>
          <w:tcPr>
            <w:tcW w:type="dxa" w:w="2951"/>
            <w:tcMar>
              <w:top w:w="90" w:type="dxa"/>
              <w:start w:w="100" w:type="dxa"/>
              <w:bottom w:w="90" w:type="dxa"/>
              <w:end w:w="100" w:type="dxa"/>
            </w:tcMar>
            <w:vAlign w:val="center"/>
            <w:shd w:fill="F4F6F9"/>
          </w:tcPr>
          <w:p>
            <w:pPr>
              <w:jc w:val="left"/>
            </w:pPr>
            <w:r>
              <w:rPr>
                <w:rFonts w:ascii="DejaVu Serif" w:hAnsi="DejaVu Serif" w:eastAsia="DejaVu Serif"/>
                <w:b w:val="0"/>
                <w:sz w:val="15"/>
              </w:rPr>
              <w:t>single-score human</w:t>
            </w:r>
          </w:p>
        </w:tc>
        <w:tc>
          <w:tcPr>
            <w:tcW w:type="dxa" w:w="5688"/>
            <w:tcMar>
              <w:top w:w="90" w:type="dxa"/>
              <w:start w:w="100" w:type="dxa"/>
              <w:bottom w:w="90" w:type="dxa"/>
              <w:end w:w="100" w:type="dxa"/>
            </w:tcMar>
            <w:vAlign w:val="center"/>
            <w:shd w:fill="F4F6F9"/>
          </w:tcPr>
          <w:p>
            <w:pPr>
              <w:jc w:val="left"/>
            </w:pPr>
            <w:r>
              <w:rPr>
                <w:rFonts w:ascii="DejaVu Serif" w:hAnsi="DejaVu Serif" w:eastAsia="DejaVu Serif"/>
                <w:b w:val="0"/>
                <w:sz w:val="15"/>
              </w:rPr>
              <w:t>Nonscalar anthropological channels are collapsed into one value score.</w:t>
            </w:r>
          </w:p>
        </w:tc>
      </w:tr>
      <w:tr>
        <w:tc>
          <w:tcPr>
            <w:tcW w:type="dxa" w:w="1224"/>
            <w:tcMar>
              <w:top w:w="90" w:type="dxa"/>
              <w:start w:w="100" w:type="dxa"/>
              <w:bottom w:w="90" w:type="dxa"/>
              <w:end w:w="100" w:type="dxa"/>
            </w:tcMar>
            <w:vAlign w:val="center"/>
          </w:tcPr>
          <w:p>
            <w:pPr>
              <w:jc w:val="center"/>
            </w:pPr>
            <w:r>
              <w:rPr>
                <w:rFonts w:ascii="DejaVu Serif" w:hAnsi="DejaVu Serif" w:eastAsia="DejaVu Serif"/>
                <w:b w:val="0"/>
                <w:sz w:val="15"/>
              </w:rPr>
              <w:t>CM-082</w:t>
            </w:r>
          </w:p>
        </w:tc>
        <w:tc>
          <w:tcPr>
            <w:tcW w:type="dxa" w:w="2951"/>
            <w:tcMar>
              <w:top w:w="90" w:type="dxa"/>
              <w:start w:w="100" w:type="dxa"/>
              <w:bottom w:w="90" w:type="dxa"/>
              <w:end w:w="100" w:type="dxa"/>
            </w:tcMar>
            <w:vAlign w:val="center"/>
          </w:tcPr>
          <w:p>
            <w:pPr>
              <w:jc w:val="left"/>
            </w:pPr>
            <w:r>
              <w:rPr>
                <w:rFonts w:ascii="DejaVu Serif" w:hAnsi="DejaVu Serif" w:eastAsia="DejaVu Serif"/>
                <w:b w:val="0"/>
                <w:sz w:val="15"/>
              </w:rPr>
              <w:t>uncontestable archive</w:t>
            </w:r>
          </w:p>
        </w:tc>
        <w:tc>
          <w:tcPr>
            <w:tcW w:type="dxa" w:w="5688"/>
            <w:tcMar>
              <w:top w:w="90" w:type="dxa"/>
              <w:start w:w="100" w:type="dxa"/>
              <w:bottom w:w="90" w:type="dxa"/>
              <w:end w:w="100" w:type="dxa"/>
            </w:tcMar>
            <w:vAlign w:val="center"/>
          </w:tcPr>
          <w:p>
            <w:pPr>
              <w:jc w:val="left"/>
            </w:pPr>
            <w:r>
              <w:rPr>
                <w:rFonts w:ascii="DejaVu Serif" w:hAnsi="DejaVu Serif" w:eastAsia="DejaVu Serif"/>
                <w:b w:val="0"/>
                <w:sz w:val="15"/>
              </w:rPr>
              <w:t>A person cannot append correction, objection or alternative source.</w:t>
            </w:r>
          </w:p>
        </w:tc>
      </w:tr>
      <w:tr>
        <w:tc>
          <w:tcPr>
            <w:tcW w:type="dxa" w:w="1224"/>
            <w:tcMar>
              <w:top w:w="90" w:type="dxa"/>
              <w:start w:w="100" w:type="dxa"/>
              <w:bottom w:w="90" w:type="dxa"/>
              <w:end w:w="100" w:type="dxa"/>
            </w:tcMar>
            <w:vAlign w:val="center"/>
            <w:shd w:fill="F4F6F9"/>
          </w:tcPr>
          <w:p>
            <w:pPr>
              <w:jc w:val="center"/>
            </w:pPr>
            <w:r>
              <w:rPr>
                <w:rFonts w:ascii="DejaVu Serif" w:hAnsi="DejaVu Serif" w:eastAsia="DejaVu Serif"/>
                <w:b w:val="0"/>
                <w:sz w:val="15"/>
              </w:rPr>
              <w:t>CM-083</w:t>
            </w:r>
          </w:p>
        </w:tc>
        <w:tc>
          <w:tcPr>
            <w:tcW w:type="dxa" w:w="2951"/>
            <w:tcMar>
              <w:top w:w="90" w:type="dxa"/>
              <w:start w:w="100" w:type="dxa"/>
              <w:bottom w:w="90" w:type="dxa"/>
              <w:end w:w="100" w:type="dxa"/>
            </w:tcMar>
            <w:vAlign w:val="center"/>
            <w:shd w:fill="F4F6F9"/>
          </w:tcPr>
          <w:p>
            <w:pPr>
              <w:jc w:val="left"/>
            </w:pPr>
            <w:r>
              <w:rPr>
                <w:rFonts w:ascii="DejaVu Serif" w:hAnsi="DejaVu Serif" w:eastAsia="DejaVu Serif"/>
                <w:b w:val="0"/>
                <w:sz w:val="15"/>
              </w:rPr>
              <w:t>philosophy as proof</w:t>
            </w:r>
          </w:p>
        </w:tc>
        <w:tc>
          <w:tcPr>
            <w:tcW w:type="dxa" w:w="5688"/>
            <w:tcMar>
              <w:top w:w="90" w:type="dxa"/>
              <w:start w:w="100" w:type="dxa"/>
              <w:bottom w:w="90" w:type="dxa"/>
              <w:end w:w="100" w:type="dxa"/>
            </w:tcMar>
            <w:vAlign w:val="center"/>
            <w:shd w:fill="F4F6F9"/>
          </w:tcPr>
          <w:p>
            <w:pPr>
              <w:jc w:val="left"/>
            </w:pPr>
            <w:r>
              <w:rPr>
                <w:rFonts w:ascii="DejaVu Serif" w:hAnsi="DejaVu Serif" w:eastAsia="DejaVu Serif"/>
                <w:b w:val="0"/>
                <w:sz w:val="15"/>
              </w:rPr>
              <w:t>A compelling philosophical image is cited as mathematical or empirical demonstration.</w:t>
            </w:r>
          </w:p>
        </w:tc>
      </w:tr>
      <w:tr>
        <w:tc>
          <w:tcPr>
            <w:tcW w:type="dxa" w:w="1224"/>
            <w:tcMar>
              <w:top w:w="90" w:type="dxa"/>
              <w:start w:w="100" w:type="dxa"/>
              <w:bottom w:w="90" w:type="dxa"/>
              <w:end w:w="100" w:type="dxa"/>
            </w:tcMar>
            <w:vAlign w:val="center"/>
          </w:tcPr>
          <w:p>
            <w:pPr>
              <w:jc w:val="center"/>
            </w:pPr>
            <w:r>
              <w:rPr>
                <w:rFonts w:ascii="DejaVu Serif" w:hAnsi="DejaVu Serif" w:eastAsia="DejaVu Serif"/>
                <w:b w:val="0"/>
                <w:sz w:val="15"/>
              </w:rPr>
              <w:t>CM-084</w:t>
            </w:r>
          </w:p>
        </w:tc>
        <w:tc>
          <w:tcPr>
            <w:tcW w:type="dxa" w:w="2951"/>
            <w:tcMar>
              <w:top w:w="90" w:type="dxa"/>
              <w:start w:w="100" w:type="dxa"/>
              <w:bottom w:w="90" w:type="dxa"/>
              <w:end w:w="100" w:type="dxa"/>
            </w:tcMar>
            <w:vAlign w:val="center"/>
          </w:tcPr>
          <w:p>
            <w:pPr>
              <w:jc w:val="left"/>
            </w:pPr>
            <w:r>
              <w:rPr>
                <w:rFonts w:ascii="DejaVu Serif" w:hAnsi="DejaVu Serif" w:eastAsia="DejaVu Serif"/>
                <w:b w:val="0"/>
                <w:sz w:val="15"/>
              </w:rPr>
              <w:t>anthropological essentialism</w:t>
            </w:r>
          </w:p>
        </w:tc>
        <w:tc>
          <w:tcPr>
            <w:tcW w:type="dxa" w:w="5688"/>
            <w:tcMar>
              <w:top w:w="90" w:type="dxa"/>
              <w:start w:w="100" w:type="dxa"/>
              <w:bottom w:w="90" w:type="dxa"/>
              <w:end w:w="100" w:type="dxa"/>
            </w:tcMar>
            <w:vAlign w:val="center"/>
          </w:tcPr>
          <w:p>
            <w:pPr>
              <w:jc w:val="left"/>
            </w:pPr>
            <w:r>
              <w:rPr>
                <w:rFonts w:ascii="DejaVu Serif" w:hAnsi="DejaVu Serif" w:eastAsia="DejaVu Serif"/>
                <w:b w:val="0"/>
                <w:sz w:val="15"/>
              </w:rPr>
              <w:t>A historical R-mode is assigned as the permanent essence of a culture or person.</w:t>
            </w:r>
          </w:p>
        </w:tc>
      </w:tr>
      <w:tr>
        <w:tc>
          <w:tcPr>
            <w:tcW w:type="dxa" w:w="1224"/>
            <w:tcMar>
              <w:top w:w="90" w:type="dxa"/>
              <w:start w:w="100" w:type="dxa"/>
              <w:bottom w:w="90" w:type="dxa"/>
              <w:end w:w="100" w:type="dxa"/>
            </w:tcMar>
            <w:vAlign w:val="center"/>
            <w:shd w:fill="F4F6F9"/>
          </w:tcPr>
          <w:p>
            <w:pPr>
              <w:jc w:val="center"/>
            </w:pPr>
            <w:r>
              <w:rPr>
                <w:rFonts w:ascii="DejaVu Serif" w:hAnsi="DejaVu Serif" w:eastAsia="DejaVu Serif"/>
                <w:b w:val="0"/>
                <w:sz w:val="15"/>
              </w:rPr>
              <w:t>CM-085</w:t>
            </w:r>
          </w:p>
        </w:tc>
        <w:tc>
          <w:tcPr>
            <w:tcW w:type="dxa" w:w="2951"/>
            <w:tcMar>
              <w:top w:w="90" w:type="dxa"/>
              <w:start w:w="100" w:type="dxa"/>
              <w:bottom w:w="90" w:type="dxa"/>
              <w:end w:w="100" w:type="dxa"/>
            </w:tcMar>
            <w:vAlign w:val="center"/>
            <w:shd w:fill="F4F6F9"/>
          </w:tcPr>
          <w:p>
            <w:pPr>
              <w:jc w:val="left"/>
            </w:pPr>
            <w:r>
              <w:rPr>
                <w:rFonts w:ascii="DejaVu Serif" w:hAnsi="DejaVu Serif" w:eastAsia="DejaVu Serif"/>
                <w:b w:val="0"/>
                <w:sz w:val="15"/>
              </w:rPr>
              <w:t>ethics after deployment</w:t>
            </w:r>
          </w:p>
        </w:tc>
        <w:tc>
          <w:tcPr>
            <w:tcW w:type="dxa" w:w="5688"/>
            <w:tcMar>
              <w:top w:w="90" w:type="dxa"/>
              <w:start w:w="100" w:type="dxa"/>
              <w:bottom w:w="90" w:type="dxa"/>
              <w:end w:w="100" w:type="dxa"/>
            </w:tcMar>
            <w:vAlign w:val="center"/>
            <w:shd w:fill="F4F6F9"/>
          </w:tcPr>
          <w:p>
            <w:pPr>
              <w:jc w:val="left"/>
            </w:pPr>
            <w:r>
              <w:rPr>
                <w:rFonts w:ascii="DejaVu Serif" w:hAnsi="DejaVu Serif" w:eastAsia="DejaVu Serif"/>
                <w:b w:val="0"/>
                <w:sz w:val="15"/>
              </w:rPr>
              <w:t>Consequences and rights are reviewed only after irreversible use.</w:t>
            </w:r>
          </w:p>
        </w:tc>
      </w:tr>
      <w:tr>
        <w:tc>
          <w:tcPr>
            <w:tcW w:type="dxa" w:w="1224"/>
            <w:tcMar>
              <w:top w:w="90" w:type="dxa"/>
              <w:start w:w="100" w:type="dxa"/>
              <w:bottom w:w="90" w:type="dxa"/>
              <w:end w:w="100" w:type="dxa"/>
            </w:tcMar>
            <w:vAlign w:val="center"/>
          </w:tcPr>
          <w:p>
            <w:pPr>
              <w:jc w:val="center"/>
            </w:pPr>
            <w:r>
              <w:rPr>
                <w:rFonts w:ascii="DejaVu Serif" w:hAnsi="DejaVu Serif" w:eastAsia="DejaVu Serif"/>
                <w:b w:val="0"/>
                <w:sz w:val="15"/>
              </w:rPr>
              <w:t>CM-086</w:t>
            </w:r>
          </w:p>
        </w:tc>
        <w:tc>
          <w:tcPr>
            <w:tcW w:type="dxa" w:w="2951"/>
            <w:tcMar>
              <w:top w:w="90" w:type="dxa"/>
              <w:start w:w="100" w:type="dxa"/>
              <w:bottom w:w="90" w:type="dxa"/>
              <w:end w:w="100" w:type="dxa"/>
            </w:tcMar>
            <w:vAlign w:val="center"/>
          </w:tcPr>
          <w:p>
            <w:pPr>
              <w:jc w:val="left"/>
            </w:pPr>
            <w:r>
              <w:rPr>
                <w:rFonts w:ascii="DejaVu Serif" w:hAnsi="DejaVu Serif" w:eastAsia="DejaVu Serif"/>
                <w:b w:val="0"/>
                <w:sz w:val="15"/>
              </w:rPr>
              <w:t>publication title inflation</w:t>
            </w:r>
          </w:p>
        </w:tc>
        <w:tc>
          <w:tcPr>
            <w:tcW w:type="dxa" w:w="5688"/>
            <w:tcMar>
              <w:top w:w="90" w:type="dxa"/>
              <w:start w:w="100" w:type="dxa"/>
              <w:bottom w:w="90" w:type="dxa"/>
              <w:end w:w="100" w:type="dxa"/>
            </w:tcMar>
            <w:vAlign w:val="center"/>
          </w:tcPr>
          <w:p>
            <w:pPr>
              <w:jc w:val="left"/>
            </w:pPr>
            <w:r>
              <w:rPr>
                <w:rFonts w:ascii="DejaVu Serif" w:hAnsi="DejaVu Serif" w:eastAsia="DejaVu Serif"/>
                <w:b w:val="0"/>
                <w:sz w:val="15"/>
              </w:rPr>
              <w:t>The title and abstract make a stronger claim than the proof passport.</w:t>
            </w:r>
          </w:p>
        </w:tc>
      </w:tr>
    </w:tbl>
    <w:p>
      <w:pPr>
        <w:widowControl/>
        <w:spacing w:after="20"/>
      </w:pPr>
    </w:p>
    <w:p>
      <w:bookmarkStart w:id="115" w:name="appD"/>
      <w:pPr>
        <w:pStyle w:val="Heading1"/>
        <w:keepNext/>
        <w:pageBreakBefore w:val="0"/>
        <w:widowControl/>
        <w:spacing w:before="200" w:after="100"/>
      </w:pPr>
      <w:r>
        <w:rPr>
          <w:rFonts w:ascii="DejaVu Sans" w:hAnsi="DejaVu Sans" w:eastAsia="DejaVu Sans"/>
          <w:b/>
          <w:color w:val="173A61"/>
          <w:sz w:val="35"/>
        </w:rPr>
        <w:t>Приложение D. Source-cards и библиографическая рамка</w:t>
      </w:r>
      <w:bookmarkEnd w:id="115"/>
    </w:p>
    <w:p>
      <w:pPr>
        <w:pStyle w:val="Heading2"/>
        <w:keepNext/>
        <w:pageBreakBefore w:val="0"/>
        <w:widowControl/>
        <w:spacing w:before="140" w:after="100"/>
      </w:pPr>
      <w:r>
        <w:rPr>
          <w:rFonts w:ascii="DejaVu Sans" w:hAnsi="DejaVu Sans" w:eastAsia="DejaVu Sans"/>
          <w:b/>
          <w:color w:val="214D7A"/>
          <w:sz w:val="26"/>
        </w:rPr>
        <w:t>D.1. Внутренние source-cards</w:t>
      </w:r>
    </w:p>
    <w:tbl>
      <w:tblPr>
        <w:tblStyle w:val="TableGrid"/>
        <w:tblW w:type="auto" w:w="0"/>
        <w:jc w:val="center"/>
        <w:tblLayout w:type="fixed"/>
        <w:tblLook w:firstColumn="1" w:firstRow="1" w:lastColumn="0" w:lastRow="0" w:noHBand="0" w:noVBand="1" w:val="04A0"/>
      </w:tblPr>
      <w:tblGrid>
        <w:gridCol w:w="1417"/>
        <w:gridCol w:w="3969"/>
        <w:gridCol w:w="4252"/>
      </w:tblGrid>
      <w:tr>
        <w:trPr>
          <w:trHeight w:hRule="atLeast"/>
          <w:tblHeader w:val="true"/>
          <w:cantSplit/>
        </w:trPr>
        <w:tc>
          <w:tcPr>
            <w:tcW w:type="dxa" w:w="1368"/>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5"/>
              </w:rPr>
              <w:t>ID</w:t>
            </w:r>
          </w:p>
        </w:tc>
        <w:tc>
          <w:tcPr>
            <w:tcW w:type="dxa" w:w="4392"/>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5"/>
              </w:rPr>
              <w:t>Источник</w:t>
            </w:r>
          </w:p>
        </w:tc>
        <w:tc>
          <w:tcPr>
            <w:tcW w:type="dxa" w:w="3528"/>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5"/>
              </w:rPr>
              <w:t>Роль</w:t>
            </w:r>
          </w:p>
        </w:tc>
      </w:tr>
      <w:tr>
        <w:trPr>
          <w:cantSplit/>
          <w:trHeight w:hRule="atLeast"/>
        </w:trPr>
        <w:tc>
          <w:tcPr>
            <w:tcW w:type="dxa" w:w="136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T4-SRC-001</w:t>
            </w:r>
          </w:p>
        </w:tc>
        <w:tc>
          <w:tcPr>
            <w:tcW w:type="dxa" w:w="439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Базовый проект KLT-RBD. Том I. v197 RU.</w:t>
            </w:r>
          </w:p>
        </w:tc>
        <w:tc>
          <w:tcPr>
            <w:tcW w:type="dxa" w:w="352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Канонические C@C, Reper, D/Dom, λ, status firewall.</w:t>
            </w:r>
          </w:p>
        </w:tc>
      </w:tr>
      <w:tr>
        <w:trPr>
          <w:cantSplit/>
          <w:trHeight w:hRule="atLeast"/>
        </w:trPr>
        <w:tc>
          <w:tcPr>
            <w:tcW w:type="dxa" w:w="1368"/>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T4-SRC-002</w:t>
            </w:r>
          </w:p>
        </w:tc>
        <w:tc>
          <w:tcPr>
            <w:tcW w:type="dxa" w:w="439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Базовый проект KLT-RBD. Том II. T2-FREEZE-v1.0.</w:t>
            </w:r>
          </w:p>
        </w:tc>
        <w:tc>
          <w:tcPr>
            <w:tcW w:type="dxa" w:w="3528"/>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NAPG 3.0, partial operators, blockers, ABSTAIN.</w:t>
            </w:r>
          </w:p>
        </w:tc>
      </w:tr>
      <w:tr>
        <w:trPr>
          <w:cantSplit/>
          <w:trHeight w:hRule="atLeast"/>
        </w:trPr>
        <w:tc>
          <w:tcPr>
            <w:tcW w:type="dxa" w:w="136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T4-SRC-003</w:t>
            </w:r>
          </w:p>
        </w:tc>
        <w:tc>
          <w:tcPr>
            <w:tcW w:type="dxa" w:w="439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Базовый проект KLT-RBD. Том III. Действующая ветвь.</w:t>
            </w:r>
          </w:p>
        </w:tc>
        <w:tc>
          <w:tcPr>
            <w:tcW w:type="dxa" w:w="352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V*P-физика, стратифицированное время, вычислительные сертификаты.</w:t>
            </w:r>
          </w:p>
        </w:tc>
      </w:tr>
      <w:tr>
        <w:trPr>
          <w:cantSplit/>
          <w:trHeight w:hRule="atLeast"/>
        </w:trPr>
        <w:tc>
          <w:tcPr>
            <w:tcW w:type="dxa" w:w="1368"/>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T4-SRC-004</w:t>
            </w:r>
          </w:p>
        </w:tc>
        <w:tc>
          <w:tcPr>
            <w:tcW w:type="dxa" w:w="439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Монография 5.0 / 5.1.</w:t>
            </w:r>
          </w:p>
        </w:tc>
        <w:tc>
          <w:tcPr>
            <w:tcW w:type="dxa" w:w="3528"/>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Формула Human_R, антропология разворота, KLT/RBD.</w:t>
            </w:r>
          </w:p>
        </w:tc>
      </w:tr>
      <w:tr>
        <w:trPr>
          <w:cantSplit/>
          <w:trHeight w:hRule="atLeast"/>
        </w:trPr>
        <w:tc>
          <w:tcPr>
            <w:tcW w:type="dxa" w:w="136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T4-SRC-005</w:t>
            </w:r>
          </w:p>
        </w:tc>
        <w:tc>
          <w:tcPr>
            <w:tcW w:type="dxa" w:w="439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Том IV Монографии 6.0 v4.0/v4.1.</w:t>
            </w:r>
          </w:p>
        </w:tc>
        <w:tc>
          <w:tcPr>
            <w:tcW w:type="dxa" w:w="352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Legacy-антропология, исторические формы восприятия, документ, witness.</w:t>
            </w:r>
          </w:p>
        </w:tc>
      </w:tr>
      <w:tr>
        <w:trPr>
          <w:cantSplit/>
          <w:trHeight w:hRule="atLeast"/>
        </w:trPr>
        <w:tc>
          <w:tcPr>
            <w:tcW w:type="dxa" w:w="1368"/>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T4-SRC-006</w:t>
            </w:r>
          </w:p>
        </w:tc>
        <w:tc>
          <w:tcPr>
            <w:tcW w:type="dxa" w:w="439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FINAL_MONOGRAPH_SKELETON_RU_EN_v7_0.</w:t>
            </w:r>
          </w:p>
        </w:tc>
        <w:tc>
          <w:tcPr>
            <w:tcW w:type="dxa" w:w="3528"/>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Многотомный план и границы томов.</w:t>
            </w:r>
          </w:p>
        </w:tc>
      </w:tr>
      <w:tr>
        <w:trPr>
          <w:cantSplit/>
          <w:trHeight w:hRule="atLeast"/>
        </w:trPr>
        <w:tc>
          <w:tcPr>
            <w:tcW w:type="dxa" w:w="136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T4-SRC-007</w:t>
            </w:r>
          </w:p>
        </w:tc>
        <w:tc>
          <w:tcPr>
            <w:tcW w:type="dxa" w:w="439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PILOT-01.</w:t>
            </w:r>
          </w:p>
        </w:tc>
        <w:tc>
          <w:tcPr>
            <w:tcW w:type="dxa" w:w="3528"/>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Formula-chain audit и D/Dom barrier.</w:t>
            </w:r>
          </w:p>
        </w:tc>
      </w:tr>
      <w:tr>
        <w:trPr>
          <w:cantSplit/>
          <w:trHeight w:hRule="atLeast"/>
        </w:trPr>
        <w:tc>
          <w:tcPr>
            <w:tcW w:type="dxa" w:w="1368"/>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center"/>
            </w:pPr>
            <w:r>
              <w:rPr>
                <w:rFonts w:ascii="DejaVu Serif" w:hAnsi="DejaVu Serif" w:eastAsia="DejaVu Serif"/>
                <w:b w:val="0"/>
                <w:color w:val="1A2433"/>
                <w:sz w:val="15"/>
              </w:rPr>
              <w:t>T4-SRC-008</w:t>
            </w:r>
          </w:p>
        </w:tc>
        <w:tc>
          <w:tcPr>
            <w:tcW w:type="dxa" w:w="439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ФОС; KPF/RPHD; операторные статьи.</w:t>
            </w:r>
          </w:p>
        </w:tc>
        <w:tc>
          <w:tcPr>
            <w:tcW w:type="dxa" w:w="3528"/>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5"/>
              </w:rPr>
              <w:t>Связность, пределы, Δ/Ξ/Υ; статусные ограничения.</w:t>
            </w:r>
          </w:p>
        </w:tc>
      </w:tr>
      <w:tr>
        <w:trPr>
          <w:cantSplit/>
          <w:trHeight w:hRule="atLeast"/>
        </w:trPr>
        <w:tc>
          <w:tcPr>
            <w:tcW w:type="dxa" w:w="136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T4-SRC-009</w:t>
            </w:r>
          </w:p>
        </w:tc>
        <w:tc>
          <w:tcPr>
            <w:tcW w:type="dxa" w:w="439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Курпишев И. Б. «записки.docx», редакции 17.07.2026.</w:t>
            </w:r>
          </w:p>
        </w:tc>
        <w:tc>
          <w:tcPr>
            <w:tcW w:type="dxa" w:w="352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Первичный авторский текст свободы воли, дырчатой причинности, РПЛД и AK-6.</w:t>
            </w:r>
          </w:p>
        </w:tc>
      </w:tr>
      <w:tr>
        <w:trPr>
          <w:cantSplit/>
          <w:trHeight w:hRule="atLeast"/>
        </w:trPr>
        <w:tc>
          <w:tcPr>
            <w:tcW w:type="dxa" w:w="136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T4-SRC-010</w:t>
            </w:r>
          </w:p>
        </w:tc>
        <w:tc>
          <w:tcPr>
            <w:tcW w:type="dxa" w:w="439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Арнольд В. И. Теория катастроф. М.: Наука, 1990. С. 98-102.</w:t>
            </w:r>
          </w:p>
        </w:tc>
        <w:tc>
          <w:tcPr>
            <w:tcW w:type="dxa" w:w="352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Библиографический указатель на шесть качественных выводов; первичный скан pending.</w:t>
            </w:r>
          </w:p>
        </w:tc>
      </w:tr>
      <w:tr>
        <w:trPr>
          <w:cantSplit/>
          <w:trHeight w:hRule="atLeast"/>
        </w:trPr>
        <w:tc>
          <w:tcPr>
            <w:tcW w:type="dxa" w:w="136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center"/>
            </w:pPr>
            <w:r>
              <w:rPr>
                <w:rFonts w:ascii="DejaVu Serif" w:hAnsi="DejaVu Serif" w:eastAsia="DejaVu Serif"/>
                <w:b w:val="0"/>
                <w:color w:val="1A2433"/>
                <w:sz w:val="15"/>
              </w:rPr>
              <w:t>T4-SRC-011</w:t>
            </w:r>
          </w:p>
        </w:tc>
        <w:tc>
          <w:tcPr>
            <w:tcW w:type="dxa" w:w="439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Арнольд В. И. Лекции о бифуркациях... (1972); Особенности, бифуркации и катастрофы (1983).</w:t>
            </w:r>
          </w:p>
        </w:tc>
        <w:tc>
          <w:tcPr>
            <w:tcW w:type="dxa" w:w="352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5"/>
              </w:rPr>
              <w:t>Общий prior art бифуркаций и катастроф; не источник термина KLT-Υ.</w:t>
            </w:r>
          </w:p>
        </w:tc>
      </w:tr>
      <w:tr>
        <w:trPr>
          <w:cantSplit/>
          <w:trHeight w:hRule="atLeast"/>
        </w:trPr>
        <w:tc>
          <w:tcPr>
            <w:tcW w:type="dxa" w:w="136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center"/>
            </w:pPr>
            <w:r>
              <w:rPr>
                <w:rFonts w:ascii="DejaVu Serif" w:hAnsi="DejaVu Serif" w:eastAsia="DejaVu Serif"/>
                <w:b w:val="0"/>
                <w:color w:val="1A2433"/>
                <w:sz w:val="15"/>
              </w:rPr>
              <w:t>T4-SRC-012</w:t>
            </w:r>
          </w:p>
        </w:tc>
        <w:tc>
          <w:tcPr>
            <w:tcW w:type="dxa" w:w="439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Pearl J. Causality; Woodward J. Making Things Happen; Sontag E. Mathematical Control Theory.</w:t>
            </w:r>
          </w:p>
        </w:tc>
        <w:tc>
          <w:tcPr>
            <w:tcW w:type="dxa" w:w="3528"/>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line="252" w:lineRule="auto" w:before="0"/>
              <w:jc w:val="left"/>
            </w:pPr>
            <w:r>
              <w:rPr>
                <w:rFonts w:ascii="DejaVu Serif" w:hAnsi="DejaVu Serif" w:eastAsia="DejaVu Serif"/>
                <w:b w:val="0"/>
                <w:color w:val="1A2433"/>
                <w:sz w:val="15"/>
              </w:rPr>
              <w:t>Интервенционный и control prior art для root-action и steering.</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T4-SRC-013A</w:t>
            </w:r>
          </w:p>
        </w:tc>
        <w:tc>
          <w:tcPr>
            <w:tcW w:type="dxa" w:w="396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«О величайшей теореме комплексного анализа», внутри заметки приписано Игорю Воронцову.</w:t>
            </w:r>
          </w:p>
        </w:tc>
        <w:tc>
          <w:tcPr>
            <w:tcW w:type="dxa" w:w="425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Популярный ML-источник; формулы прошли mathematical audit.</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T4-SRC-013B</w:t>
            </w:r>
          </w:p>
        </w:tc>
        <w:tc>
          <w:tcPr>
            <w:tcW w:type="dxa" w:w="396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Курпишев И. Б. Продолжение в заметка1.docx.</w:t>
            </w:r>
          </w:p>
        </w:tc>
        <w:tc>
          <w:tcPr>
            <w:tcW w:type="dxa" w:w="425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Многообразие Курпишева, PIT, RPLD, причинность и сила.</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T4-SRC-014</w:t>
            </w:r>
          </w:p>
        </w:tc>
        <w:tc>
          <w:tcPr>
            <w:tcW w:type="dxa" w:w="396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Mittag-Leffler G. Acta Mathematica 4 (1884), 1-79.</w:t>
            </w:r>
          </w:p>
        </w:tc>
        <w:tc>
          <w:tcPr>
            <w:tcW w:type="dxa" w:w="425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Исторический первичный источник теоремы представления.</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T4-SRC-015</w:t>
            </w:r>
          </w:p>
        </w:tc>
        <w:tc>
          <w:tcPr>
            <w:tcW w:type="dxa" w:w="396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Cousin I; sheaf exact sequence; Stein vanishing.</w:t>
            </w:r>
          </w:p>
        </w:tc>
        <w:tc>
          <w:tcPr>
            <w:tcW w:type="dxa" w:w="425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Классический obstruction/local-to-global prior art.</w:t>
            </w:r>
          </w:p>
        </w:tc>
      </w:tr>
      <w:tr>
        <w:trPr>
          <w:cantSplit/>
          <w:trHeight w:hRule="atLeast"/>
        </w:trPr>
        <w:tc>
          <w:tcPr>
            <w:tcW w:type="dxa" w:w="1417"/>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6"/>
              </w:rPr>
              <w:t>T4-ILL-013A-C</w:t>
            </w:r>
          </w:p>
        </w:tc>
        <w:tc>
          <w:tcPr>
            <w:tcW w:type="dxa" w:w="3969"/>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Три File Library poster variants.</w:t>
            </w:r>
          </w:p>
        </w:tc>
        <w:tc>
          <w:tcPr>
            <w:tcW w:type="dxa" w:w="425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6"/>
              </w:rPr>
              <w:t>Источник композиции трёх аналитических перерисовок; exact bytes не включены в sandbox package.</w:t>
            </w:r>
          </w:p>
        </w:tc>
      </w:tr>
      <w:tr>
        <w:trPr>
          <w:trHeight w:hRule="atLeast"/>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T4-SRC-016</w:t>
            </w:r>
          </w:p>
        </w:tc>
        <w:tc>
          <w:tcPr>
            <w:tcW w:type="dxa" w:w="396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Авторская заметка текущей сессии; legacy: «записки.docx»</w:t>
            </w:r>
          </w:p>
        </w:tc>
        <w:tc>
          <w:tcPr>
            <w:tcW w:type="dxa" w:w="4252"/>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R−1, области духов-причин и действий-стихий, Перья, R−02/R−03, Енох, Моисей, Кант, FOS.</w:t>
            </w:r>
          </w:p>
        </w:tc>
      </w:tr>
      <w:tr>
        <w:trPr>
          <w:trHeight w:hRule="atLeast"/>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T4-SRC-017</w:t>
            </w:r>
          </w:p>
        </w:tc>
        <w:tc>
          <w:tcPr>
            <w:tcW w:type="dxa" w:w="396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Леви-Брюль Л. «Первобытное мышление» / «Сверхъестественное в первобытном мышлении»</w:t>
            </w:r>
          </w:p>
        </w:tc>
        <w:tc>
          <w:tcPr>
            <w:tcW w:type="dxa" w:w="425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Пра-логическое мышление, закон сопричастности, коллективные представления; используется критически.</w:t>
            </w:r>
          </w:p>
        </w:tc>
      </w:tr>
      <w:tr>
        <w:trPr>
          <w:trHeight w:hRule="atLeast"/>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T4-SRC-018</w:t>
            </w:r>
          </w:p>
        </w:tc>
        <w:tc>
          <w:tcPr>
            <w:tcW w:type="dxa" w:w="396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Lévy-Bruhl L. Les Carnets (1949); Notebooks on Primitive Mentality (1975)</w:t>
            </w:r>
          </w:p>
        </w:tc>
        <w:tc>
          <w:tcPr>
            <w:tcW w:type="dxa" w:w="4252"/>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Отказ от тезиса об иной логической структуре; различие переносится к ориентациям и интересам.</w:t>
            </w:r>
          </w:p>
        </w:tc>
      </w:tr>
      <w:tr>
        <w:trPr>
          <w:trHeight w:hRule="atLeast"/>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T4-SRC-019</w:t>
            </w:r>
          </w:p>
        </w:tc>
        <w:tc>
          <w:tcPr>
            <w:tcW w:type="dxa" w:w="396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Dawes G. W. Participation and Causality: Lévy-Bruhl Revisited. DOI 10.1177/0008429814526144</w:t>
            </w:r>
          </w:p>
        </w:tc>
        <w:tc>
          <w:tcPr>
            <w:tcW w:type="dxa" w:w="425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Участническая ориентация может включать причинные утверждения; полезнее различать мифическую и экспериментальную установки.</w:t>
            </w:r>
          </w:p>
        </w:tc>
      </w:tr>
      <w:tr>
        <w:trPr>
          <w:trHeight w:hRule="atLeast"/>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T4-SRC-020</w:t>
            </w:r>
          </w:p>
        </w:tc>
        <w:tc>
          <w:tcPr>
            <w:tcW w:type="dxa" w:w="396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Тайлор Э. Б. Primitive Culture (1871)</w:t>
            </w:r>
          </w:p>
        </w:tc>
        <w:tc>
          <w:tcPr>
            <w:tcW w:type="dxa" w:w="4252"/>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Анимизм и персонализированные причины; не принимается как исчерпывающая модель культур.</w:t>
            </w:r>
          </w:p>
        </w:tc>
      </w:tr>
      <w:tr>
        <w:trPr>
          <w:trHeight w:hRule="atLeast"/>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T4-SRC-021</w:t>
            </w:r>
          </w:p>
        </w:tc>
        <w:tc>
          <w:tcPr>
            <w:tcW w:type="dxa" w:w="396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Кант И. «Критика чистого разума», A804/B832; «Логика»</w:t>
            </w:r>
          </w:p>
        </w:tc>
        <w:tc>
          <w:tcPr>
            <w:tcW w:type="dxa" w:w="425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Границы знания, практики и надежды; критический режим и вопрос о человеке.</w:t>
            </w:r>
          </w:p>
        </w:tc>
      </w:tr>
      <w:tr>
        <w:trPr>
          <w:trHeight w:hRule="atLeast"/>
        </w:trPr>
        <w:tc>
          <w:tcPr>
            <w:tcW w:type="dxa" w:w="141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T4-SRC-022</w:t>
            </w:r>
          </w:p>
        </w:tc>
        <w:tc>
          <w:tcPr>
            <w:tcW w:type="dxa" w:w="396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Genesis 5:24; Hebrews 11:5; 1 Enoch (R. H. Charles, 1917)</w:t>
            </w:r>
          </w:p>
        </w:tc>
        <w:tc>
          <w:tcPr>
            <w:tcW w:type="dxa" w:w="4252"/>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Текстовые основания образа Еноха; 1 Enoch — составной текст эпохи Второго Храма, а не исторический протокол.</w:t>
            </w:r>
          </w:p>
        </w:tc>
      </w:tr>
      <w:tr>
        <w:trPr>
          <w:trHeight w:hRule="atLeast"/>
        </w:trPr>
        <w:tc>
          <w:tcPr>
            <w:tcW w:type="dxa" w:w="141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T4-SRC-023</w:t>
            </w:r>
          </w:p>
        </w:tc>
        <w:tc>
          <w:tcPr>
            <w:tcW w:type="dxa" w:w="396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anthro_lines_en_v6_0.docx / a6en.pdf</w:t>
            </w:r>
          </w:p>
        </w:tc>
        <w:tc>
          <w:tcPr>
            <w:tcW w:type="dxa" w:w="4252"/>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Ранние формулы Feather, Demon=Gap_D и Enoch Fold; переработаны и доказательно очищены в v0.5.</w:t>
            </w:r>
          </w:p>
        </w:tc>
      </w:tr>
      <w:tr>
        <w:trPr>
          <w:trHeight w:hRule="atLeast"/>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T4-SRC-024</w:t>
            </w:r>
          </w:p>
        </w:tc>
        <w:tc>
          <w:tcPr>
            <w:tcW w:type="dxa" w:w="3969"/>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Авторская редакционная директива текущей сессии</w:t>
            </w:r>
          </w:p>
        </w:tc>
        <w:tc>
          <w:tcPr>
            <w:tcW w:type="dxa" w:w="425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Философская подача должна быть усилена и стать отличительной особенностью Тома IV.</w:t>
            </w:r>
          </w:p>
        </w:tc>
      </w:tr>
      <w:tr>
        <w:trPr>
          <w:trHeight w:hRule="atLeast"/>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T4-SRC-025</w:t>
            </w:r>
          </w:p>
        </w:tc>
        <w:tc>
          <w:tcPr>
            <w:tcW w:type="dxa" w:w="3969"/>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Платон; Аристотель; Кант; Пирс; Пуанкаре; Адамар; Полани</w:t>
            </w:r>
          </w:p>
        </w:tc>
        <w:tc>
          <w:tcPr>
            <w:tcW w:type="dxa" w:w="425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Открытие, припоминание, доказательство, продуктивное воображение, абдукция, математическое изобретение и неявное знание.</w:t>
            </w:r>
          </w:p>
        </w:tc>
      </w:tr>
      <w:tr>
        <w:trPr>
          <w:trHeight w:hRule="atLeast"/>
        </w:trPr>
        <w:tc>
          <w:tcPr>
            <w:tcW w:type="dxa" w:w="1417"/>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T4-SRC-026</w:t>
            </w:r>
          </w:p>
        </w:tc>
        <w:tc>
          <w:tcPr>
            <w:tcW w:type="dxa" w:w="3969"/>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Гадамер; Рикёр; Библер; Кассирер</w:t>
            </w:r>
          </w:p>
        </w:tc>
        <w:tc>
          <w:tcPr>
            <w:tcW w:type="dxa" w:w="4252"/>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Горизонт понимания, конфликт интерпретаций, диалог логик и символические формы.</w:t>
            </w:r>
          </w:p>
        </w:tc>
      </w:tr>
      <w:tr>
        <w:trPr>
          <w:trHeight w:hRule="atLeast"/>
        </w:trPr>
        <w:tc>
          <w:tcPr>
            <w:tcW w:type="dxa" w:w="1417"/>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T4-SRC-027</w:t>
            </w:r>
          </w:p>
        </w:tc>
        <w:tc>
          <w:tcPr>
            <w:tcW w:type="dxa" w:w="3969"/>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Платон «Федр»; Гуссерль; Хальбвакс; Рикёр; Деррида; Стиглер</w:t>
            </w:r>
          </w:p>
        </w:tc>
        <w:tc>
          <w:tcPr>
            <w:tcW w:type="dxa" w:w="4252"/>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6"/>
              </w:rPr>
              <w:t>Письмо, идеальная объективность, коллективная память, архив, забвение и третичная ретенция.</w:t>
            </w:r>
          </w:p>
        </w:tc>
      </w:tr>
      <w:tr>
        <w:trPr>
          <w:trHeight w:hRule="atLeast"/>
        </w:trPr>
        <w:tc>
          <w:tcPr>
            <w:tcW w:type="dxa" w:w="136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T4-SRC-025</w:t>
            </w:r>
          </w:p>
        </w:tc>
        <w:tc>
          <w:tcPr>
            <w:tcW w:type="dxa" w:w="50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Authorial note by I. B. Kurpishev, 30 July 2026: two permanent KLT-RBD kernels and Hilbert reduction.</w:t>
            </w:r>
          </w:p>
        </w:tc>
        <w:tc>
          <w:tcPr>
            <w:tcW w:type="dxa" w:w="345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KLT-A1/A2, PIX@PEAKS, amplitude gate, rigidity and philosophical reinforcement.</w:t>
            </w:r>
          </w:p>
        </w:tc>
      </w:tr>
      <w:tr>
        <w:trPr>
          <w:trHeight w:hRule="atLeast"/>
        </w:trPr>
        <w:tc>
          <w:tcPr>
            <w:tcW w:type="dxa" w:w="136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T4-SRC-026</w:t>
            </w:r>
          </w:p>
        </w:tc>
        <w:tc>
          <w:tcPr>
            <w:tcW w:type="dxa" w:w="50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Hilbert D. Die Grundlagen der Physik. Erste Mitteilung. Nachrichten Göttingen, 1915, 395-407.</w:t>
            </w:r>
          </w:p>
        </w:tc>
        <w:tc>
          <w:tcPr>
            <w:tcW w:type="dxa" w:w="345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Historical Axiom I: variational world function; Axiom II: general invariance.</w:t>
            </w:r>
          </w:p>
        </w:tc>
      </w:tr>
      <w:tr>
        <w:trPr>
          <w:trHeight w:hRule="atLeast"/>
        </w:trPr>
        <w:tc>
          <w:tcPr>
            <w:tcW w:type="dxa" w:w="136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T4-SRC-027</w:t>
            </w:r>
          </w:p>
        </w:tc>
        <w:tc>
          <w:tcPr>
            <w:tcW w:type="dxa" w:w="50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Hilbert D. Die Grundlagen der Physik. Zweite Mitteilung. Nachrichten Göttingen, 1917, 53-76; consolidated reprint, Math. Ann. 92 (1924), 1-32.</w:t>
            </w:r>
          </w:p>
        </w:tc>
        <w:tc>
          <w:tcPr>
            <w:tcW w:type="dxa" w:w="345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Historical development and revised presentation of Hilbert foundations.</w:t>
            </w:r>
          </w:p>
        </w:tc>
      </w:tr>
      <w:tr>
        <w:trPr>
          <w:trHeight w:hRule="atLeast"/>
        </w:trPr>
        <w:tc>
          <w:tcPr>
            <w:tcW w:type="dxa" w:w="136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T4-SRC-028</w:t>
            </w:r>
          </w:p>
        </w:tc>
        <w:tc>
          <w:tcPr>
            <w:tcW w:type="dxa" w:w="50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Noether E. Invariante Variationsprobleme. Nachrichten Göttingen, 1918, 235-257.</w:t>
            </w:r>
          </w:p>
        </w:tc>
        <w:tc>
          <w:tcPr>
            <w:tcW w:type="dxa" w:w="345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Variational invariance identities and conservation-law bridge in the reduced smooth setting.</w:t>
            </w:r>
          </w:p>
        </w:tc>
      </w:tr>
      <w:tr>
        <w:trPr>
          <w:trHeight w:hRule="atLeast"/>
        </w:trPr>
        <w:tc>
          <w:tcPr>
            <w:tcW w:type="dxa" w:w="136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T4-SRC-029</w:t>
            </w:r>
          </w:p>
        </w:tc>
        <w:tc>
          <w:tcPr>
            <w:tcW w:type="dxa" w:w="50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Tom I / v32_v196cc: packet objects R@R, C@B, M@R, P@P and C@C; category Pack.</w:t>
            </w:r>
          </w:p>
        </w:tc>
        <w:tc>
          <w:tcPr>
            <w:tcW w:type="dxa" w:w="345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Typed packet vocabulary and Hodge-stratified realization.</w:t>
            </w:r>
          </w:p>
        </w:tc>
      </w:tr>
      <w:tr>
        <w:trPr>
          <w:trHeight w:hRule="atLeast"/>
        </w:trPr>
        <w:tc>
          <w:tcPr>
            <w:tcW w:type="dxa" w:w="136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T4-SRC-030</w:t>
            </w:r>
          </w:p>
        </w:tc>
        <w:tc>
          <w:tcPr>
            <w:tcW w:type="dxa" w:w="504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PIX@PEAKS Fields Contractions Theorem v129T in the project corpus.</w:t>
            </w:r>
          </w:p>
        </w:tc>
        <w:tc>
          <w:tcPr>
            <w:tcW w:type="dxa" w:w="345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Existing formal bridge Hol_D→curvature→associator obstruction under explicit axioms.</w:t>
            </w:r>
          </w:p>
        </w:tc>
      </w:tr>
      <w:tr>
        <w:trPr>
          <w:trHeight w:hRule="atLeast"/>
        </w:trPr>
        <w:tc>
          <w:tcPr>
            <w:tcW w:type="dxa" w:w="136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T4-SRC-031</w:t>
            </w:r>
          </w:p>
        </w:tc>
        <w:tc>
          <w:tcPr>
            <w:tcW w:type="dxa" w:w="504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Tom II, Chapter 17: Hilbert and Klein reductions.</w:t>
            </w:r>
          </w:p>
        </w:tc>
        <w:tc>
          <w:tcPr>
            <w:tcW w:type="dxa" w:w="345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Reduction discipline: classical geometries remain controlled sections, not overwritten prior art.</w:t>
            </w:r>
          </w:p>
        </w:tc>
      </w:tr>
    </w:tbl>
    <w:p>
      <w:pPr>
        <w:widowControl/>
        <w:spacing w:after="20"/>
      </w:pPr>
    </w:p>
    <w:p>
      <w:pPr>
        <w:pStyle w:val="Heading2"/>
        <w:keepNext/>
        <w:pageBreakBefore w:val="0"/>
        <w:widowControl/>
        <w:spacing w:before="140" w:after="100"/>
      </w:pPr>
      <w:r>
        <w:rPr>
          <w:rFonts w:ascii="DejaVu Sans" w:hAnsi="DejaVu Sans" w:eastAsia="DejaVu Sans"/>
          <w:b/>
          <w:color w:val="214D7A"/>
          <w:sz w:val="26"/>
        </w:rPr>
        <w:t>D.2. Классическая библиографическая рамка</w:t>
      </w:r>
    </w:p>
    <w:p>
      <w:pPr>
        <w:pStyle w:val="ListNumber"/>
        <w:widowControl/>
        <w:spacing w:after="50" w:line="259" w:lineRule="auto"/>
        <w:ind w:left="340" w:hanging="142"/>
      </w:pPr>
      <w:r>
        <w:rPr>
          <w:rFonts w:ascii="DejaVu Serif" w:hAnsi="DejaVu Serif" w:eastAsia="DejaVu Serif"/>
          <w:color w:val="1A2433"/>
          <w:sz w:val="21"/>
        </w:rPr>
        <w:t>Кант И. Критика чистого разума; Критика способности суждения; Логика.</w:t>
      </w:r>
    </w:p>
    <w:p>
      <w:pPr>
        <w:pStyle w:val="ListNumber"/>
        <w:widowControl/>
        <w:spacing w:after="50" w:line="259" w:lineRule="auto"/>
        <w:ind w:left="340" w:hanging="142"/>
      </w:pPr>
      <w:r>
        <w:rPr>
          <w:rFonts w:ascii="DejaVu Serif" w:hAnsi="DejaVu Serif" w:eastAsia="DejaVu Serif"/>
          <w:color w:val="1A2433"/>
          <w:sz w:val="21"/>
        </w:rPr>
        <w:t>Библер В. С. Кант - Галилей - Кант; работы о мышлении как диалоге культур.</w:t>
      </w:r>
    </w:p>
    <w:p>
      <w:pPr>
        <w:pStyle w:val="ListNumber"/>
        <w:widowControl/>
        <w:spacing w:after="50" w:line="259" w:lineRule="auto"/>
        <w:ind w:left="340" w:hanging="142"/>
      </w:pPr>
      <w:r>
        <w:rPr>
          <w:rFonts w:ascii="DejaVu Serif" w:hAnsi="DejaVu Serif" w:eastAsia="DejaVu Serif"/>
          <w:color w:val="1A2433"/>
          <w:sz w:val="21"/>
        </w:rPr>
        <w:t>Тайлор Э. Б. Первобытная культура.</w:t>
      </w:r>
    </w:p>
    <w:p>
      <w:pPr>
        <w:pStyle w:val="ListNumber"/>
        <w:widowControl/>
        <w:spacing w:after="50" w:line="259" w:lineRule="auto"/>
        <w:ind w:left="340" w:hanging="142"/>
      </w:pPr>
      <w:r>
        <w:rPr>
          <w:rFonts w:ascii="DejaVu Serif" w:hAnsi="DejaVu Serif" w:eastAsia="DejaVu Serif"/>
          <w:color w:val="1A2433"/>
          <w:sz w:val="21"/>
        </w:rPr>
        <w:t>Гуссерль Э. Идеи к чистой феноменологии; Кризис европейских наук.</w:t>
      </w:r>
    </w:p>
    <w:p>
      <w:pPr>
        <w:pStyle w:val="ListNumber"/>
        <w:widowControl/>
        <w:spacing w:after="50" w:line="259" w:lineRule="auto"/>
        <w:ind w:left="340" w:hanging="142"/>
      </w:pPr>
      <w:r>
        <w:rPr>
          <w:rFonts w:ascii="DejaVu Serif" w:hAnsi="DejaVu Serif" w:eastAsia="DejaVu Serif"/>
          <w:color w:val="1A2433"/>
          <w:sz w:val="21"/>
        </w:rPr>
        <w:t>Мерло-Понти М. Феноменология восприятия.</w:t>
      </w:r>
    </w:p>
    <w:p>
      <w:pPr>
        <w:pStyle w:val="ListNumber"/>
        <w:widowControl/>
        <w:spacing w:after="50" w:line="259" w:lineRule="auto"/>
        <w:ind w:left="340" w:hanging="142"/>
      </w:pPr>
      <w:r>
        <w:rPr>
          <w:rFonts w:ascii="DejaVu Serif" w:hAnsi="DejaVu Serif" w:eastAsia="DejaVu Serif"/>
          <w:color w:val="1A2433"/>
          <w:sz w:val="21"/>
        </w:rPr>
        <w:t>Кассирер Э. Философия символических форм.</w:t>
      </w:r>
    </w:p>
    <w:p>
      <w:pPr>
        <w:pStyle w:val="ListNumber"/>
        <w:widowControl/>
        <w:spacing w:after="50" w:line="259" w:lineRule="auto"/>
        <w:ind w:left="340" w:hanging="142"/>
      </w:pPr>
      <w:r>
        <w:rPr>
          <w:rFonts w:ascii="DejaVu Serif" w:hAnsi="DejaVu Serif" w:eastAsia="DejaVu Serif"/>
          <w:color w:val="1A2433"/>
          <w:sz w:val="21"/>
        </w:rPr>
        <w:t>Рикёр П. Память, история, забвение; Я-сам как другой.</w:t>
      </w:r>
    </w:p>
    <w:p>
      <w:pPr>
        <w:pStyle w:val="ListNumber"/>
        <w:widowControl/>
        <w:spacing w:after="50" w:line="259" w:lineRule="auto"/>
        <w:ind w:left="340" w:hanging="142"/>
      </w:pPr>
      <w:r>
        <w:rPr>
          <w:rFonts w:ascii="DejaVu Serif" w:hAnsi="DejaVu Serif" w:eastAsia="DejaVu Serif"/>
          <w:color w:val="1A2433"/>
          <w:sz w:val="21"/>
        </w:rPr>
        <w:t>Гадамер Х.-Г. Истина и метод.</w:t>
      </w:r>
    </w:p>
    <w:p>
      <w:pPr>
        <w:pStyle w:val="ListNumber"/>
        <w:widowControl/>
        <w:spacing w:after="50" w:line="259" w:lineRule="auto"/>
        <w:ind w:left="340" w:hanging="142"/>
      </w:pPr>
      <w:r>
        <w:rPr>
          <w:rFonts w:ascii="DejaVu Serif" w:hAnsi="DejaVu Serif" w:eastAsia="DejaVu Serif"/>
          <w:color w:val="1A2433"/>
          <w:sz w:val="21"/>
        </w:rPr>
        <w:t>Поппер К. Логика научного исследования.</w:t>
      </w:r>
    </w:p>
    <w:p>
      <w:pPr>
        <w:pStyle w:val="ListNumber"/>
        <w:widowControl/>
        <w:spacing w:after="50" w:line="259" w:lineRule="auto"/>
        <w:ind w:left="340" w:hanging="142"/>
      </w:pPr>
      <w:r>
        <w:rPr>
          <w:rFonts w:ascii="DejaVu Serif" w:hAnsi="DejaVu Serif" w:eastAsia="DejaVu Serif"/>
          <w:color w:val="1A2433"/>
          <w:sz w:val="21"/>
        </w:rPr>
        <w:t>Кун Т. Структура научных революций.</w:t>
      </w:r>
    </w:p>
    <w:p>
      <w:pPr>
        <w:pStyle w:val="ListNumber"/>
        <w:widowControl/>
        <w:spacing w:after="50" w:line="259" w:lineRule="auto"/>
        <w:ind w:left="340" w:hanging="142"/>
      </w:pPr>
      <w:r>
        <w:rPr>
          <w:rFonts w:ascii="DejaVu Serif" w:hAnsi="DejaVu Serif" w:eastAsia="DejaVu Serif"/>
          <w:color w:val="1A2433"/>
          <w:sz w:val="21"/>
        </w:rPr>
        <w:t>Башляр Г. Формирование научного духа.</w:t>
      </w:r>
    </w:p>
    <w:p>
      <w:pPr>
        <w:pStyle w:val="ListNumber"/>
        <w:widowControl/>
        <w:spacing w:after="50" w:line="259" w:lineRule="auto"/>
        <w:ind w:left="340" w:hanging="142"/>
      </w:pPr>
      <w:r>
        <w:rPr>
          <w:rFonts w:ascii="DejaVu Serif" w:hAnsi="DejaVu Serif" w:eastAsia="DejaVu Serif"/>
          <w:color w:val="1A2433"/>
          <w:sz w:val="21"/>
        </w:rPr>
        <w:t>Стандартная теория множеств, категорий и частичных отображений используется как prior art; точная библиографическая верификация будет выполнена в публикационной стадии Тома IV.</w:t>
      </w:r>
    </w:p>
    <w:p>
      <w:pPr>
        <w:pStyle w:val="ListNumber"/>
        <w:widowControl/>
      </w:pPr>
      <w:r>
        <w:rPr>
          <w:rFonts w:ascii="DejaVu Serif" w:hAnsi="DejaVu Serif" w:eastAsia="DejaVu Serif"/>
          <w:i w:val="0"/>
          <w:color w:val="1A2433"/>
          <w:sz w:val="18"/>
        </w:rPr>
        <w:t>Арнольд В. И. Теория катастроф. М.: Наука, 1990. С. 98-102 — библиографический указатель на шесть качественных выводов теории перестроек.</w:t>
      </w:r>
    </w:p>
    <w:p>
      <w:pPr>
        <w:pStyle w:val="ListNumber"/>
        <w:widowControl/>
      </w:pPr>
      <w:r>
        <w:rPr>
          <w:rFonts w:ascii="DejaVu Serif" w:hAnsi="DejaVu Serif" w:eastAsia="DejaVu Serif"/>
          <w:i w:val="0"/>
          <w:color w:val="1A2433"/>
          <w:sz w:val="18"/>
        </w:rPr>
        <w:t>Арнольд В. И. Лекции о бифуркациях в универсальных семействах // Успехи математических наук. 1972. Т. 27, № 5. С. 119-184; англ. пер. Russian Math. Surveys 27:5, 54-123.</w:t>
      </w:r>
    </w:p>
    <w:p>
      <w:pPr>
        <w:pStyle w:val="ListNumber"/>
        <w:widowControl/>
      </w:pPr>
      <w:r>
        <w:rPr>
          <w:rFonts w:ascii="DejaVu Serif" w:hAnsi="DejaVu Serif" w:eastAsia="DejaVu Serif"/>
          <w:i w:val="0"/>
          <w:color w:val="1A2433"/>
          <w:sz w:val="18"/>
        </w:rPr>
        <w:t>Арнольд В. И. Особенности, бифуркации и катастрофы // Успехи физических наук. 1983. Т. 141, № 4. С. 569-590.</w:t>
      </w:r>
    </w:p>
    <w:p>
      <w:pPr>
        <w:pStyle w:val="ListNumber"/>
        <w:widowControl/>
      </w:pPr>
      <w:r>
        <w:rPr>
          <w:rFonts w:ascii="DejaVu Serif" w:hAnsi="DejaVu Serif" w:eastAsia="DejaVu Serif"/>
          <w:i w:val="0"/>
          <w:color w:val="1A2433"/>
          <w:sz w:val="18"/>
        </w:rPr>
        <w:t>Pearl J. Causality: Models, Reasoning, and Inference. 2nd ed. Cambridge University Press, 2009.</w:t>
      </w:r>
    </w:p>
    <w:p>
      <w:pPr>
        <w:pStyle w:val="ListNumber"/>
        <w:widowControl/>
      </w:pPr>
      <w:r>
        <w:rPr>
          <w:rFonts w:ascii="DejaVu Serif" w:hAnsi="DejaVu Serif" w:eastAsia="DejaVu Serif"/>
          <w:i w:val="0"/>
          <w:color w:val="1A2433"/>
          <w:sz w:val="18"/>
        </w:rPr>
        <w:t>Woodward J. Making Things Happen: A Theory of Causal Explanation. Oxford University Press, 2003.</w:t>
      </w:r>
    </w:p>
    <w:p>
      <w:pPr>
        <w:pStyle w:val="ListNumber"/>
        <w:widowControl/>
      </w:pPr>
      <w:r>
        <w:rPr>
          <w:rFonts w:ascii="DejaVu Serif" w:hAnsi="DejaVu Serif" w:eastAsia="DejaVu Serif"/>
          <w:i w:val="0"/>
          <w:color w:val="1A2433"/>
          <w:sz w:val="18"/>
        </w:rPr>
        <w:t>Sontag E. D. Mathematical Control Theory: Deterministic Finite Dimensional Systems. 2nd ed. Springer, 1998.</w:t>
      </w:r>
    </w:p>
    <w:p>
      <w:pPr>
        <w:pStyle w:val="ListNumber"/>
        <w:widowControl/>
      </w:pPr>
      <w:r>
        <w:rPr>
          <w:rFonts w:ascii="DejaVu Serif" w:hAnsi="DejaVu Serif" w:eastAsia="DejaVu Serif"/>
          <w:i w:val="0"/>
          <w:color w:val="1A2433"/>
          <w:sz w:val="18"/>
        </w:rPr>
        <w:t>Aubin J.-P. Viability Theory. Birkhäuser, 1991.</w:t>
      </w:r>
    </w:p>
    <w:p>
      <w:pPr>
        <w:pStyle w:val="ListNumber"/>
        <w:widowControl/>
      </w:pPr>
      <w:r>
        <w:rPr>
          <w:rFonts w:ascii="DejaVu Serif" w:hAnsi="DejaVu Serif" w:eastAsia="DejaVu Serif"/>
          <w:i w:val="0"/>
          <w:color w:val="1A2433"/>
          <w:sz w:val="18"/>
        </w:rPr>
        <w:t>Nagel T. What Does It All Mean? Chapter 6: Free Will. Oxford University Press, 1987.</w:t>
      </w:r>
    </w:p>
    <w:p>
      <w:pPr>
        <w:pStyle w:val="ListNumber"/>
        <w:widowControl/>
      </w:pPr>
      <w:r>
        <w:t>Леви-Брюль Л. Сверхъестественное в первобытном мышлении. М.: ОГИЗ, 1937; Педагогика-Пресс, 1994. Гл. III.</w:t>
      </w:r>
    </w:p>
    <w:p>
      <w:pPr>
        <w:pStyle w:val="ListNumber"/>
        <w:widowControl/>
      </w:pPr>
      <w:r>
        <w:t>Lévy-Bruhl L. Les Carnets de Lucien Lévy-Bruhl. Paris: PUF, 1949; The Notebooks on Primitive Mentality. Oxford: Blackwell, 1975.</w:t>
      </w:r>
    </w:p>
    <w:p>
      <w:pPr>
        <w:pStyle w:val="ListNumber"/>
        <w:widowControl/>
      </w:pPr>
      <w:r>
        <w:t>Dawes G. W. Participation and Causality: Lévy-Bruhl Revisited. DOI: 10.1177/0008429814526144.</w:t>
      </w:r>
    </w:p>
    <w:p>
      <w:pPr>
        <w:pStyle w:val="ListNumber"/>
        <w:widowControl/>
      </w:pPr>
      <w:r>
        <w:t>Chimisso C. The mind and the faculties: the controversy over primitive mentality. History of the Human Sciences. 2000;13(3).</w:t>
      </w:r>
    </w:p>
    <w:p>
      <w:pPr>
        <w:pStyle w:val="ListNumber"/>
        <w:widowControl/>
      </w:pPr>
      <w:r>
        <w:t>Tylor E. B. Primitive Culture. London: John Murray, 1871.</w:t>
      </w:r>
    </w:p>
    <w:p>
      <w:pPr>
        <w:pStyle w:val="ListNumber"/>
        <w:widowControl/>
      </w:pPr>
      <w:r>
        <w:t>Кант И. Критика чистого разума. A804-805/B832-833; Логика.</w:t>
      </w:r>
    </w:p>
    <w:p>
      <w:pPr>
        <w:pStyle w:val="ListNumber"/>
        <w:widowControl/>
      </w:pPr>
      <w:r>
        <w:t>Библия: Бытие 5:24; Послание к Евреям 11:5; Книга Иова 1-2.</w:t>
      </w:r>
    </w:p>
    <w:p>
      <w:pPr>
        <w:pStyle w:val="ListNumber"/>
        <w:widowControl/>
      </w:pPr>
      <w:r>
        <w:t>The Book of Enoch. Transl. R. H. Charles. London: SPCK, 1917. Public-domain historical translation; modern scholarly dating/status must be cited separately.</w:t>
      </w:r>
    </w:p>
    <w:p>
      <w:pPr>
        <w:pStyle w:val="ListNumber"/>
        <w:widowControl/>
      </w:pPr>
      <w:r>
        <w:t>Laplace P.-S. Essai philosophique sur les probabilités. 1814; Maxwell J. C. Theory of Heat. 1871 — исторические daemon-образы, не KLT-термины.</w:t>
      </w:r>
    </w:p>
    <w:p>
      <w:pPr>
        <w:pStyle w:val="ListNumber"/>
        <w:widowControl/>
        <w:spacing w:after="40"/>
      </w:pPr>
      <w:r>
        <w:rPr>
          <w:rFonts w:ascii="DejaVu Serif" w:hAnsi="DejaVu Serif" w:eastAsia="DejaVu Serif"/>
          <w:b w:val="0"/>
          <w:i w:val="0"/>
          <w:color w:val="1A2433"/>
          <w:sz w:val="18"/>
        </w:rPr>
        <w:t>Платон. Менон; Федр — память, припоминание и двойственность письма.</w:t>
      </w:r>
    </w:p>
    <w:p>
      <w:pPr>
        <w:pStyle w:val="ListNumber"/>
        <w:widowControl/>
        <w:spacing w:after="40"/>
      </w:pPr>
      <w:r>
        <w:rPr>
          <w:rFonts w:ascii="DejaVu Serif" w:hAnsi="DejaVu Serif" w:eastAsia="DejaVu Serif"/>
          <w:b w:val="0"/>
          <w:i w:val="0"/>
          <w:color w:val="1A2433"/>
          <w:sz w:val="18"/>
        </w:rPr>
        <w:t>Аристотель. Вторая аналитика — доказательство, начала и структура знания.</w:t>
      </w:r>
    </w:p>
    <w:p>
      <w:pPr>
        <w:pStyle w:val="ListNumber"/>
        <w:widowControl/>
        <w:spacing w:after="40"/>
      </w:pPr>
      <w:r>
        <w:rPr>
          <w:rFonts w:ascii="DejaVu Serif" w:hAnsi="DejaVu Serif" w:eastAsia="DejaVu Serif"/>
          <w:b w:val="0"/>
          <w:i w:val="0"/>
          <w:color w:val="1A2433"/>
          <w:sz w:val="18"/>
        </w:rPr>
        <w:t>Peirce C. S. Collected Papers — abduction as hypothesis formation.</w:t>
      </w:r>
    </w:p>
    <w:p>
      <w:pPr>
        <w:pStyle w:val="ListNumber"/>
        <w:widowControl/>
        <w:spacing w:after="40"/>
      </w:pPr>
      <w:r>
        <w:rPr>
          <w:rFonts w:ascii="DejaVu Serif" w:hAnsi="DejaVu Serif" w:eastAsia="DejaVu Serif"/>
          <w:b w:val="0"/>
          <w:i w:val="0"/>
          <w:color w:val="1A2433"/>
          <w:sz w:val="18"/>
        </w:rPr>
        <w:t>Poincaré H. Science et méthode; Hadamard J. Essai sur la psychologie de l’invention dans le domaine mathématique.</w:t>
      </w:r>
    </w:p>
    <w:p>
      <w:pPr>
        <w:pStyle w:val="ListNumber"/>
        <w:widowControl/>
        <w:spacing w:after="40"/>
      </w:pPr>
      <w:r>
        <w:rPr>
          <w:rFonts w:ascii="DejaVu Serif" w:hAnsi="DejaVu Serif" w:eastAsia="DejaVu Serif"/>
          <w:b w:val="0"/>
          <w:i w:val="0"/>
          <w:color w:val="1A2433"/>
          <w:sz w:val="18"/>
        </w:rPr>
        <w:t>Polanyi M. The Tacit Dimension — неявное знание и публичное выражение.</w:t>
      </w:r>
    </w:p>
    <w:p>
      <w:pPr>
        <w:pStyle w:val="ListNumber"/>
        <w:widowControl/>
        <w:spacing w:after="40"/>
      </w:pPr>
      <w:r>
        <w:rPr>
          <w:rFonts w:ascii="DejaVu Serif" w:hAnsi="DejaVu Serif" w:eastAsia="DejaVu Serif"/>
          <w:b w:val="0"/>
          <w:i w:val="0"/>
          <w:color w:val="1A2433"/>
          <w:sz w:val="18"/>
        </w:rPr>
        <w:t>Gadamer H.-G. Wahrheit und Methode; Ricoeur P. Le conflit des interprétations; La mémoire, l’histoire, l’oubli.</w:t>
      </w:r>
    </w:p>
    <w:p>
      <w:pPr>
        <w:pStyle w:val="ListNumber"/>
        <w:widowControl/>
        <w:spacing w:after="40"/>
      </w:pPr>
      <w:r>
        <w:rPr>
          <w:rFonts w:ascii="DejaVu Serif" w:hAnsi="DejaVu Serif" w:eastAsia="DejaVu Serif"/>
          <w:b w:val="0"/>
          <w:i w:val="0"/>
          <w:color w:val="1A2433"/>
          <w:sz w:val="18"/>
        </w:rPr>
        <w:t>Husserl E. Die Krisis der europäischen Wissenschaften; приложение о происхождении геометрии и роли записи.</w:t>
      </w:r>
    </w:p>
    <w:p>
      <w:pPr>
        <w:pStyle w:val="ListNumber"/>
        <w:widowControl/>
        <w:spacing w:after="40"/>
      </w:pPr>
      <w:r>
        <w:rPr>
          <w:rFonts w:ascii="DejaVu Serif" w:hAnsi="DejaVu Serif" w:eastAsia="DejaVu Serif"/>
          <w:b w:val="0"/>
          <w:i w:val="0"/>
          <w:color w:val="1A2433"/>
          <w:sz w:val="18"/>
        </w:rPr>
        <w:t>Halbwachs M. La mémoire collective — социальные рамки памяти.</w:t>
      </w:r>
    </w:p>
    <w:p>
      <w:pPr>
        <w:pStyle w:val="ListNumber"/>
        <w:widowControl/>
        <w:spacing w:after="40"/>
      </w:pPr>
      <w:r>
        <w:rPr>
          <w:rFonts w:ascii="DejaVu Serif" w:hAnsi="DejaVu Serif" w:eastAsia="DejaVu Serif"/>
          <w:b w:val="0"/>
          <w:i w:val="0"/>
          <w:color w:val="1A2433"/>
          <w:sz w:val="18"/>
        </w:rPr>
        <w:t>Derrida J. Mal d’archive; Stiegler B. La technique et le temps — архив и техническая внешняя память.</w:t>
      </w:r>
    </w:p>
    <w:p>
      <w:pPr>
        <w:pStyle w:val="ListNumber"/>
        <w:widowControl/>
      </w:pPr>
      <w:r>
        <w:t>Hilbert D. Die Grundlagen der Physik. Erste Mitteilung. Nachrichten von der Königlichen Gesellschaft der Wissenschaften zu Göttingen, Mathematisch-Physikalische Klasse. 1915: 395-407.</w:t>
      </w:r>
    </w:p>
    <w:p>
      <w:pPr>
        <w:pStyle w:val="ListNumber"/>
        <w:widowControl/>
      </w:pPr>
      <w:r>
        <w:t>Hilbert D. Die Grundlagen der Physik. Zweite Mitteilung. Nachrichten von der Gesellschaft der Wissenschaften zu Göttingen, Mathematisch-Physikalische Klasse. 1917: 53-76.</w:t>
      </w:r>
    </w:p>
    <w:p>
      <w:pPr>
        <w:pStyle w:val="ListNumber"/>
        <w:widowControl/>
      </w:pPr>
      <w:r>
        <w:t>Hilbert D. Die Grundlagen der Physik. Mathematische Annalen. 1924; 92: 1-32.</w:t>
      </w:r>
    </w:p>
    <w:p>
      <w:pPr>
        <w:pStyle w:val="ListNumber"/>
        <w:widowControl/>
      </w:pPr>
      <w:r>
        <w:t>Noether E. Invariante Variationsprobleme. Nachrichten von der Gesellschaft der Wissenschaften zu Göttingen, Mathematisch-Physikalische Klasse. 1918: 235-257.</w:t>
      </w:r>
    </w:p>
    <w:p>
      <w:pPr>
        <w:pStyle w:val="ListNumber"/>
        <w:widowControl/>
      </w:pPr>
      <w:r>
        <w:t>Kurpishev I. B. Tom I v197 RU: Axiomatica paketnoy repernoy logiki. Kaliningrad, 2026.</w:t>
      </w:r>
    </w:p>
    <w:p>
      <w:pPr>
        <w:pStyle w:val="ListNumber"/>
        <w:widowControl/>
      </w:pPr>
      <w:r>
        <w:t>Kurpishev I. B. Tom II v1.0: Strogaya neassotsiativnaya paketnaya repernaya geometriya NAPG 3.0. Kaliningrad, 2026.</w:t>
      </w:r>
    </w:p>
    <w:p>
      <w:pPr>
        <w:pStyle w:val="ListNumber"/>
        <w:widowControl/>
      </w:pPr>
      <w:r>
        <w:t>Kurpishev I. B. PIX@PEAKS Fields Contractions Theorem v129T. Project Logic of Kurpishev 2, 2026.</w:t>
      </w:r>
    </w:p>
    <w:p>
      <w:r>
        <w:rPr>
          <w:rFonts w:ascii="DejaVu Serif" w:hAnsi="DejaVu Serif" w:eastAsia="DejaVu Serif"/>
          <w:sz w:val="18"/>
        </w:rPr>
        <w:t>Аристотель. Метафизика; Физика; Вторая аналитика — типы причин, начала и структура доказательного знания.</w:t>
      </w:r>
    </w:p>
    <w:p>
      <w:r>
        <w:rPr>
          <w:rFonts w:ascii="DejaVu Serif" w:hAnsi="DejaVu Serif" w:eastAsia="DejaVu Serif"/>
          <w:sz w:val="18"/>
        </w:rPr>
        <w:t>Кант И. Критика чистого разума; Критика практического разума; Критика способности суждения; Логика — условия опыта, свобода, суждение и архитектоника вопросов о человеке.</w:t>
      </w:r>
    </w:p>
    <w:p>
      <w:r>
        <w:rPr>
          <w:rFonts w:ascii="DejaVu Serif" w:hAnsi="DejaVu Serif" w:eastAsia="DejaVu Serif"/>
          <w:sz w:val="18"/>
        </w:rPr>
        <w:t>Husserl E. Die Krisis der europäischen Wissenschaften und die transzendentale Phänomenologie — жизненный мир, происхождение научных идеализаций и историчность смысла.</w:t>
      </w:r>
    </w:p>
    <w:p>
      <w:r>
        <w:rPr>
          <w:rFonts w:ascii="DejaVu Serif" w:hAnsi="DejaVu Serif" w:eastAsia="DejaVu Serif"/>
          <w:sz w:val="18"/>
        </w:rPr>
        <w:t>Cassirer E. Philosophie der symbolischen Formen — символические формы как различные способы конституирования предметности.</w:t>
      </w:r>
    </w:p>
    <w:p>
      <w:r>
        <w:rPr>
          <w:rFonts w:ascii="DejaVu Serif" w:hAnsi="DejaVu Serif" w:eastAsia="DejaVu Serif"/>
          <w:sz w:val="18"/>
        </w:rPr>
        <w:t>Merleau-Ponty M. Phénoménologie de la perception — телесность и первичная ориентация восприятия.</w:t>
      </w:r>
    </w:p>
    <w:p>
      <w:r>
        <w:rPr>
          <w:rFonts w:ascii="DejaVu Serif" w:hAnsi="DejaVu Serif" w:eastAsia="DejaVu Serif"/>
          <w:sz w:val="18"/>
        </w:rPr>
        <w:t>Bachelard G. La formation de l’esprit scientifique — эпистемологические препятствия и перестройка научного разума.</w:t>
      </w:r>
    </w:p>
    <w:p>
      <w:r>
        <w:rPr>
          <w:rFonts w:ascii="DejaVu Serif" w:hAnsi="DejaVu Serif" w:eastAsia="DejaVu Serif"/>
          <w:sz w:val="18"/>
        </w:rPr>
        <w:t>Popper K. The Logic of Scientific Discovery — фальсифицируемость и критическая проверка.</w:t>
      </w:r>
    </w:p>
    <w:p>
      <w:r>
        <w:rPr>
          <w:rFonts w:ascii="DejaVu Serif" w:hAnsi="DejaVu Serif" w:eastAsia="DejaVu Serif"/>
          <w:sz w:val="18"/>
        </w:rPr>
        <w:t>Kuhn T. The Structure of Scientific Revolutions — парадигмы, нормальная наука и научные революции.</w:t>
      </w:r>
    </w:p>
    <w:p>
      <w:r>
        <w:rPr>
          <w:rFonts w:ascii="DejaVu Serif" w:hAnsi="DejaVu Serif" w:eastAsia="DejaVu Serif"/>
          <w:sz w:val="18"/>
        </w:rPr>
        <w:t>Lakatos I. Falsification and the Methodology of Scientific Research Programmes — исследовательские программы и различение ядра и защитного пояса.</w:t>
      </w:r>
    </w:p>
    <w:p>
      <w:r>
        <w:rPr>
          <w:rFonts w:ascii="DejaVu Serif" w:hAnsi="DejaVu Serif" w:eastAsia="DejaVu Serif"/>
          <w:sz w:val="18"/>
        </w:rPr>
        <w:t>Peirce C. S. Collected Papers — абдукция как порождение гипотез.</w:t>
      </w:r>
    </w:p>
    <w:p>
      <w:r>
        <w:rPr>
          <w:rFonts w:ascii="DejaVu Serif" w:hAnsi="DejaVu Serif" w:eastAsia="DejaVu Serif"/>
          <w:sz w:val="18"/>
        </w:rPr>
        <w:t>Polanyi M. Personal Knowledge; The Tacit Dimension — неявное знание и личностное участие в научном суждении.</w:t>
      </w:r>
    </w:p>
    <w:p>
      <w:r>
        <w:rPr>
          <w:rFonts w:ascii="DejaVu Serif" w:hAnsi="DejaVu Serif" w:eastAsia="DejaVu Serif"/>
          <w:sz w:val="18"/>
        </w:rPr>
        <w:t>Canguilhem G. Le normal et le pathologique — нормативность живого и критика универсальной шкалы нормы.</w:t>
      </w:r>
    </w:p>
    <w:p>
      <w:r>
        <w:rPr>
          <w:rFonts w:ascii="DejaVu Serif" w:hAnsi="DejaVu Serif" w:eastAsia="DejaVu Serif"/>
          <w:sz w:val="18"/>
        </w:rPr>
        <w:t>Simondon G. L’individuation à la lumière des notions de forme et d’information; Du mode d’existence des objets techniques — индивидуация и технический объект.</w:t>
      </w:r>
    </w:p>
    <w:p>
      <w:r>
        <w:rPr>
          <w:rFonts w:ascii="DejaVu Serif" w:hAnsi="DejaVu Serif" w:eastAsia="DejaVu Serif"/>
          <w:sz w:val="18"/>
        </w:rPr>
        <w:t>Arendt H. The Human Condition — действие, публичность, множественность и необратимость поступка.</w:t>
      </w:r>
    </w:p>
    <w:p>
      <w:r>
        <w:rPr>
          <w:rFonts w:ascii="DejaVu Serif" w:hAnsi="DejaVu Serif" w:eastAsia="DejaVu Serif"/>
          <w:sz w:val="18"/>
        </w:rPr>
        <w:t>Levinas E. Totalité et Infini — Другой и первичность ответственности.</w:t>
      </w:r>
    </w:p>
    <w:p>
      <w:r>
        <w:rPr>
          <w:rFonts w:ascii="DejaVu Serif" w:hAnsi="DejaVu Serif" w:eastAsia="DejaVu Serif"/>
          <w:sz w:val="18"/>
        </w:rPr>
        <w:t>Ricoeur P. Soi-même comme un autre; La mémoire, l’histoire, l’oubli — повествовательная идентичность, память, свидетельство и ответственность.</w:t>
      </w:r>
    </w:p>
    <w:p>
      <w:r>
        <w:rPr>
          <w:rFonts w:ascii="DejaVu Serif" w:hAnsi="DejaVu Serif" w:eastAsia="DejaVu Serif"/>
          <w:sz w:val="18"/>
        </w:rPr>
        <w:t>Jonas H. Das Prinzip Verantwortung — ответственность в условиях технической мощности.</w:t>
      </w:r>
    </w:p>
    <w:p>
      <w:r>
        <w:rPr>
          <w:rFonts w:ascii="DejaVu Serif" w:hAnsi="DejaVu Serif" w:eastAsia="DejaVu Serif"/>
          <w:sz w:val="18"/>
        </w:rPr>
        <w:t>Whitehead A. N. Process and Reality — процессуальная онтология как классический фон, не тождественный KLT-архитектуре.</w:t>
      </w:r>
    </w:p>
    <w:p>
      <w:pPr>
        <w:widowControl/>
      </w:pPr>
      <w:r>
        <w:rPr>
          <w:rFonts w:ascii="DejaVu Serif" w:hAnsi="DejaVu Serif" w:eastAsia="DejaVu Serif"/>
          <w:i/>
          <w:color w:val="B5534B"/>
          <w:sz w:val="18"/>
        </w:rPr>
        <w:t>SOURCE NOTE. Указатель локализован: Арнольд 1990, с. 98-102. T4-BLK-ARNOLD-001 остаётся PARTIAL до включения и сверки первичного скана страниц.</w:t>
      </w:r>
    </w:p>
    <w:tbl>
      <w:tblPr>
        <w:tblW w:type="auto" w:w="0"/>
        <w:jc w:val="center"/>
        <w:tblLayout w:type="fixed"/>
        <w:tblLook w:firstColumn="1" w:firstRow="1" w:lastColumn="0" w:lastRow="0" w:noHBand="0" w:noVBand="1" w:val="04A0"/>
      </w:tblPr>
      <w:tblGrid>
        <w:gridCol w:w="9638"/>
      </w:tblGrid>
      <w:tr>
        <w:trPr>
          <w:cantSplit/>
          <w:trHeight w:hRule="atLeast"/>
          <w:tblHeader w:val="true"/>
        </w:trPr>
        <w:tc>
          <w:tcPr>
            <w:tcW w:type="dxa" w:w="9865"/>
            <w:shd w:fill="EAF1F8"/>
            <w:tcMar>
              <w:top w:w="90" w:type="dxa"/>
              <w:start w:w="100" w:type="dxa"/>
              <w:bottom w:w="90" w:type="dxa"/>
              <w:end w:w="100" w:type="dxa"/>
            </w:tcMar>
            <w:vAlign w:val="center"/>
            <w:tcBorders>
              <w:top w:sz="12" w:val="single" w:color="173A61"/>
              <w:left w:sz="12" w:val="single" w:color="173A61"/>
              <w:bottom w:sz="12" w:val="single" w:color="173A61"/>
              <w:right w:sz="12" w:val="single" w:color="173A61"/>
            </w:tcBorders>
          </w:tcPr>
          <w:p>
            <w:pPr>
              <w:widowControl/>
              <w:spacing w:after="0" w:line="252" w:lineRule="auto"/>
            </w:pPr>
            <w:r>
              <w:rPr>
                <w:rFonts w:ascii="DejaVu Serif" w:hAnsi="DejaVu Serif" w:eastAsia="DejaVu Serif"/>
                <w:color w:val="1A2433"/>
                <w:sz w:val="17"/>
              </w:rPr>
              <w:t>PUBLICATION BOUNDARY. Имена классических авторов служат источниковым контекстом и не включаются в авторскую атрибуцию KLT. Новизна заявляется в архитектуре Курпишева Ивана Борисовича: Human_R, свобода начинания, проектная апертура, дырчатая причинность, Reper разворота, ретро-Reper и blocker-safe D_resp. A6_Arnold цитируется только как шесть качественных выводов с указателем Арнольд 1990, с. 98-102; равенство амплитуд и лавирование остаются авторскими KLT-расширениями. Первичный page-scan должен закрыть T4-BLK-ARNOLD-001.</w:t>
            </w:r>
          </w:p>
        </w:tc>
      </w:tr>
    </w:tbl>
    <w:p>
      <w:pPr>
        <w:widowControl/>
        <w:spacing w:after="0"/>
      </w:pPr>
    </w:p>
    <w:p>
      <w:pPr>
        <w:widowControl/>
      </w:pPr>
      <w:r>
        <w:br w:type="page"/>
      </w:r>
    </w:p>
    <w:p>
      <w:pPr>
        <w:pStyle w:val="Heading1"/>
        <w:keepNext/>
        <w:widowControl/>
      </w:pPr>
      <w:r>
        <w:rPr>
          <w:rFonts w:ascii="DejaVu Sans" w:hAnsi="DejaVu Sans" w:eastAsia="DejaVu Sans"/>
          <w:i w:val="0"/>
          <w:color w:val="1A2433"/>
          <w:sz w:val="24"/>
        </w:rPr>
        <w:t>Приложение E. Авторские заметки, AK-6 и реестр блокеров</w:t>
      </w:r>
    </w:p>
    <w:p>
      <w:pPr>
        <w:pStyle w:val="Heading2"/>
        <w:keepNext/>
        <w:widowControl/>
      </w:pPr>
      <w:r>
        <w:rPr>
          <w:rFonts w:ascii="DejaVu Sans" w:hAnsi="DejaVu Sans" w:eastAsia="DejaVu Sans"/>
          <w:i w:val="0"/>
          <w:color w:val="1A2433"/>
          <w:sz w:val="21"/>
        </w:rPr>
        <w:t>E.1. Source-card T4-SRC-009</w:t>
      </w:r>
    </w:p>
    <w:tbl>
      <w:tblPr>
        <w:tblW w:type="auto" w:w="0"/>
        <w:jc w:val="center"/>
        <w:tblLayout w:type="fixed"/>
        <w:tblLook w:firstColumn="1" w:firstRow="1" w:lastColumn="0" w:lastRow="0" w:noHBand="0" w:noVBand="1" w:val="04A0"/>
      </w:tblPr>
      <w:tblGrid>
        <w:gridCol w:w="9865"/>
      </w:tblGrid>
      <w:tr>
        <w:trPr>
          <w:cantSplit/>
          <w:trHeight w:hRule="atLeast"/>
          <w:tblHeader w:val="true"/>
        </w:trPr>
        <w:tc>
          <w:tcPr>
            <w:tcW w:type="dxa" w:w="9000"/>
            <w:shd w:fill="F7F4EA"/>
            <w:tcMar>
              <w:top w:w="90" w:type="dxa"/>
              <w:start w:w="100" w:type="dxa"/>
              <w:bottom w:w="90" w:type="dxa"/>
              <w:end w:w="100" w:type="dxa"/>
            </w:tcMar>
            <w:tcBorders>
              <w:top w:sz="14" w:val="single" w:color="A97825"/>
              <w:left w:sz="14" w:val="single" w:color="A97825"/>
              <w:bottom w:sz="14" w:val="single" w:color="A97825"/>
              <w:right w:sz="14" w:val="single" w:color="A97825"/>
            </w:tcBorders>
            <w:vAlign w:val="center"/>
          </w:tcPr>
          <w:p>
            <w:pPr>
              <w:widowControl/>
              <w:spacing w:after="0" w:line="259" w:lineRule="auto"/>
            </w:pPr>
            <w:r>
              <w:rPr>
                <w:rFonts w:ascii="DejaVu Sans" w:hAnsi="DejaVu Sans" w:eastAsia="DejaVu Sans"/>
                <w:b/>
                <w:color w:val="A97825"/>
                <w:sz w:val="18"/>
              </w:rPr>
              <w:t xml:space="preserve">SOURCE-CARD. </w:t>
            </w:r>
            <w:r>
              <w:rPr>
                <w:rFonts w:ascii="DejaVu Serif" w:hAnsi="DejaVu Serif" w:eastAsia="DejaVu Serif"/>
                <w:i w:val="0"/>
                <w:color w:val="1A2433"/>
                <w:sz w:val="18"/>
              </w:rPr>
              <w:t>Источник: авторский документ «записки.docx», три близкие редакции от 17 июля 2026 г. Содержит тезисы: свобода воли как свобода начинать Движи; несобственные проектные точки и линии в реальном настоящем РПЛД; зарастающие причинные дырки; необходимость поддерживающих действий; технические длинные цепи; шесть пунктов сопротивления/Разворота. Импорт: AUTHORIAL PRIMARY. Повышение статуса: запрещено без отдельного доказательства или наблюдения.</w:t>
            </w:r>
          </w:p>
        </w:tc>
      </w:tr>
    </w:tbl>
    <w:p>
      <w:pPr>
        <w:pStyle w:val="Heading2"/>
        <w:keepNext/>
        <w:widowControl/>
      </w:pPr>
      <w:r>
        <w:rPr>
          <w:rFonts w:ascii="DejaVu Sans" w:hAnsi="DejaVu Sans" w:eastAsia="DejaVu Sans"/>
          <w:i w:val="0"/>
          <w:color w:val="1A2433"/>
          <w:sz w:val="21"/>
        </w:rPr>
        <w:t>E.2. Реестр блокеров</w:t>
      </w:r>
    </w:p>
    <w:tbl>
      <w:tblPr>
        <w:tblW w:type="auto" w:w="0"/>
        <w:jc w:val="center"/>
        <w:tblLayout w:type="fixed"/>
        <w:tblLook w:firstColumn="1" w:firstRow="1" w:lastColumn="0" w:lastRow="0" w:noHBand="0" w:noVBand="1" w:val="04A0"/>
      </w:tblPr>
      <w:tblGrid>
        <w:gridCol w:w="2466"/>
        <w:gridCol w:w="2466"/>
        <w:gridCol w:w="2466"/>
        <w:gridCol w:w="2466"/>
      </w:tblGrid>
      <w:tr>
        <w:trPr>
          <w:cantSplit w:val="true"/>
          <w:trHeight w:hRule="atLeast"/>
          <w:tblHeader w:val="true"/>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5"/>
              </w:rPr>
              <w:t>ID</w:t>
            </w:r>
          </w:p>
        </w:tc>
        <w:tc>
          <w:tcPr>
            <w:tcW w:type="dxa" w:w="30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5"/>
              </w:rPr>
              <w:t>Блокер</w:t>
            </w:r>
          </w:p>
        </w:tc>
        <w:tc>
          <w:tcPr>
            <w:tcW w:type="dxa" w:w="23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5"/>
              </w:rPr>
              <w:t>Влияние</w:t>
            </w:r>
          </w:p>
        </w:tc>
        <w:tc>
          <w:tcPr>
            <w:tcW w:type="dxa" w:w="23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173A61"/>
          </w:tcPr>
          <w:p>
            <w:pPr>
              <w:widowControl/>
              <w:spacing w:after="0" w:before="0" w:line="252" w:lineRule="auto"/>
              <w:jc w:val="center"/>
            </w:pPr>
            <w:r>
              <w:rPr>
                <w:rFonts w:ascii="DejaVu Sans" w:hAnsi="DejaVu Sans" w:eastAsia="DejaVu Sans"/>
                <w:b/>
                <w:color w:val="FFFFFF"/>
                <w:sz w:val="15"/>
              </w:rPr>
              <w:t>Условие закрытия</w:t>
            </w:r>
          </w:p>
        </w:tc>
      </w:tr>
      <w:tr>
        <w:trPr>
          <w:cantSplit w:val="true"/>
          <w:trHeight w:hRule="atLeast"/>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center"/>
            </w:pPr>
            <w:r>
              <w:rPr>
                <w:rFonts w:ascii="DejaVu Serif" w:hAnsi="DejaVu Serif" w:eastAsia="DejaVu Serif"/>
                <w:b w:val="0"/>
                <w:color w:val="1A2433"/>
                <w:sz w:val="15"/>
              </w:rPr>
              <w:t>T4-BLK-ARNOLD-001</w:t>
            </w:r>
          </w:p>
        </w:tc>
        <w:tc>
          <w:tcPr>
            <w:tcW w:type="dxa" w:w="30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Указатель найден: «Теория катастроф», Наука, 1990, с. 98-102; первичный скан не включён.</w:t>
            </w:r>
          </w:p>
        </w:tc>
        <w:tc>
          <w:tcPr>
            <w:tcW w:type="dxa" w:w="23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A6_Arnold допустимо цитировать с указателем; строгая текстология остаётся PARTIAL.</w:t>
            </w:r>
          </w:p>
        </w:tc>
        <w:tc>
          <w:tcPr>
            <w:tcW w:type="dxa" w:w="23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Получить скан страниц 98-102, сверить шесть пунктов и зафиксировать hash/source-card.</w:t>
            </w:r>
          </w:p>
        </w:tc>
      </w:tr>
      <w:tr>
        <w:trPr>
          <w:cantSplit w:val="true"/>
          <w:trHeight w:hRule="atLeast"/>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center"/>
            </w:pPr>
            <w:r>
              <w:rPr>
                <w:rFonts w:ascii="DejaVu Serif" w:hAnsi="DejaVu Serif" w:eastAsia="DejaVu Serif"/>
                <w:b w:val="0"/>
                <w:color w:val="1A2433"/>
                <w:sz w:val="15"/>
              </w:rPr>
              <w:t>T4-BLK-WILL-EMP-001</w:t>
            </w:r>
          </w:p>
        </w:tc>
        <w:tc>
          <w:tcPr>
            <w:tcW w:type="dxa" w:w="30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Нет операционального эксперимента, различающего FreeInit⁰/FreeInit⁺.</w:t>
            </w:r>
          </w:p>
        </w:tc>
        <w:tc>
          <w:tcPr>
            <w:tcW w:type="dxa" w:w="23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Человеческая исключительность и реальность h_Δ остаются PHIL-HYP/MODEL.</w:t>
            </w:r>
          </w:p>
        </w:tc>
        <w:tc>
          <w:tcPr>
            <w:tcW w:type="dxa" w:w="23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Предрегистрация, измеримый объект, нулевая модель и независимый run.</w:t>
            </w:r>
          </w:p>
        </w:tc>
      </w:tr>
      <w:tr>
        <w:trPr>
          <w:cantSplit w:val="true"/>
          <w:trHeight w:hRule="atLeast"/>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center"/>
            </w:pPr>
            <w:r>
              <w:rPr>
                <w:rFonts w:ascii="DejaVu Serif" w:hAnsi="DejaVu Serif" w:eastAsia="DejaVu Serif"/>
                <w:b w:val="0"/>
                <w:color w:val="1A2433"/>
                <w:sz w:val="15"/>
              </w:rPr>
              <w:t>T4-BLK-RESP-001</w:t>
            </w:r>
          </w:p>
        </w:tc>
        <w:tc>
          <w:tcPr>
            <w:tcW w:type="dxa" w:w="30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Нет универсального Dom_resp.</w:t>
            </w:r>
          </w:p>
        </w:tc>
        <w:tc>
          <w:tcPr>
            <w:tcW w:type="dxa" w:w="23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RespProfile нельзя использовать как моральный/юридический вердикт.</w:t>
            </w:r>
          </w:p>
        </w:tc>
        <w:tc>
          <w:tcPr>
            <w:tcW w:type="dxa" w:w="23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FFFFF"/>
          </w:tcPr>
          <w:p>
            <w:pPr>
              <w:widowControl/>
              <w:spacing w:after="0" w:before="0" w:line="252" w:lineRule="auto"/>
              <w:jc w:val="left"/>
            </w:pPr>
            <w:r>
              <w:rPr>
                <w:rFonts w:ascii="DejaVu Serif" w:hAnsi="DejaVu Serif" w:eastAsia="DejaVu Serif"/>
                <w:b w:val="0"/>
                <w:color w:val="1A2433"/>
                <w:sz w:val="15"/>
              </w:rPr>
              <w:t>Создать предметный домен с экспертной и правовой верификацией.</w:t>
            </w:r>
          </w:p>
        </w:tc>
      </w:tr>
      <w:tr>
        <w:trPr>
          <w:cantSplit w:val="true"/>
          <w:trHeight w:hRule="atLeast"/>
        </w:trPr>
        <w:tc>
          <w:tcPr>
            <w:tcW w:type="dxa" w:w="1512"/>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center"/>
            </w:pPr>
            <w:r>
              <w:rPr>
                <w:rFonts w:ascii="DejaVu Serif" w:hAnsi="DejaVu Serif" w:eastAsia="DejaVu Serif"/>
                <w:b w:val="0"/>
                <w:color w:val="1A2433"/>
                <w:sz w:val="15"/>
              </w:rPr>
              <w:t>T4-BLK-RPLD-001</w:t>
            </w:r>
          </w:p>
        </w:tc>
        <w:tc>
          <w:tcPr>
            <w:tcW w:type="dxa" w:w="309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РПЛД ещё не имеет единой формальной спецификации в Томах I-IV.</w:t>
            </w:r>
          </w:p>
        </w:tc>
        <w:tc>
          <w:tcPr>
            <w:tcW w:type="dxa" w:w="23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Связь свободы с «реальным настоящим РПЛД» остаётся bridge MODEL.</w:t>
            </w:r>
          </w:p>
        </w:tc>
        <w:tc>
          <w:tcPr>
            <w:tcW w:type="dxa" w:w="2376"/>
            <w:vAlign w:val="center"/>
            <w:tcMar>
              <w:top w:w="90" w:type="dxa"/>
              <w:start w:w="100" w:type="dxa"/>
              <w:bottom w:w="90" w:type="dxa"/>
              <w:end w:w="100" w:type="dxa"/>
            </w:tcMar>
            <w:tcBorders>
              <w:top w:sz="8" w:val="single" w:color="9AA9B8"/>
              <w:left w:sz="8" w:val="single" w:color="9AA9B8"/>
              <w:bottom w:sz="8" w:val="single" w:color="9AA9B8"/>
              <w:right w:sz="8" w:val="single" w:color="9AA9B8"/>
            </w:tcBorders>
            <w:shd w:fill="F4F7FA"/>
          </w:tcPr>
          <w:p>
            <w:pPr>
              <w:widowControl/>
              <w:spacing w:after="0" w:before="0" w:line="252" w:lineRule="auto"/>
              <w:jc w:val="left"/>
            </w:pPr>
            <w:r>
              <w:rPr>
                <w:rFonts w:ascii="DejaVu Serif" w:hAnsi="DejaVu Serif" w:eastAsia="DejaVu Serif"/>
                <w:b w:val="0"/>
                <w:color w:val="1A2433"/>
                <w:sz w:val="15"/>
              </w:rPr>
              <w:t>Отдельная глава определения РПЛД, Dom/Cod и связи с FOS slice.</w:t>
            </w:r>
          </w:p>
        </w:tc>
      </w:tr>
      <w:tr>
        <w:trPr>
          <w:cantSplit w:val="true"/>
          <w:trHeight w:hRule="atLeast"/>
        </w:trPr>
        <w:tc>
          <w:tcPr>
            <w:tcW w:type="dxa" w:w="2466"/>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T4-BLK-ML-ILL-001</w:t>
            </w:r>
          </w:p>
        </w:tc>
        <w:tc>
          <w:tcPr>
            <w:tcW w:type="dxa" w:w="2466"/>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Три poster originals доступны как File Library references, но exact bytes не смонтированы в текущий sandbox.</w:t>
            </w:r>
          </w:p>
        </w:tc>
        <w:tc>
          <w:tcPr>
            <w:tcW w:type="dxa" w:w="2466"/>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В frozen ZIP входят analytic redrawings и register, не оригиналы.</w:t>
            </w:r>
          </w:p>
        </w:tc>
        <w:tc>
          <w:tcPr>
            <w:tcW w:type="dxa" w:w="2466"/>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Импортировать exact image bytes и сверить SHA-256.</w:t>
            </w:r>
          </w:p>
        </w:tc>
      </w:tr>
      <w:tr>
        <w:trPr>
          <w:cantSplit w:val="true"/>
          <w:trHeight w:hRule="atLeast"/>
        </w:trPr>
        <w:tc>
          <w:tcPr>
            <w:tcW w:type="dxa" w:w="2466"/>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T4-BLK-KMAN-001</w:t>
            </w:r>
          </w:p>
        </w:tc>
        <w:tc>
          <w:tcPr>
            <w:tcW w:type="dxa" w:w="2466"/>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Полный atlas/cocycle и постоянная размерность «многообразия Курпишева» не заданы.</w:t>
            </w:r>
          </w:p>
        </w:tc>
        <w:tc>
          <w:tcPr>
            <w:tcW w:type="dxa" w:w="2466"/>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Разрешён термин stratified Reper-projective system, не smooth/projective manifold.</w:t>
            </w:r>
          </w:p>
        </w:tc>
        <w:tc>
          <w:tcPr>
            <w:tcW w:type="dxa" w:w="2466"/>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Задать carrier, charts, PGL transitions, frontier control и доказать cocycle.</w:t>
            </w:r>
          </w:p>
        </w:tc>
      </w:tr>
      <w:tr>
        <w:trPr>
          <w:cantSplit w:val="true"/>
          <w:trHeight w:hRule="atLeast"/>
        </w:trPr>
        <w:tc>
          <w:tcPr>
            <w:tcW w:type="dxa" w:w="2466"/>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T4-BLK-PIT-001</w:t>
            </w:r>
          </w:p>
        </w:tc>
        <w:tc>
          <w:tcPr>
            <w:tcW w:type="dxa" w:w="2466"/>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PIT определён формально, но не реализован как проверенный алгоритм.</w:t>
            </w:r>
          </w:p>
        </w:tc>
        <w:tc>
          <w:tcPr>
            <w:tcW w:type="dxa" w:w="2466"/>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Идемпотентность относится к frozen policy model.</w:t>
            </w:r>
          </w:p>
        </w:tc>
        <w:tc>
          <w:tcPr>
            <w:tcW w:type="dxa" w:w="2466"/>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Создать schema/code/test vectors and certificate.</w:t>
            </w:r>
          </w:p>
        </w:tc>
      </w:tr>
      <w:tr>
        <w:trPr>
          <w:cantSplit w:val="true"/>
          <w:trHeight w:hRule="atLeast"/>
        </w:trPr>
        <w:tc>
          <w:tcPr>
            <w:tcW w:type="dxa" w:w="2466"/>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T4-BLK-ML-EXPORT-001</w:t>
            </w:r>
          </w:p>
        </w:tc>
        <w:tc>
          <w:tcPr>
            <w:tcW w:type="dxa" w:w="2466"/>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Нет domain adapters для ML-аналога в физике, химии, биологии и экономике.</w:t>
            </w:r>
          </w:p>
        </w:tc>
        <w:tc>
          <w:tcPr>
            <w:tcW w:type="dxa" w:w="2466"/>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Export matrix имеет EMP-PLAN/METHOD статус.</w:t>
            </w:r>
          </w:p>
        </w:tc>
        <w:tc>
          <w:tcPr>
            <w:tcW w:type="dxa" w:w="2466"/>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Для каждого домена определить carrier, data, null, calibration, external run.</w:t>
            </w:r>
          </w:p>
        </w:tc>
      </w:tr>
      <w:tr>
        <w:trPr>
          <w:cantSplit w:val="true"/>
          <w:trHeight w:hRule="atLeast"/>
        </w:trPr>
        <w:tc>
          <w:tcPr>
            <w:tcW w:type="dxa" w:w="2466"/>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4"/>
              </w:rPr>
              <w:t>T4-BLK-LEVY-PAGE-001</w:t>
            </w:r>
          </w:p>
        </w:tc>
        <w:tc>
          <w:tcPr>
            <w:tcW w:type="dxa" w:w="2466"/>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4"/>
              </w:rPr>
              <w:t>Точная страница исходной цитаты зависит от русского издания.</w:t>
            </w:r>
          </w:p>
        </w:tc>
        <w:tc>
          <w:tcPr>
            <w:tcW w:type="dxa" w:w="2466"/>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4"/>
              </w:rPr>
              <w:t>Цитата локализована в главе III, но freeze-page locator отсутствует.</w:t>
            </w:r>
          </w:p>
        </w:tc>
        <w:tc>
          <w:tcPr>
            <w:tcW w:type="dxa" w:w="2466"/>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4"/>
              </w:rPr>
              <w:t>Выбрать каноническое издание, зафиксировать страницу и hash.</w:t>
            </w:r>
          </w:p>
        </w:tc>
      </w:tr>
      <w:tr>
        <w:trPr>
          <w:cantSplit w:val="true"/>
          <w:trHeight w:hRule="atLeast"/>
        </w:trPr>
        <w:tc>
          <w:tcPr>
            <w:tcW w:type="dxa" w:w="2466"/>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4"/>
              </w:rPr>
              <w:t>T4-BLK-GALILEO-DEMON-001</w:t>
            </w:r>
          </w:p>
        </w:tc>
        <w:tc>
          <w:tcPr>
            <w:tcW w:type="dxa" w:w="2466"/>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4"/>
              </w:rPr>
              <w:t>«Демон Галилея» не является устойчивым стандартным термином.</w:t>
            </w:r>
          </w:p>
        </w:tc>
        <w:tc>
          <w:tcPr>
            <w:tcW w:type="dxa" w:w="2466"/>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4"/>
              </w:rPr>
              <w:t>Используется только как авторский daemon-class.</w:t>
            </w:r>
          </w:p>
        </w:tc>
        <w:tc>
          <w:tcPr>
            <w:tcW w:type="dxa" w:w="2466"/>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4"/>
              </w:rPr>
              <w:t>Дать самостоятельное определение или заменить на «галилеевская идеализация».</w:t>
            </w:r>
          </w:p>
        </w:tc>
      </w:tr>
      <w:tr>
        <w:trPr>
          <w:cantSplit w:val="true"/>
          <w:trHeight w:hRule="atLeast"/>
        </w:trPr>
        <w:tc>
          <w:tcPr>
            <w:tcW w:type="dxa" w:w="2466"/>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4"/>
              </w:rPr>
              <w:t>T4-BLK-RMODE-EMP-001</w:t>
            </w:r>
          </w:p>
        </w:tc>
        <w:tc>
          <w:tcPr>
            <w:tcW w:type="dxa" w:w="2466"/>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4"/>
              </w:rPr>
              <w:t>Нет операциональной методики различения R-режимов.</w:t>
            </w:r>
          </w:p>
        </w:tc>
        <w:tc>
          <w:tcPr>
            <w:tcW w:type="dxa" w:w="2466"/>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4"/>
              </w:rPr>
              <w:t>Атлас остаётся MODEL/HIST-HYP.</w:t>
            </w:r>
          </w:p>
        </w:tc>
        <w:tc>
          <w:tcPr>
            <w:tcW w:type="dxa" w:w="2466"/>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4"/>
              </w:rPr>
              <w:t>Корпус, признаки, кодировщики, inter-rater reliability, preregistration.</w:t>
            </w:r>
          </w:p>
        </w:tc>
      </w:tr>
      <w:tr>
        <w:trPr>
          <w:cantSplit w:val="true"/>
          <w:trHeight w:hRule="atLeast"/>
        </w:trPr>
        <w:tc>
          <w:tcPr>
            <w:tcW w:type="dxa" w:w="2466"/>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4"/>
              </w:rPr>
              <w:t>T4-BLK-CONFUCIAN-001</w:t>
            </w:r>
          </w:p>
        </w:tc>
        <w:tc>
          <w:tcPr>
            <w:tcW w:type="dxa" w:w="2466"/>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4"/>
              </w:rPr>
              <w:t>Смешение R−02/R−2/R−03/R−3 в конфуцианстве не проверено.</w:t>
            </w:r>
          </w:p>
        </w:tc>
        <w:tc>
          <w:tcPr>
            <w:tcW w:type="dxa" w:w="2466"/>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4"/>
              </w:rPr>
              <w:t>Тезис не входит в исторический факт-слой.</w:t>
            </w:r>
          </w:p>
        </w:tc>
        <w:tc>
          <w:tcPr>
            <w:tcW w:type="dxa" w:w="2466"/>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4"/>
              </w:rPr>
              <w:t>Сформировать корпус и сравнительную карту текстов.</w:t>
            </w:r>
          </w:p>
        </w:tc>
      </w:tr>
      <w:tr>
        <w:trPr>
          <w:cantSplit w:val="true"/>
          <w:trHeight w:hRule="atLeast"/>
        </w:trPr>
        <w:tc>
          <w:tcPr>
            <w:tcW w:type="dxa" w:w="2466"/>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4"/>
              </w:rPr>
              <w:t>T4-BLK-ENOCH-HIST-001</w:t>
            </w:r>
          </w:p>
        </w:tc>
        <w:tc>
          <w:tcPr>
            <w:tcW w:type="dxa" w:w="2466"/>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4"/>
              </w:rPr>
              <w:t>Енохов переход к RPLD не имеет исторической верификации.</w:t>
            </w:r>
          </w:p>
        </w:tc>
        <w:tc>
          <w:tcPr>
            <w:tcW w:type="dxa" w:w="2466"/>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4"/>
              </w:rPr>
              <w:t>Разрешён только HERM-MODEL.</w:t>
            </w:r>
          </w:p>
        </w:tc>
        <w:tc>
          <w:tcPr>
            <w:tcW w:type="dxa" w:w="2466"/>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4"/>
              </w:rPr>
              <w:t>Раздельный текстологический и историко-религиоведческий анализ.</w:t>
            </w:r>
          </w:p>
        </w:tc>
      </w:tr>
      <w:tr>
        <w:trPr>
          <w:cantSplit w:val="true"/>
          <w:trHeight w:hRule="atLeast"/>
        </w:trPr>
        <w:tc>
          <w:tcPr>
            <w:tcW w:type="dxa" w:w="2466"/>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4"/>
              </w:rPr>
              <w:t>T4-BLK-SATAN-COVENANT-001</w:t>
            </w:r>
          </w:p>
        </w:tc>
        <w:tc>
          <w:tcPr>
            <w:tcW w:type="dxa" w:w="2466"/>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4"/>
              </w:rPr>
              <w:t>Гипотеза о договоре Сатаны не уничтожать мир не следует прямо из Книги Иова.</w:t>
            </w:r>
          </w:p>
        </w:tc>
        <w:tc>
          <w:tcPr>
            <w:tcW w:type="dxa" w:w="2466"/>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4"/>
              </w:rPr>
              <w:t>Не включается как текстовый факт.</w:t>
            </w:r>
          </w:p>
        </w:tc>
        <w:tc>
          <w:tcPr>
            <w:tcW w:type="dxa" w:w="2466"/>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4"/>
              </w:rPr>
              <w:t>Предоставить прямой источник либо оставить авторской догадкой.</w:t>
            </w:r>
          </w:p>
        </w:tc>
      </w:tr>
      <w:tr>
        <w:trPr>
          <w:cantSplit w:val="true"/>
          <w:trHeight w:hRule="atLeast"/>
        </w:trPr>
        <w:tc>
          <w:tcPr>
            <w:tcW w:type="dxa" w:w="2466"/>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4"/>
              </w:rPr>
              <w:t>T4-BLK-MELICHRON-001</w:t>
            </w:r>
          </w:p>
        </w:tc>
        <w:tc>
          <w:tcPr>
            <w:tcW w:type="dxa" w:w="2466"/>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4"/>
              </w:rPr>
              <w:t>Melichron не имеет определения carrier/etymology/relation_to_FOS.</w:t>
            </w:r>
          </w:p>
        </w:tc>
        <w:tc>
          <w:tcPr>
            <w:tcW w:type="dxa" w:w="2466"/>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4"/>
              </w:rPr>
              <w:t>Формулы с Melichron не участвуют в доказательствах.</w:t>
            </w:r>
          </w:p>
        </w:tc>
        <w:tc>
          <w:tcPr>
            <w:tcW w:type="dxa" w:w="2466"/>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4"/>
              </w:rPr>
              <w:t>Дать definition card и relation theorem.</w:t>
            </w:r>
          </w:p>
        </w:tc>
      </w:tr>
      <w:tr>
        <w:trPr>
          <w:cantSplit w:val="true"/>
          <w:trHeight w:hRule="atLeast"/>
        </w:trPr>
        <w:tc>
          <w:tcPr>
            <w:tcW w:type="dxa" w:w="2466"/>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4"/>
              </w:rPr>
              <w:t>T4-BLK-CHI-FOS-001</w:t>
            </w:r>
          </w:p>
        </w:tc>
        <w:tc>
          <w:tcPr>
            <w:tcW w:type="dxa" w:w="2466"/>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4"/>
              </w:rPr>
              <w:t>Beyond(FOS) и χ не типизированы.</w:t>
            </w:r>
          </w:p>
        </w:tc>
        <w:tc>
          <w:tcPr>
            <w:tcW w:type="dxa" w:w="2466"/>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4"/>
              </w:rPr>
              <w:t>«Прокол FOS» остаётся метафорой.</w:t>
            </w:r>
          </w:p>
        </w:tc>
        <w:tc>
          <w:tcPr>
            <w:tcW w:type="dxa" w:w="2466"/>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4"/>
              </w:rPr>
              <w:t>Задать Dom/Cod, инварианты и пример ненулевого перехода.</w:t>
            </w:r>
          </w:p>
        </w:tc>
      </w:tr>
      <w:tr>
        <w:trPr>
          <w:trHeight w:hRule="atLeast"/>
        </w:trPr>
        <w:tc>
          <w:tcPr>
            <w:tcW w:type="dxa" w:w="2466"/>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T4-BLK-VISION-EMP-001</w:t>
            </w:r>
          </w:p>
        </w:tc>
        <w:tc>
          <w:tcPr>
            <w:tcW w:type="dxa" w:w="2466"/>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Нет независимой операционализации математического видения.</w:t>
            </w:r>
          </w:p>
        </w:tc>
        <w:tc>
          <w:tcPr>
            <w:tcW w:type="dxa" w:w="2466"/>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Vis остаётся MODEL; нельзя оценивать человека или предсказывать открытия.</w:t>
            </w:r>
          </w:p>
        </w:tc>
        <w:tc>
          <w:tcPr>
            <w:tcW w:type="dxa" w:w="2466"/>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Предрегистрация, задачи, кодирование, inter-rater reliability, независимый корпус.</w:t>
            </w:r>
          </w:p>
        </w:tc>
      </w:tr>
      <w:tr>
        <w:trPr>
          <w:trHeight w:hRule="atLeast"/>
        </w:trPr>
        <w:tc>
          <w:tcPr>
            <w:tcW w:type="dxa" w:w="2466"/>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T4-BLK-ANTHRO-AGG-001</w:t>
            </w:r>
          </w:p>
        </w:tc>
        <w:tc>
          <w:tcPr>
            <w:tcW w:type="dxa" w:w="2466"/>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Нет канонического агрегатора AnthroCGI.</w:t>
            </w:r>
          </w:p>
        </w:tc>
        <w:tc>
          <w:tcPr>
            <w:tcW w:type="dxa" w:w="2466"/>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Запрещён единый числовой рейтинг.</w:t>
            </w:r>
          </w:p>
        </w:tc>
        <w:tc>
          <w:tcPr>
            <w:tcW w:type="dxa" w:w="2466"/>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Для каждого домена задать Φ, веса, монотонность, калибровку и этический аудит.</w:t>
            </w:r>
          </w:p>
        </w:tc>
      </w:tr>
      <w:tr>
        <w:trPr>
          <w:trHeight w:hRule="atLeast"/>
        </w:trPr>
        <w:tc>
          <w:tcPr>
            <w:tcW w:type="dxa" w:w="2466"/>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T4-BLK-ARCHIVE-SCHEMA-001</w:t>
            </w:r>
          </w:p>
        </w:tc>
        <w:tc>
          <w:tcPr>
            <w:tcW w:type="dxa" w:w="2466"/>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Archive_h пока не реализован как полная схема KLT-RBD.</w:t>
            </w:r>
          </w:p>
        </w:tc>
        <w:tc>
          <w:tcPr>
            <w:tcW w:type="dxa" w:w="2466"/>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Формальный контракт не является работающей базой.</w:t>
            </w:r>
          </w:p>
        </w:tc>
        <w:tc>
          <w:tcPr>
            <w:tcW w:type="dxa" w:w="2466"/>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DDL/schema, migration, custody receipts, tests, hashes, privacy policy.</w:t>
            </w:r>
          </w:p>
        </w:tc>
      </w:tr>
      <w:tr>
        <w:trPr>
          <w:trHeight w:hRule="atLeast"/>
        </w:trPr>
        <w:tc>
          <w:tcPr>
            <w:tcW w:type="dxa" w:w="2466"/>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T4-BLK-PHIL-BIB-001</w:t>
            </w:r>
          </w:p>
        </w:tc>
        <w:tc>
          <w:tcPr>
            <w:tcW w:type="dxa" w:w="2466"/>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Страницы и издания классических философских источников не заморожены.</w:t>
            </w:r>
          </w:p>
        </w:tc>
        <w:tc>
          <w:tcPr>
            <w:tcW w:type="dxa" w:w="2466"/>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Библиография рабочая, не окончательная публикационная.</w:t>
            </w:r>
          </w:p>
        </w:tc>
        <w:tc>
          <w:tcPr>
            <w:tcW w:type="dxa" w:w="2466"/>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0" w:lineRule="auto"/>
              <w:jc w:val="left"/>
            </w:pPr>
            <w:r>
              <w:rPr>
                <w:rFonts w:ascii="DejaVu Serif" w:hAnsi="DejaVu Serif" w:eastAsia="DejaVu Serif"/>
                <w:b w:val="0"/>
                <w:i w:val="0"/>
                <w:color w:val="1A2433"/>
                <w:sz w:val="15"/>
              </w:rPr>
              <w:t>Выбрать канонические издания, page locators, ISBN/DOI и source-card hashes.</w:t>
            </w:r>
          </w:p>
        </w:tc>
      </w:tr>
      <w:tr>
        <w:trPr>
          <w:trHeight w:hRule="atLeast"/>
        </w:trPr>
        <w:tc>
          <w:tcPr>
            <w:tcW w:type="dxa" w:w="1655"/>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3"/>
              </w:rPr>
              <w:t>T4-BLK-KERN-MODEL-001</w:t>
            </w:r>
          </w:p>
        </w:tc>
        <w:tc>
          <w:tcPr>
            <w:tcW w:type="dxa" w:w="288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3"/>
              </w:rPr>
              <w:t>Не построена нетривиальная математическая модель, реализующая полный KLT-A1/A2 вне формального каркаса.</w:t>
            </w:r>
          </w:p>
        </w:tc>
        <w:tc>
          <w:tcPr>
            <w:tcW w:type="dxa" w:w="2951"/>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3"/>
              </w:rPr>
              <w:t>Аксиномы остаются программой; theorem reduction не доказывает существование полного KLT-мира.</w:t>
            </w:r>
          </w:p>
        </w:tc>
        <w:tc>
          <w:tcPr>
            <w:tcW w:type="dxa" w:w="23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3"/>
              </w:rPr>
              <w:t>Construct explicit finite/analytic model; verify Crit, groupoid, amplitude and rigidity gates.</w:t>
            </w:r>
          </w:p>
        </w:tc>
      </w:tr>
      <w:tr>
        <w:trPr>
          <w:trHeight w:hRule="atLeast"/>
        </w:trPr>
        <w:tc>
          <w:tcPr>
            <w:tcW w:type="dxa" w:w="1655"/>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3"/>
              </w:rPr>
              <w:t>T4-BLK-KERN-PHYS-001</w:t>
            </w:r>
          </w:p>
        </w:tc>
        <w:tc>
          <w:tcPr>
            <w:tcW w:type="dxa" w:w="288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3"/>
              </w:rPr>
              <w:t>Нет независимой физической операционализации Θ_K, PIX, PEAKS и R_amp.</w:t>
            </w:r>
          </w:p>
        </w:tc>
        <w:tc>
          <w:tcPr>
            <w:tcW w:type="dxa" w:w="2951"/>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3"/>
              </w:rPr>
              <w:t>Запрещён статус физического закона или подтверждённого поля.</w:t>
            </w:r>
          </w:p>
        </w:tc>
        <w:tc>
          <w:tcPr>
            <w:tcW w:type="dxa" w:w="23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3"/>
              </w:rPr>
              <w:t>Prederegister observables, units, null models and independent EXT-RUN.</w:t>
            </w:r>
          </w:p>
        </w:tc>
      </w:tr>
      <w:tr>
        <w:trPr>
          <w:trHeight w:hRule="atLeast"/>
        </w:trPr>
        <w:tc>
          <w:tcPr>
            <w:tcW w:type="dxa" w:w="1655"/>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3"/>
              </w:rPr>
              <w:t>T4-BLK-NOETHER-001</w:t>
            </w:r>
          </w:p>
        </w:tc>
        <w:tc>
          <w:tcPr>
            <w:tcW w:type="dxa" w:w="288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3"/>
              </w:rPr>
              <w:t>Нет общей packet-Noether theorem для частичной группоиды и неассоциативного слоя.</w:t>
            </w:r>
          </w:p>
        </w:tc>
        <w:tc>
          <w:tcPr>
            <w:tcW w:type="dxa" w:w="2951"/>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3"/>
              </w:rPr>
              <w:t>Законы сохранения разрешены только в гладких ассоциативных редукциях.</w:t>
            </w:r>
          </w:p>
        </w:tc>
        <w:tc>
          <w:tcPr>
            <w:tcW w:type="dxa" w:w="23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3"/>
              </w:rPr>
              <w:t>Build theorem with explicit algebraic hypotheses or provide counterexample.</w:t>
            </w:r>
          </w:p>
        </w:tc>
      </w:tr>
      <w:tr>
        <w:trPr>
          <w:trHeight w:hRule="atLeast"/>
        </w:trPr>
        <w:tc>
          <w:tcPr>
            <w:tcW w:type="dxa" w:w="1655"/>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3"/>
              </w:rPr>
              <w:t>T4-BLK-CROSSVOL-001</w:t>
            </w:r>
          </w:p>
        </w:tc>
        <w:tc>
          <w:tcPr>
            <w:tcW w:type="dxa" w:w="288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3"/>
              </w:rPr>
              <w:t>Замороженные Тома I-II ещё не получили официальный change-set по двум постоянным ядрам.</w:t>
            </w:r>
          </w:p>
        </w:tc>
        <w:tc>
          <w:tcPr>
            <w:tcW w:type="dxa" w:w="2951"/>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3"/>
              </w:rPr>
              <w:t>Том IV не вправе редактировать frozen masters напрямую.</w:t>
            </w:r>
          </w:p>
        </w:tc>
        <w:tc>
          <w:tcPr>
            <w:tcW w:type="dxa" w:w="23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3"/>
              </w:rPr>
              <w:t>Prepare T1/T2/T3 change-set and compatibility matrix.</w:t>
            </w:r>
          </w:p>
        </w:tc>
      </w:tr>
      <w:tr>
        <w:trPr>
          <w:trHeight w:hRule="atLeast"/>
        </w:trPr>
        <w:tc>
          <w:tcPr>
            <w:tcW w:type="dxa" w:w="1655"/>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3"/>
              </w:rPr>
              <w:t>T4-BLK-MEM-PRIV-001</w:t>
            </w:r>
          </w:p>
        </w:tc>
        <w:tc>
          <w:tcPr>
            <w:tcW w:type="dxa" w:w="288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3"/>
              </w:rPr>
              <w:t>Privacy, lawful basis, retention and access models не прошли независимый нормативный аудит.</w:t>
            </w:r>
          </w:p>
        </w:tc>
        <w:tc>
          <w:tcPr>
            <w:tcW w:type="dxa" w:w="2951"/>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3"/>
              </w:rPr>
              <w:t>Персональные данные и антропологическое профилирование запрещены.</w:t>
            </w:r>
          </w:p>
        </w:tc>
        <w:tc>
          <w:tcPr>
            <w:tcW w:type="dxa" w:w="23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3"/>
              </w:rPr>
              <w:t>Independent legal/ethical/security review and data-protection implementation.</w:t>
            </w:r>
          </w:p>
        </w:tc>
      </w:tr>
      <w:tr>
        <w:trPr>
          <w:trHeight w:hRule="atLeast"/>
        </w:trPr>
        <w:tc>
          <w:tcPr>
            <w:tcW w:type="dxa" w:w="1655"/>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3"/>
              </w:rPr>
              <w:t>T4-BLK-ADAPTER-EXT-001</w:t>
            </w:r>
          </w:p>
        </w:tc>
        <w:tc>
          <w:tcPr>
            <w:tcW w:type="dxa" w:w="288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3"/>
              </w:rPr>
              <w:t>Пять предметных адаптеров имеют формальный/model status без независимого внешнего корпуса.</w:t>
            </w:r>
          </w:p>
        </w:tc>
        <w:tc>
          <w:tcPr>
            <w:tcW w:type="dxa" w:w="2951"/>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3"/>
              </w:rPr>
              <w:t>Нельзя заявлять междисциплинарную эффективность.</w:t>
            </w:r>
          </w:p>
        </w:tc>
        <w:tc>
          <w:tcPr>
            <w:tcW w:type="dxa" w:w="23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3"/>
              </w:rPr>
              <w:t>Execute source-bound benchmarks in each domain and publish failure cases.</w:t>
            </w:r>
          </w:p>
        </w:tc>
      </w:tr>
    </w:tbl>
    <w:p>
      <w:pPr>
        <w:pStyle w:val="Heading2"/>
        <w:keepNext/>
        <w:widowControl/>
      </w:pPr>
      <w:r>
        <w:t>E.3. Историческая последовательность T4-RA3 → T4-RA4 (legacy)</w:t>
      </w:r>
    </w:p>
    <w:tbl>
      <w:tblPr>
        <w:tblW w:type="auto" w:w="0"/>
        <w:jc w:val="center"/>
        <w:tblLayout w:type="fixed"/>
        <w:tblLook w:firstColumn="1" w:firstRow="1" w:lastColumn="0" w:lastRow="0" w:noHBand="0" w:noVBand="1" w:val="04A0"/>
      </w:tblPr>
      <w:tblGrid>
        <w:gridCol w:w="4932"/>
        <w:gridCol w:w="4932"/>
      </w:tblGrid>
      <w:tr>
        <w:trPr>
          <w:cantSplit/>
          <w:trHeight w:hRule="atLeast"/>
          <w:tblHeader w:val="true"/>
        </w:trPr>
        <w:tc>
          <w:tcPr>
            <w:tcW w:type="dxa" w:w="7272"/>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before="0" w:after="0" w:line="254" w:lineRule="auto"/>
              <w:jc w:val="center"/>
            </w:pPr>
            <w:r/>
            <w:r>
              <w:rPr>
                <w:rFonts w:ascii="DejaVu Serif" w:hAnsi="DejaVu Serif" w:eastAsia="DejaVu Serif"/>
                <w:b w:val="0"/>
                <w:sz w:val="19"/>
              </w:rPr>
              <w:t>T4-RA4 = T4-RA3 ⊞ (H→M→P) ⊞ Ob_ML ⊞ Counterterm/PIT ⊞ Atlas/Gauge ⊞ RPLD-gates</w:t>
            </w:r>
          </w:p>
        </w:tc>
        <w:tc>
          <w:tcPr>
            <w:tcW w:type="dxa" w:w="1728"/>
            <w:shd w:fill="F2F5F8"/>
            <w:tcMar>
              <w:top w:w="90" w:type="dxa"/>
              <w:start w:w="100" w:type="dxa"/>
              <w:bottom w:w="90" w:type="dxa"/>
              <w:end w:w="100" w:type="dxa"/>
            </w:tcMar>
            <w:tcBorders>
              <w:top w:sz="4" w:val="single" w:color="D2DCE6"/>
              <w:left w:sz="4" w:val="single" w:color="D2DCE6"/>
              <w:bottom w:sz="4" w:val="single" w:color="D2DCE6"/>
              <w:right w:sz="4" w:val="single" w:color="D2DCE6"/>
            </w:tcBorders>
            <w:vAlign w:val="center"/>
          </w:tcPr>
          <w:p>
            <w:pPr>
              <w:widowControl/>
              <w:spacing w:before="0" w:after="0" w:line="254" w:lineRule="auto"/>
              <w:jc w:val="center"/>
            </w:pPr>
            <w:r/>
            <w:r>
              <w:rPr>
                <w:rFonts w:ascii="DejaVu Serif" w:hAnsi="DejaVu Serif" w:eastAsia="DejaVu Serif"/>
                <w:b/>
                <w:color w:val="173A61"/>
                <w:sz w:val="17"/>
              </w:rPr>
              <w:t>T4-F089</w:t>
              <w:br/>
              <w:t>ROLLBACK DEF</w:t>
            </w:r>
          </w:p>
        </w:tc>
      </w:tr>
    </w:tbl>
    <w:tbl>
      <w:tblPr>
        <w:tblW w:type="auto" w:w="0"/>
        <w:jc w:val="center"/>
        <w:tblLayout w:type="fixed"/>
        <w:tblLook w:firstColumn="1" w:firstRow="1" w:lastColumn="0" w:lastRow="0" w:noHBand="0" w:noVBand="1" w:val="04A0"/>
      </w:tblPr>
      <w:tblGrid>
        <w:gridCol w:w="9865"/>
      </w:tblGrid>
      <w:tr>
        <w:trPr>
          <w:cantSplit/>
          <w:trHeight w:hRule="atLeast"/>
          <w:tblHeader w:val="true"/>
        </w:trPr>
        <w:tc>
          <w:tcPr>
            <w:tcW w:type="dxa" w:w="9000"/>
            <w:shd w:fill="FBEDEE"/>
            <w:tcMar>
              <w:top w:w="90" w:type="dxa"/>
              <w:start w:w="100" w:type="dxa"/>
              <w:bottom w:w="90" w:type="dxa"/>
              <w:end w:w="100" w:type="dxa"/>
            </w:tcMar>
            <w:tcBorders>
              <w:top w:sz="14" w:val="single" w:color="B5534B"/>
              <w:left w:sz="14" w:val="single" w:color="B5534B"/>
              <w:bottom w:sz="14" w:val="single" w:color="B5534B"/>
              <w:right w:sz="14" w:val="single" w:color="B5534B"/>
            </w:tcBorders>
            <w:vAlign w:val="center"/>
          </w:tcPr>
          <w:p>
            <w:pPr>
              <w:widowControl/>
              <w:spacing w:after="0" w:before="0" w:line="259" w:lineRule="auto"/>
            </w:pPr>
            <w:r>
              <w:rPr>
                <w:b/>
                <w:color w:val="9B2D30"/>
              </w:rPr>
            </w:r>
            <w:r>
              <w:rPr>
                <w:rFonts w:ascii="DejaVu Serif" w:hAnsi="DejaVu Serif" w:eastAsia="DejaVu Serif"/>
                <w:b w:val="0"/>
                <w:sz w:val="17"/>
              </w:rPr>
              <w:t>ROLLBACK RULE T4-RA3 (legacy). Любая последующая глава, которая отождествляет оценку со свободой, объявляет «дырку» буквальной физической пустотой, применяет затухание при γ=0, приписывает Арнольду KLT-гипотезу равенства амплитуд либо лавирование или выводит ответственность из одного факта действия, должна быть откатана к T4-RA3.</w:t>
            </w:r>
          </w:p>
        </w:tc>
      </w:tr>
    </w:tbl>
    <w:p>
      <w:pPr>
        <w:widowControl/>
      </w:pPr>
      <w:r>
        <w:br w:type="page"/>
      </w:r>
    </w:p>
    <w:p>
      <w:pPr>
        <w:pStyle w:val="Heading1"/>
        <w:keepNext/>
        <w:keepLines/>
        <w:widowControl/>
      </w:pPr>
      <w:r>
        <w:t>Приложение F. Source-illustration register и математический audit</w:t>
      </w:r>
    </w:p>
    <w:p>
      <w:pPr>
        <w:pStyle w:val="Heading2"/>
        <w:keepNext/>
        <w:keepLines/>
        <w:widowControl/>
      </w:pPr>
      <w:r>
        <w:t>F.1. Зарегистрированные библиотечные иллюстрации</w:t>
      </w:r>
    </w:p>
    <w:tbl>
      <w:tblPr>
        <w:tblStyle w:val="TableGrid"/>
        <w:tblW w:type="auto" w:w="0"/>
        <w:jc w:val="center"/>
        <w:tblLayout w:type="fixed"/>
        <w:tblLook w:firstColumn="1" w:firstRow="1" w:lastColumn="0" w:lastRow="0" w:noHBand="0" w:noVBand="1" w:val="04A0"/>
      </w:tblPr>
      <w:tblGrid>
        <w:gridCol w:w="2466"/>
        <w:gridCol w:w="2466"/>
        <w:gridCol w:w="2466"/>
        <w:gridCol w:w="2466"/>
      </w:tblGrid>
      <w:tr>
        <w:trPr>
          <w:cantSplit/>
          <w:trHeight w:hRule="atLeast"/>
          <w:tblHeader w:val="true"/>
        </w:trPr>
        <w:tc>
          <w:tcPr>
            <w:tcW w:type="dxa" w:w="1440"/>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ID</w:t>
            </w:r>
          </w:p>
        </w:tc>
        <w:tc>
          <w:tcPr>
            <w:tcW w:type="dxa" w:w="3312"/>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Файл / File Library ID</w:t>
            </w:r>
          </w:p>
        </w:tc>
        <w:tc>
          <w:tcPr>
            <w:tcW w:type="dxa" w:w="3744"/>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Содержание</w:t>
            </w:r>
          </w:p>
        </w:tc>
        <w:tc>
          <w:tcPr>
            <w:tcW w:type="dxa" w:w="1728"/>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Использование</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T4-ILL-013A</w:t>
            </w:r>
          </w:p>
        </w:tc>
        <w:tc>
          <w:tcPr>
            <w:tcW w:type="dxa" w:w="33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GSeFMO0YnEo.jpg / file_00000000e0ec81f4abae1f2b72911068</w:t>
            </w:r>
          </w:p>
        </w:tc>
        <w:tc>
          <w:tcPr>
            <w:tcW w:type="dxa" w:w="374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English theorem poster: contour, poles, formula, portrait.</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Analytic redraw source; exact bytes pending.</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T4-ILL-013B</w:t>
            </w:r>
          </w:p>
        </w:tc>
        <w:tc>
          <w:tcPr>
            <w:tcW w:type="dxa" w:w="33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p6wMsBDQNg0.jpg / file_000000001b2481f4a43d04bba3309230</w:t>
            </w:r>
          </w:p>
        </w:tc>
        <w:tc>
          <w:tcPr>
            <w:tcW w:type="dxa" w:w="374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Russian infographic: poles, residues, proof diagram.</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Analytic redraw source; exact bytes pending.</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T4-ILL-013C</w:t>
            </w:r>
          </w:p>
        </w:tc>
        <w:tc>
          <w:tcPr>
            <w:tcW w:type="dxa" w:w="33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LXnu8Z...jpg / file_0000000069e481f4a6ad9f6851781bf7</w:t>
            </w:r>
          </w:p>
        </w:tc>
        <w:tc>
          <w:tcPr>
            <w:tcW w:type="dxa" w:w="3744"/>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Russian poster variant: axes, marked points, historical panel.</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Analytic redraw source; exact bytes pending.</w:t>
            </w:r>
          </w:p>
        </w:tc>
      </w:tr>
    </w:tbl>
    <w:p>
      <w:pPr>
        <w:pStyle w:val="Heading2"/>
        <w:keepNext/>
        <w:keepLines/>
        <w:widowControl/>
      </w:pPr>
      <w:r>
        <w:t>F.2. Статусная граница</w:t>
      </w:r>
    </w:p>
    <w:tbl>
      <w:tblPr>
        <w:tblStyle w:val="TableGrid"/>
        <w:tblW w:type="auto" w:w="0"/>
        <w:jc w:val="center"/>
        <w:tblLook w:firstColumn="1" w:firstRow="1" w:lastColumn="0" w:lastRow="0" w:noHBand="0" w:noVBand="1" w:val="04A0"/>
      </w:tblPr>
      <w:tblGrid>
        <w:gridCol w:w="9865"/>
      </w:tblGrid>
      <w:tr>
        <w:trPr>
          <w:cantSplit/>
          <w:trHeight w:hRule="atLeast"/>
          <w:tblHeader w:val="true"/>
        </w:trPr>
        <w:tc>
          <w:tcPr>
            <w:tcW w:type="dxa" w:w="9865"/>
            <w:vAlign w:val="center"/>
            <w:tcMar>
              <w:top w:w="90" w:type="dxa"/>
              <w:start w:w="100" w:type="dxa"/>
              <w:bottom w:w="90" w:type="dxa"/>
              <w:end w:w="100" w:type="dxa"/>
            </w:tcMar>
            <w:shd w:fill="FFF6DD"/>
            <w:tcBorders>
              <w:top w:val="single" w:sz="8" w:color="B58B1D"/>
              <w:left w:val="single" w:sz="8" w:color="B58B1D"/>
              <w:bottom w:val="single" w:sz="8" w:color="B58B1D"/>
              <w:right w:val="single" w:sz="8" w:color="B58B1D"/>
            </w:tcBorders>
          </w:tcPr>
          <w:p>
            <w:pPr>
              <w:widowControl/>
              <w:spacing w:before="0" w:after="0" w:line="254" w:lineRule="auto"/>
              <w:jc w:val="left"/>
            </w:pPr>
            <w:r/>
            <w:r>
              <w:rPr>
                <w:rFonts w:ascii="DejaVu Serif" w:hAnsi="DejaVu Serif" w:eastAsia="DejaVu Serif"/>
                <w:b w:val="0"/>
                <w:sz w:val="19"/>
              </w:rPr>
              <w:t>Три плаката являются дидактическими источниками композиции, но не proof objects. В основной текст включены три аналитические перерисовки, построенные заново по проверенным формулам. Портрет, плакатная верстка и потенциальные текстовые ошибки не используются как математическое основание.</w:t>
            </w:r>
          </w:p>
        </w:tc>
      </w:tr>
    </w:tbl>
    <w:p>
      <w:pPr>
        <w:pStyle w:val="Heading1"/>
        <w:keepNext/>
        <w:keepLines/>
        <w:widowControl/>
      </w:pPr>
      <w:r>
        <w:t>Приложение G. Delta-реестр формул T4-F059-T4-F090</w:t>
      </w:r>
    </w:p>
    <w:tbl>
      <w:tblPr>
        <w:tblStyle w:val="TableGrid"/>
        <w:tblW w:type="auto" w:w="0"/>
        <w:jc w:val="center"/>
        <w:tblLayout w:type="fixed"/>
        <w:tblLook w:firstColumn="1" w:firstRow="1" w:lastColumn="0" w:lastRow="0" w:noHBand="0" w:noVBand="1" w:val="04A0"/>
      </w:tblPr>
      <w:tblGrid>
        <w:gridCol w:w="3288"/>
        <w:gridCol w:w="3288"/>
        <w:gridCol w:w="3288"/>
      </w:tblGrid>
      <w:tr>
        <w:trPr>
          <w:cantSplit/>
          <w:trHeight w:hRule="atLeast"/>
          <w:tblHeader w:val="true"/>
        </w:trPr>
        <w:tc>
          <w:tcPr>
            <w:tcW w:type="dxa" w:w="1440"/>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ID</w:t>
            </w:r>
          </w:p>
        </w:tc>
        <w:tc>
          <w:tcPr>
            <w:tcW w:type="dxa" w:w="6912"/>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Формула / объект</w:t>
            </w:r>
          </w:p>
        </w:tc>
        <w:tc>
          <w:tcPr>
            <w:tcW w:type="dxa" w:w="1728"/>
            <w:vAlign w:val="center"/>
            <w:tcMar>
              <w:top w:w="90" w:type="dxa"/>
              <w:start w:w="100" w:type="dxa"/>
              <w:bottom w:w="90" w:type="dxa"/>
              <w:end w:w="100" w:type="dxa"/>
            </w:tcMar>
            <w:shd w:fill="173A61"/>
          </w:tcPr>
          <w:p>
            <w:pPr>
              <w:widowControl/>
              <w:spacing w:before="0" w:after="0" w:line="254" w:lineRule="auto"/>
              <w:jc w:val="center"/>
            </w:pPr>
            <w:r/>
            <w:r>
              <w:rPr>
                <w:rFonts w:ascii="DejaVu Serif" w:hAnsi="DejaVu Serif" w:eastAsia="DejaVu Serif"/>
                <w:b/>
                <w:color w:val="FFFFFF"/>
                <w:sz w:val="18"/>
              </w:rPr>
              <w:t>Статус</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T4-F059</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Pₐ(z)=Σ cₐ,ₖ(z−a)^{-k}</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CLASSICAL DEF</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T4-F060</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PPₐ(f)=Pₐ; Pole(f)⊆A</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CLASSICAL THM</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T4-F061</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PP(f)=PP(g) ⇔ f−g∈O(Ω); Sol=f₀+O(Ω)</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CLASSICAL THM</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T4-F062</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f(z)=f(0)+Σ bⱼ[1/(z−zⱼ)+1/zⱼ]</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SPECIAL COND</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T4-F063</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0→H→M→P→0</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EXACT SEQUENCE</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T4-F064</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H⁰(M)→H⁰(P)→H¹(H)</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COHOMOLOGY</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T4-F065</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pᵢ=(Uᵢ,Pᵢ,Domᵢ,Dᵢ,provᵢ,σᵢ)</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AUTHORIAL DEF</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T4-F066</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Ob_ML(p)=δ([p])∈H¹(X,H)</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OBSTRUCTION</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T4-F067</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Gate_ML=Typed∧Dom∧D∧Prov∧Status∧Compat</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AUTHORIAL GATE</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T4-F068</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Global_KLT≠∅ iff Ob=0 and Gate=1</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THM-FORMAL/COND</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T4-F069</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Global_KLT=M₀+H⁰(X,H)</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TORSOR</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T4-F070</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Q_n=P_n−H_n; principal part preserved</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CLASSICAL LEMMA</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T4-F071</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sup_Kn|Q_n|≤2^{-n} ⇒ normal convergence</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CLASSICAL THM</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T4-F072</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L_ℓ(m)=m+h_ℓ</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AUTHORIAL MODEL</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T4-F073</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PP(L_ℓ(m))=PP(m)</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THM-FORMAL</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T4-F074</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PIT=(Core,Boundary,policy,prov,status)</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AUTHORIAL DEF</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T4-F075</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PIT∘PIT=PIT</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THM-BY-DEF</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T4-F076</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K=(X,S,U,φ,G,τ,H,M,P,Λ,D,Σ)</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AUTHORIAL DEF</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T4-F077</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projective transition ∈PGL(V)</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ATLAS GATE</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T4-F078</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global logistic section compatibility</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COND</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T4-F079</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Rec_O(p;D,Lang,Mem)=M_O</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AUTHORIAL MODEL</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T4-F080</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same PP iff difference regular</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THM-FORMAL</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T4-F081</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d_inter=(d_PP,d_reg,d_D,d_Dom,d_prov,d_status)</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AUTHORIAL DEF</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T4-F082</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RPLD1 sensory layer</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MODEL</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T4-F083</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RPLD2 memory/imagination/language layer</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MODEL</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T4-F084</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RPLD=Fold(RPLD1,RPLD2)</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PARTIAL OPERATOR</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T4-F085</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historical atlas A_τ</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AUTHORIAL DEF</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T4-F086</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refinement/translation r_{τ→τ′}</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COND</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T4-F087</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Ob(r* p)=r*(Ob(p))</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NATURALITY/COND</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T4-F088</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global prediction gate</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THM-FORMAL</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T4-F089</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T4-RA4 rollback tuple</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ROLLBACK DEF</w:t>
            </w:r>
          </w:p>
        </w:tc>
      </w:tr>
      <w:tr>
        <w:trPr>
          <w:cantSplit/>
          <w:trHeight w:hRule="atLeast"/>
        </w:trPr>
        <w:tc>
          <w:tcPr>
            <w:tcW w:type="dxa" w:w="1440"/>
            <w:vAlign w:val="center"/>
            <w:tcMar>
              <w:top w:w="90" w:type="dxa"/>
              <w:start w:w="100" w:type="dxa"/>
              <w:bottom w:w="90" w:type="dxa"/>
              <w:end w:w="100" w:type="dxa"/>
            </w:tcMar>
          </w:tcPr>
          <w:p>
            <w:pPr>
              <w:widowControl/>
              <w:spacing w:before="0" w:after="0" w:line="254" w:lineRule="auto"/>
              <w:jc w:val="center"/>
            </w:pPr>
            <w:r/>
            <w:r>
              <w:rPr>
                <w:rFonts w:ascii="DejaVu Serif" w:hAnsi="DejaVu Serif" w:eastAsia="DejaVu Serif"/>
                <w:b w:val="0"/>
                <w:sz w:val="15"/>
              </w:rPr>
              <w:t>T4-F090</w:t>
            </w:r>
          </w:p>
        </w:tc>
        <w:tc>
          <w:tcPr>
            <w:tcW w:type="dxa" w:w="6912"/>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truth_layer_promotion=0</w:t>
            </w:r>
          </w:p>
        </w:tc>
        <w:tc>
          <w:tcPr>
            <w:tcW w:type="dxa" w:w="1728"/>
            <w:vAlign w:val="center"/>
            <w:tcMar>
              <w:top w:w="90" w:type="dxa"/>
              <w:start w:w="100" w:type="dxa"/>
              <w:bottom w:w="90" w:type="dxa"/>
              <w:end w:w="100" w:type="dxa"/>
            </w:tcMar>
          </w:tcPr>
          <w:p>
            <w:pPr>
              <w:widowControl/>
              <w:spacing w:before="0" w:after="0" w:line="254" w:lineRule="auto"/>
              <w:jc w:val="left"/>
            </w:pPr>
            <w:r/>
            <w:r>
              <w:rPr>
                <w:rFonts w:ascii="DejaVu Serif" w:hAnsi="DejaVu Serif" w:eastAsia="DejaVu Serif"/>
                <w:b w:val="0"/>
                <w:sz w:val="15"/>
              </w:rPr>
              <w:t>STATUS LOCK</w:t>
            </w:r>
          </w:p>
        </w:tc>
      </w:tr>
    </w:tbl>
    <w:p>
      <w:pPr>
        <w:pStyle w:val="Heading1"/>
        <w:keepNext/>
        <w:keepLines/>
        <w:widowControl/>
      </w:pPr>
      <w:r>
        <w:t>Приложение H. Доказательные обязательства T4-ML-PO</w:t>
      </w:r>
    </w:p>
    <w:tbl>
      <w:tblPr>
        <w:tblStyle w:val="TableGrid"/>
        <w:tblW w:type="auto" w:w="0"/>
        <w:jc w:val="center"/>
        <w:tblLayout w:type="fixed"/>
        <w:tblLook w:firstColumn="1" w:firstRow="1" w:lastColumn="0" w:lastRow="0" w:noHBand="0" w:noVBand="1" w:val="04A0"/>
      </w:tblPr>
      <w:tblGrid>
        <w:gridCol w:w="3288"/>
        <w:gridCol w:w="3288"/>
        <w:gridCol w:w="3288"/>
      </w:tblGrid>
      <w:tr>
        <w:trPr>
          <w:cantSplit w:val="true"/>
          <w:trHeight w:hRule="atLeast"/>
          <w:tblHeader w:val="true"/>
        </w:trPr>
        <w:tc>
          <w:tcPr>
            <w:tcW w:type="dxa" w:w="1584"/>
            <w:vAlign w:val="center"/>
            <w:tcMar>
              <w:top w:w="90" w:type="dxa"/>
              <w:start w:w="100" w:type="dxa"/>
              <w:bottom w:w="90" w:type="dxa"/>
              <w:end w:w="100" w:type="dxa"/>
            </w:tcMar>
            <w:shd w:fill="173A61"/>
          </w:tcPr>
          <w:p>
            <w:pPr>
              <w:widowControl/>
              <w:spacing w:before="0" w:after="0" w:line="228" w:lineRule="auto"/>
              <w:jc w:val="center"/>
            </w:pPr>
            <w:r>
              <w:rPr>
                <w:rFonts w:ascii="DejaVu Sans" w:hAnsi="DejaVu Sans" w:eastAsia="DejaVu Sans"/>
                <w:b/>
                <w:i w:val="0"/>
                <w:color w:val="FFFFFF"/>
                <w:sz w:val="14"/>
              </w:rPr>
            </w:r>
            <w:r>
              <w:rPr>
                <w:rFonts w:ascii="DejaVu Sans" w:hAnsi="DejaVu Sans" w:eastAsia="DejaVu Sans"/>
                <w:b/>
                <w:i w:val="0"/>
                <w:color w:val="FFFFFF"/>
                <w:sz w:val="14"/>
              </w:rPr>
              <w:t>ID</w:t>
            </w:r>
          </w:p>
        </w:tc>
        <w:tc>
          <w:tcPr>
            <w:tcW w:type="dxa" w:w="6768"/>
            <w:vAlign w:val="center"/>
            <w:tcMar>
              <w:top w:w="90" w:type="dxa"/>
              <w:start w:w="100" w:type="dxa"/>
              <w:bottom w:w="90" w:type="dxa"/>
              <w:end w:w="100" w:type="dxa"/>
            </w:tcMar>
            <w:shd w:fill="173A61"/>
          </w:tcPr>
          <w:p>
            <w:pPr>
              <w:widowControl/>
              <w:spacing w:before="0" w:after="0" w:line="228" w:lineRule="auto"/>
              <w:jc w:val="center"/>
            </w:pPr>
            <w:r>
              <w:rPr>
                <w:rFonts w:ascii="DejaVu Sans" w:hAnsi="DejaVu Sans" w:eastAsia="DejaVu Sans"/>
                <w:b/>
                <w:i w:val="0"/>
                <w:color w:val="FFFFFF"/>
                <w:sz w:val="14"/>
              </w:rPr>
            </w:r>
            <w:r>
              <w:rPr>
                <w:rFonts w:ascii="DejaVu Sans" w:hAnsi="DejaVu Sans" w:eastAsia="DejaVu Sans"/>
                <w:b/>
                <w:i w:val="0"/>
                <w:color w:val="FFFFFF"/>
                <w:sz w:val="14"/>
              </w:rPr>
              <w:t>Обязательство</w:t>
            </w:r>
          </w:p>
        </w:tc>
        <w:tc>
          <w:tcPr>
            <w:tcW w:type="dxa" w:w="1728"/>
            <w:vAlign w:val="center"/>
            <w:tcMar>
              <w:top w:w="90" w:type="dxa"/>
              <w:start w:w="100" w:type="dxa"/>
              <w:bottom w:w="90" w:type="dxa"/>
              <w:end w:w="100" w:type="dxa"/>
            </w:tcMar>
            <w:shd w:fill="173A61"/>
          </w:tcPr>
          <w:p>
            <w:pPr>
              <w:widowControl/>
              <w:spacing w:before="0" w:after="0" w:line="228" w:lineRule="auto"/>
              <w:jc w:val="center"/>
            </w:pPr>
            <w:r>
              <w:rPr>
                <w:rFonts w:ascii="DejaVu Sans" w:hAnsi="DejaVu Sans" w:eastAsia="DejaVu Sans"/>
                <w:b/>
                <w:i w:val="0"/>
                <w:color w:val="FFFFFF"/>
                <w:sz w:val="14"/>
              </w:rPr>
            </w:r>
            <w:r>
              <w:rPr>
                <w:rFonts w:ascii="DejaVu Sans" w:hAnsi="DejaVu Sans" w:eastAsia="DejaVu Sans"/>
                <w:b/>
                <w:i w:val="0"/>
                <w:color w:val="FFFFFF"/>
                <w:sz w:val="14"/>
              </w:rPr>
              <w:t>Статус</w:t>
            </w:r>
          </w:p>
        </w:tc>
      </w:tr>
      <w:tr>
        <w:trPr>
          <w:cantSplit w:val="true"/>
          <w:trHeight w:hRule="atLeast"/>
        </w:trPr>
        <w:tc>
          <w:tcPr>
            <w:tcW w:type="dxa" w:w="1584"/>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T4-ML-PO-001</w:t>
            </w:r>
          </w:p>
        </w:tc>
        <w:tc>
          <w:tcPr>
            <w:tcW w:type="dxa" w:w="676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Разделить авторство/статусы двух слоёв заметки.</w:t>
            </w:r>
          </w:p>
        </w:tc>
        <w:tc>
          <w:tcPr>
            <w:tcW w:type="dxa" w:w="172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CLOSED · SOURCE AUDIT</w:t>
            </w:r>
          </w:p>
        </w:tc>
      </w:tr>
      <w:tr>
        <w:trPr>
          <w:cantSplit w:val="true"/>
          <w:trHeight w:hRule="atLeast"/>
        </w:trPr>
        <w:tc>
          <w:tcPr>
            <w:tcW w:type="dxa" w:w="1584"/>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T4-ML-PO-002</w:t>
            </w:r>
          </w:p>
        </w:tc>
        <w:tc>
          <w:tcPr>
            <w:tcW w:type="dxa" w:w="676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Дать полную ML theorem и regular ambiguity.</w:t>
            </w:r>
          </w:p>
        </w:tc>
        <w:tc>
          <w:tcPr>
            <w:tcW w:type="dxa" w:w="172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CLOSED · CLASSICAL THM</w:t>
            </w:r>
          </w:p>
        </w:tc>
      </w:tr>
      <w:tr>
        <w:trPr>
          <w:cantSplit w:val="true"/>
          <w:trHeight w:hRule="atLeast"/>
        </w:trPr>
        <w:tc>
          <w:tcPr>
            <w:tcW w:type="dxa" w:w="1584"/>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T4-ML-PO-003</w:t>
            </w:r>
          </w:p>
        </w:tc>
        <w:tc>
          <w:tcPr>
            <w:tcW w:type="dxa" w:w="676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Исправить tan/multipole/spin/domain claims.</w:t>
            </w:r>
          </w:p>
        </w:tc>
        <w:tc>
          <w:tcPr>
            <w:tcW w:type="dxa" w:w="172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CLOSED · MATH AUDIT</w:t>
            </w:r>
          </w:p>
        </w:tc>
      </w:tr>
      <w:tr>
        <w:trPr>
          <w:cantSplit w:val="true"/>
          <w:trHeight w:hRule="atLeast"/>
        </w:trPr>
        <w:tc>
          <w:tcPr>
            <w:tcW w:type="dxa" w:w="1584"/>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T4-ML-PO-004</w:t>
            </w:r>
          </w:p>
        </w:tc>
        <w:tc>
          <w:tcPr>
            <w:tcW w:type="dxa" w:w="676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Определить H,M,P и exact sequence.</w:t>
            </w:r>
          </w:p>
        </w:tc>
        <w:tc>
          <w:tcPr>
            <w:tcW w:type="dxa" w:w="172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CLOSED · DEF/CLASSICAL</w:t>
            </w:r>
          </w:p>
        </w:tc>
      </w:tr>
      <w:tr>
        <w:trPr>
          <w:cantSplit w:val="true"/>
          <w:trHeight w:hRule="atLeast"/>
        </w:trPr>
        <w:tc>
          <w:tcPr>
            <w:tcW w:type="dxa" w:w="1584"/>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T4-ML-PO-005</w:t>
            </w:r>
          </w:p>
        </w:tc>
        <w:tc>
          <w:tcPr>
            <w:tcW w:type="dxa" w:w="676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Определить Ob_ML и доказать KLT local-to-global theorem.</w:t>
            </w:r>
          </w:p>
        </w:tc>
        <w:tc>
          <w:tcPr>
            <w:tcW w:type="dxa" w:w="172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CLOSED · THM-FORMAL/COND</w:t>
            </w:r>
          </w:p>
        </w:tc>
      </w:tr>
      <w:tr>
        <w:trPr>
          <w:cantSplit w:val="true"/>
          <w:trHeight w:hRule="atLeast"/>
        </w:trPr>
        <w:tc>
          <w:tcPr>
            <w:tcW w:type="dxa" w:w="1584"/>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T4-ML-PO-006</w:t>
            </w:r>
          </w:p>
        </w:tc>
        <w:tc>
          <w:tcPr>
            <w:tcW w:type="dxa" w:w="676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Доказать counterterm principal-part preservation и convergence gate.</w:t>
            </w:r>
          </w:p>
        </w:tc>
        <w:tc>
          <w:tcPr>
            <w:tcW w:type="dxa" w:w="172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CLOSED · CLASSICAL</w:t>
            </w:r>
          </w:p>
        </w:tc>
      </w:tr>
      <w:tr>
        <w:trPr>
          <w:cantSplit w:val="true"/>
          <w:trHeight w:hRule="atLeast"/>
        </w:trPr>
        <w:tc>
          <w:tcPr>
            <w:tcW w:type="dxa" w:w="1584"/>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T4-ML-PO-007</w:t>
            </w:r>
          </w:p>
        </w:tc>
        <w:tc>
          <w:tcPr>
            <w:tcW w:type="dxa" w:w="676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Определить language regularization и invariance.</w:t>
            </w:r>
          </w:p>
        </w:tc>
        <w:tc>
          <w:tcPr>
            <w:tcW w:type="dxa" w:w="172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CLOSED · THM-FORMAL</w:t>
            </w:r>
          </w:p>
        </w:tc>
      </w:tr>
      <w:tr>
        <w:trPr>
          <w:cantSplit w:val="true"/>
          <w:trHeight w:hRule="atLeast"/>
        </w:trPr>
        <w:tc>
          <w:tcPr>
            <w:tcW w:type="dxa" w:w="1584"/>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T4-ML-PO-008</w:t>
            </w:r>
          </w:p>
        </w:tc>
        <w:tc>
          <w:tcPr>
            <w:tcW w:type="dxa" w:w="676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Определить PIT и идемпотентность.</w:t>
            </w:r>
          </w:p>
        </w:tc>
        <w:tc>
          <w:tcPr>
            <w:tcW w:type="dxa" w:w="172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CLOSED FORMAL; SOFTWARE OPEN</w:t>
            </w:r>
          </w:p>
        </w:tc>
      </w:tr>
      <w:tr>
        <w:trPr>
          <w:cantSplit w:val="true"/>
          <w:trHeight w:hRule="atLeast"/>
        </w:trPr>
        <w:tc>
          <w:tcPr>
            <w:tcW w:type="dxa" w:w="1584"/>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T4-ML-PO-009</w:t>
            </w:r>
          </w:p>
        </w:tc>
        <w:tc>
          <w:tcPr>
            <w:tcW w:type="dxa" w:w="676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Типизировать Kurpishev system и atlas gate.</w:t>
            </w:r>
          </w:p>
        </w:tc>
        <w:tc>
          <w:tcPr>
            <w:tcW w:type="dxa" w:w="172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PARTIAL · FULL ATLAS OPEN</w:t>
            </w:r>
          </w:p>
        </w:tc>
      </w:tr>
      <w:tr>
        <w:trPr>
          <w:cantSplit w:val="true"/>
          <w:trHeight w:hRule="atLeast"/>
        </w:trPr>
        <w:tc>
          <w:tcPr>
            <w:tcW w:type="dxa" w:w="1584"/>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T4-ML-PO-010</w:t>
            </w:r>
          </w:p>
        </w:tc>
        <w:tc>
          <w:tcPr>
            <w:tcW w:type="dxa" w:w="676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Доказать observer equivalence modulo regular background.</w:t>
            </w:r>
          </w:p>
        </w:tc>
        <w:tc>
          <w:tcPr>
            <w:tcW w:type="dxa" w:w="172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CLOSED · THM-FORMAL</w:t>
            </w:r>
          </w:p>
        </w:tc>
      </w:tr>
      <w:tr>
        <w:trPr>
          <w:cantSplit w:val="true"/>
          <w:trHeight w:hRule="atLeast"/>
        </w:trPr>
        <w:tc>
          <w:tcPr>
            <w:tcW w:type="dxa" w:w="1584"/>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T4-ML-PO-011</w:t>
            </w:r>
          </w:p>
        </w:tc>
        <w:tc>
          <w:tcPr>
            <w:tcW w:type="dxa" w:w="676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Типизировать RPLD1/RPLD2/RPLD.</w:t>
            </w:r>
          </w:p>
        </w:tc>
        <w:tc>
          <w:tcPr>
            <w:tcW w:type="dxa" w:w="172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CLOSED MODEL; EMP BRIDGE OPEN</w:t>
            </w:r>
          </w:p>
        </w:tc>
      </w:tr>
      <w:tr>
        <w:trPr>
          <w:cantSplit w:val="true"/>
          <w:trHeight w:hRule="atLeast"/>
        </w:trPr>
        <w:tc>
          <w:tcPr>
            <w:tcW w:type="dxa" w:w="1584"/>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T4-ML-PO-012</w:t>
            </w:r>
          </w:p>
        </w:tc>
        <w:tc>
          <w:tcPr>
            <w:tcW w:type="dxa" w:w="676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Исторический atlas/refinement и obstruction naturality.</w:t>
            </w:r>
          </w:p>
        </w:tc>
        <w:tc>
          <w:tcPr>
            <w:tcW w:type="dxa" w:w="172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CLOSED COND</w:t>
            </w:r>
          </w:p>
        </w:tc>
      </w:tr>
      <w:tr>
        <w:trPr>
          <w:cantSplit w:val="true"/>
          <w:trHeight w:hRule="atLeast"/>
        </w:trPr>
        <w:tc>
          <w:tcPr>
            <w:tcW w:type="dxa" w:w="1584"/>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T4-ML-PO-013</w:t>
            </w:r>
          </w:p>
        </w:tc>
        <w:tc>
          <w:tcPr>
            <w:tcW w:type="dxa" w:w="676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Сформировать междисциплинарную export matrix.</w:t>
            </w:r>
          </w:p>
        </w:tc>
        <w:tc>
          <w:tcPr>
            <w:tcW w:type="dxa" w:w="172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CLOSED · EMP-PLAN</w:t>
            </w:r>
          </w:p>
        </w:tc>
      </w:tr>
      <w:tr>
        <w:trPr>
          <w:cantSplit w:val="true"/>
          <w:trHeight w:hRule="atLeast"/>
        </w:trPr>
        <w:tc>
          <w:tcPr>
            <w:tcW w:type="dxa" w:w="1584"/>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T4-ML-PO-014</w:t>
            </w:r>
          </w:p>
        </w:tc>
        <w:tc>
          <w:tcPr>
            <w:tcW w:type="dxa" w:w="676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Получить exact bytes трёх library posters для frozen package.</w:t>
            </w:r>
          </w:p>
        </w:tc>
        <w:tc>
          <w:tcPr>
            <w:tcW w:type="dxa" w:w="172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OPEN NON-VETO</w:t>
            </w:r>
          </w:p>
        </w:tc>
      </w:tr>
      <w:tr>
        <w:trPr>
          <w:cantSplit w:val="true"/>
          <w:trHeight w:hRule="atLeast"/>
        </w:trPr>
        <w:tc>
          <w:tcPr>
            <w:tcW w:type="dxa" w:w="1584"/>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T4-ML-PO-015</w:t>
            </w:r>
          </w:p>
        </w:tc>
        <w:tc>
          <w:tcPr>
            <w:tcW w:type="dxa" w:w="676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Реализовать KLT-RBD schema fields principal_part/counterterm/gauge/obstruction.</w:t>
            </w:r>
          </w:p>
        </w:tc>
        <w:tc>
          <w:tcPr>
            <w:tcW w:type="dxa" w:w="1728"/>
            <w:vAlign w:val="center"/>
            <w:tcMar>
              <w:top w:w="90" w:type="dxa"/>
              <w:start w:w="100" w:type="dxa"/>
              <w:bottom w:w="90" w:type="dxa"/>
              <w:end w:w="100" w:type="dxa"/>
            </w:tcMar>
          </w:tcPr>
          <w:p>
            <w:pPr>
              <w:widowControl/>
              <w:spacing w:before="0" w:after="0" w:line="228" w:lineRule="auto"/>
              <w:jc w:val="left"/>
            </w:pPr>
            <w:r>
              <w:rPr>
                <w:rFonts w:ascii="DejaVu Serif" w:hAnsi="DejaVu Serif" w:eastAsia="DejaVu Serif"/>
                <w:b w:val="0"/>
                <w:i w:val="0"/>
                <w:color w:val="1A2433"/>
                <w:sz w:val="14"/>
              </w:rPr>
            </w:r>
            <w:r>
              <w:rPr>
                <w:rFonts w:ascii="DejaVu Serif" w:hAnsi="DejaVu Serif" w:eastAsia="DejaVu Serif"/>
                <w:b w:val="0"/>
                <w:i w:val="0"/>
                <w:color w:val="1A2433"/>
                <w:sz w:val="14"/>
              </w:rPr>
              <w:t>OPEN → VOLUME V</w:t>
            </w:r>
          </w:p>
        </w:tc>
      </w:tr>
    </w:tbl>
    <w:p>
      <w:pPr>
        <w:pStyle w:val="Heading1"/>
        <w:keepNext/>
        <w:pageBreakBefore/>
        <w:widowControl/>
      </w:pPr>
      <w:r>
        <w:t>Приложение I. Delta-реестр формул T4-F091-T4-F122</w:t>
      </w:r>
    </w:p>
    <w:tbl>
      <w:tblPr>
        <w:tblStyle w:val="TableGrid"/>
        <w:tblW w:type="auto" w:w="0"/>
        <w:jc w:val="center"/>
        <w:tblLayout w:type="fixed"/>
        <w:tblLook w:firstColumn="1" w:firstRow="1" w:lastColumn="0" w:lastRow="0" w:noHBand="0" w:noVBand="1" w:val="04A0"/>
      </w:tblPr>
      <w:tblGrid>
        <w:gridCol w:w="3288"/>
        <w:gridCol w:w="3288"/>
        <w:gridCol w:w="3288"/>
      </w:tblGrid>
      <w:tr>
        <w:trPr>
          <w:trHeight w:hRule="atLeast"/>
          <w:tblHeader w:val="true"/>
        </w:trPr>
        <w:tc>
          <w:tcPr>
            <w:tcW w:type="dxa" w:w="1474"/>
            <w:vAlign w:val="center"/>
            <w:tcMar>
              <w:top w:w="90" w:type="dxa"/>
              <w:start w:w="100" w:type="dxa"/>
              <w:bottom w:w="90" w:type="dxa"/>
              <w:end w:w="100" w:type="dxa"/>
            </w:tcMar>
            <w:shd w:fill="17345F"/>
          </w:tcPr>
          <w:p>
            <w:pPr>
              <w:widowControl/>
              <w:spacing w:after="0" w:before="0" w:line="259" w:lineRule="auto"/>
              <w:jc w:val="center"/>
            </w:pPr>
            <w:r/>
            <w:r>
              <w:rPr>
                <w:rFonts w:ascii="DejaVu Serif" w:hAnsi="DejaVu Serif" w:eastAsia="DejaVu Serif"/>
                <w:b/>
                <w:color w:val="FFFFFF"/>
                <w:sz w:val="15"/>
              </w:rPr>
              <w:t>ID</w:t>
            </w:r>
          </w:p>
        </w:tc>
        <w:tc>
          <w:tcPr>
            <w:tcW w:type="dxa" w:w="6009"/>
            <w:vAlign w:val="center"/>
            <w:tcMar>
              <w:top w:w="90" w:type="dxa"/>
              <w:start w:w="100" w:type="dxa"/>
              <w:bottom w:w="90" w:type="dxa"/>
              <w:end w:w="100" w:type="dxa"/>
            </w:tcMar>
            <w:shd w:fill="17345F"/>
          </w:tcPr>
          <w:p>
            <w:pPr>
              <w:widowControl/>
              <w:spacing w:after="0" w:before="0" w:line="259" w:lineRule="auto"/>
              <w:jc w:val="center"/>
            </w:pPr>
            <w:r/>
            <w:r>
              <w:rPr>
                <w:rFonts w:ascii="DejaVu Serif" w:hAnsi="DejaVu Serif" w:eastAsia="DejaVu Serif"/>
                <w:b/>
                <w:color w:val="FFFFFF"/>
                <w:sz w:val="15"/>
              </w:rPr>
              <w:t>Формула / объект</w:t>
            </w:r>
          </w:p>
        </w:tc>
        <w:tc>
          <w:tcPr>
            <w:tcW w:type="dxa" w:w="2268"/>
            <w:vAlign w:val="center"/>
            <w:tcMar>
              <w:top w:w="90" w:type="dxa"/>
              <w:start w:w="100" w:type="dxa"/>
              <w:bottom w:w="90" w:type="dxa"/>
              <w:end w:w="100" w:type="dxa"/>
            </w:tcMar>
            <w:shd w:fill="17345F"/>
          </w:tcPr>
          <w:p>
            <w:pPr>
              <w:widowControl/>
              <w:spacing w:after="0" w:before="0" w:line="259" w:lineRule="auto"/>
              <w:jc w:val="center"/>
            </w:pPr>
            <w:r/>
            <w:r>
              <w:rPr>
                <w:rFonts w:ascii="DejaVu Serif" w:hAnsi="DejaVu Serif" w:eastAsia="DejaVu Serif"/>
                <w:b/>
                <w:color w:val="FFFFFF"/>
                <w:sz w:val="15"/>
              </w:rPr>
              <w:t>Статус</w:t>
            </w:r>
          </w:p>
        </w:tc>
      </w:tr>
      <w:tr>
        <w:trPr>
          <w:trHeight w:hRule="atLeast"/>
        </w:trPr>
        <w:tc>
          <w:tcPr>
            <w:tcW w:type="dxa" w:w="147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T4-F091</w:t>
            </w:r>
          </w:p>
        </w:tc>
        <w:tc>
          <w:tcPr>
            <w:tcW w:type="dxa" w:w="600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𝔅_R={R−01,R−1,R−02,R−2,R−03,R−3,R−04,R−4}</w:t>
            </w:r>
          </w:p>
        </w:tc>
        <w:tc>
          <w:tcPr>
            <w:tcW w:type="dxa" w:w="2268"/>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AUTHORIAL DEF</w:t>
            </w:r>
          </w:p>
        </w:tc>
      </w:tr>
      <w:tr>
        <w:trPr>
          <w:trHeight w:hRule="atLeast"/>
        </w:trPr>
        <w:tc>
          <w:tcPr>
            <w:tcW w:type="dxa" w:w="147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T4-F092</w:t>
            </w:r>
          </w:p>
        </w:tc>
        <w:tc>
          <w:tcPr>
            <w:tcW w:type="dxa" w:w="600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R_ν=(A_ν,Cl_ν,Rel_ν,D_ν,Dom_ν,Prov_ν,σ_ν)</w:t>
            </w:r>
          </w:p>
        </w:tc>
        <w:tc>
          <w:tcPr>
            <w:tcW w:type="dxa" w:w="2268"/>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MODEL DEF</w:t>
            </w:r>
          </w:p>
        </w:tc>
      </w:tr>
      <w:tr>
        <w:trPr>
          <w:trHeight w:hRule="atLeast"/>
        </w:trPr>
        <w:tc>
          <w:tcPr>
            <w:tcW w:type="dxa" w:w="147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T4-F093</w:t>
            </w:r>
          </w:p>
        </w:tc>
        <w:tc>
          <w:tcPr>
            <w:tcW w:type="dxa" w:w="600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closure operators Cl_log/Cl_exp/Cl_rit</w:t>
            </w:r>
          </w:p>
        </w:tc>
        <w:tc>
          <w:tcPr>
            <w:tcW w:type="dxa" w:w="2268"/>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CLOSURE MODEL</w:t>
            </w:r>
          </w:p>
        </w:tc>
      </w:tr>
      <w:tr>
        <w:trPr>
          <w:trHeight w:hRule="atLeast"/>
        </w:trPr>
        <w:tc>
          <w:tcPr>
            <w:tcW w:type="dxa" w:w="147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T4-F094</w:t>
            </w:r>
          </w:p>
        </w:tc>
        <w:tc>
          <w:tcPr>
            <w:tcW w:type="dxa" w:w="600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Mixed_R tuple</w:t>
            </w:r>
          </w:p>
        </w:tc>
        <w:tc>
          <w:tcPr>
            <w:tcW w:type="dxa" w:w="2268"/>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AUTHORIAL MODEL</w:t>
            </w:r>
          </w:p>
        </w:tc>
      </w:tr>
      <w:tr>
        <w:trPr>
          <w:trHeight w:hRule="atLeast"/>
        </w:trPr>
        <w:tc>
          <w:tcPr>
            <w:tcW w:type="dxa" w:w="147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T4-F095</w:t>
            </w:r>
          </w:p>
        </w:tc>
        <w:tc>
          <w:tcPr>
            <w:tcW w:type="dxa" w:w="600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Dialog bridge with residual</w:t>
            </w:r>
          </w:p>
        </w:tc>
        <w:tc>
          <w:tcPr>
            <w:tcW w:type="dxa" w:w="2268"/>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AUTHORIAL DEF</w:t>
            </w:r>
          </w:p>
        </w:tc>
      </w:tr>
      <w:tr>
        <w:trPr>
          <w:trHeight w:hRule="atLeast"/>
        </w:trPr>
        <w:tc>
          <w:tcPr>
            <w:tcW w:type="dxa" w:w="147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T4-F096</w:t>
            </w:r>
          </w:p>
        </w:tc>
        <w:tc>
          <w:tcPr>
            <w:tcW w:type="dxa" w:w="600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V_PD=P^±⊕D^±</w:t>
            </w:r>
          </w:p>
        </w:tc>
        <w:tc>
          <w:tcPr>
            <w:tcW w:type="dxa" w:w="2268"/>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MODEL DEF</w:t>
            </w:r>
          </w:p>
        </w:tc>
      </w:tr>
      <w:tr>
        <w:trPr>
          <w:trHeight w:hRule="atLeast"/>
        </w:trPr>
        <w:tc>
          <w:tcPr>
            <w:tcW w:type="dxa" w:w="147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T4-F097</w:t>
            </w:r>
          </w:p>
        </w:tc>
        <w:tc>
          <w:tcPr>
            <w:tcW w:type="dxa" w:w="600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K(A)=[[0,A],[-Aᵀ,0]]</w:t>
            </w:r>
          </w:p>
        </w:tc>
        <w:tc>
          <w:tcPr>
            <w:tcW w:type="dxa" w:w="2268"/>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AUTHORIAL NAMING/CLASSICAL</w:t>
            </w:r>
          </w:p>
        </w:tc>
      </w:tr>
      <w:tr>
        <w:trPr>
          <w:trHeight w:hRule="atLeast"/>
        </w:trPr>
        <w:tc>
          <w:tcPr>
            <w:tcW w:type="dxa" w:w="147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T4-F098</w:t>
            </w:r>
          </w:p>
        </w:tc>
        <w:tc>
          <w:tcPr>
            <w:tcW w:type="dxa" w:w="600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Feather(p,d)=p∧d</w:t>
            </w:r>
          </w:p>
        </w:tc>
        <w:tc>
          <w:tcPr>
            <w:tcW w:type="dxa" w:w="2268"/>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AUTHORIAL DEF</w:t>
            </w:r>
          </w:p>
        </w:tc>
      </w:tr>
      <w:tr>
        <w:trPr>
          <w:trHeight w:hRule="atLeast"/>
        </w:trPr>
        <w:tc>
          <w:tcPr>
            <w:tcW w:type="dxa" w:w="147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T4-F099</w:t>
            </w:r>
          </w:p>
        </w:tc>
        <w:tc>
          <w:tcPr>
            <w:tcW w:type="dxa" w:w="600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Kᵀ=−K; rank K=2 rank A</w:t>
            </w:r>
          </w:p>
        </w:tc>
        <w:tc>
          <w:tcPr>
            <w:tcW w:type="dxa" w:w="2268"/>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THM-FORMAL</w:t>
            </w:r>
          </w:p>
        </w:tc>
      </w:tr>
      <w:tr>
        <w:trPr>
          <w:trHeight w:hRule="atLeast"/>
        </w:trPr>
        <w:tc>
          <w:tcPr>
            <w:tcW w:type="dxa" w:w="147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T4-F100</w:t>
            </w:r>
          </w:p>
        </w:tc>
        <w:tc>
          <w:tcPr>
            <w:tcW w:type="dxa" w:w="600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dim ker K formula</w:t>
            </w:r>
          </w:p>
        </w:tc>
        <w:tc>
          <w:tcPr>
            <w:tcW w:type="dxa" w:w="2268"/>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THM-FORMAL</w:t>
            </w:r>
          </w:p>
        </w:tc>
      </w:tr>
      <w:tr>
        <w:trPr>
          <w:trHeight w:hRule="atLeast"/>
        </w:trPr>
        <w:tc>
          <w:tcPr>
            <w:tcW w:type="dxa" w:w="147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T4-F101</w:t>
            </w:r>
          </w:p>
        </w:tc>
        <w:tc>
          <w:tcPr>
            <w:tcW w:type="dxa" w:w="600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Spec(K)={±iσ_j}</w:t>
            </w:r>
          </w:p>
        </w:tc>
        <w:tc>
          <w:tcPr>
            <w:tcW w:type="dxa" w:w="2268"/>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THM-FORMAL</w:t>
            </w:r>
          </w:p>
        </w:tc>
      </w:tr>
      <w:tr>
        <w:trPr>
          <w:trHeight w:hRule="atLeast"/>
        </w:trPr>
        <w:tc>
          <w:tcPr>
            <w:tcW w:type="dxa" w:w="147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T4-F102</w:t>
            </w:r>
          </w:p>
        </w:tc>
        <w:tc>
          <w:tcPr>
            <w:tcW w:type="dxa" w:w="600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Gap_Feather index</w:t>
            </w:r>
          </w:p>
        </w:tc>
        <w:tc>
          <w:tcPr>
            <w:tcW w:type="dxa" w:w="2268"/>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AUTHORIAL INDEX</w:t>
            </w:r>
          </w:p>
        </w:tc>
      </w:tr>
      <w:tr>
        <w:trPr>
          <w:trHeight w:hRule="atLeast"/>
        </w:trPr>
        <w:tc>
          <w:tcPr>
            <w:tcW w:type="dxa" w:w="147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T4-F103</w:t>
            </w:r>
          </w:p>
        </w:tc>
        <w:tc>
          <w:tcPr>
            <w:tcW w:type="dxa" w:w="600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sign atlas Σ_PD</w:t>
            </w:r>
          </w:p>
        </w:tc>
        <w:tc>
          <w:tcPr>
            <w:tcW w:type="dxa" w:w="2268"/>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SIGN DEF</w:t>
            </w:r>
          </w:p>
        </w:tc>
      </w:tr>
      <w:tr>
        <w:trPr>
          <w:trHeight w:hRule="atLeast"/>
        </w:trPr>
        <w:tc>
          <w:tcPr>
            <w:tcW w:type="dxa" w:w="147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T4-F104</w:t>
            </w:r>
          </w:p>
        </w:tc>
        <w:tc>
          <w:tcPr>
            <w:tcW w:type="dxa" w:w="600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minimal support factorization A=UV</w:t>
            </w:r>
          </w:p>
        </w:tc>
        <w:tc>
          <w:tcPr>
            <w:tcW w:type="dxa" w:w="2268"/>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CLASSICAL THM/KLT</w:t>
            </w:r>
          </w:p>
        </w:tc>
      </w:tr>
      <w:tr>
        <w:trPr>
          <w:trHeight w:hRule="atLeast"/>
        </w:trPr>
        <w:tc>
          <w:tcPr>
            <w:tcW w:type="dxa" w:w="147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T4-F105</w:t>
            </w:r>
          </w:p>
        </w:tc>
        <w:tc>
          <w:tcPr>
            <w:tcW w:type="dxa" w:w="600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Act/Trace/Consequence/Foundation types</w:t>
            </w:r>
          </w:p>
        </w:tc>
        <w:tc>
          <w:tcPr>
            <w:tcW w:type="dxa" w:w="2268"/>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TYPE LOCK</w:t>
            </w:r>
          </w:p>
        </w:tc>
      </w:tr>
      <w:tr>
        <w:trPr>
          <w:trHeight w:hRule="atLeast"/>
        </w:trPr>
        <w:tc>
          <w:tcPr>
            <w:tcW w:type="dxa" w:w="147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T4-F106</w:t>
            </w:r>
          </w:p>
        </w:tc>
        <w:tc>
          <w:tcPr>
            <w:tcW w:type="dxa" w:w="600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pairwise type inequality</w:t>
            </w:r>
          </w:p>
        </w:tc>
        <w:tc>
          <w:tcPr>
            <w:tcW w:type="dxa" w:w="2268"/>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NEGATIVE TYPE THM</w:t>
            </w:r>
          </w:p>
        </w:tc>
      </w:tr>
      <w:tr>
        <w:trPr>
          <w:trHeight w:hRule="atLeast"/>
        </w:trPr>
        <w:tc>
          <w:tcPr>
            <w:tcW w:type="dxa" w:w="147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T4-F107</w:t>
            </w:r>
          </w:p>
        </w:tc>
        <w:tc>
          <w:tcPr>
            <w:tcW w:type="dxa" w:w="600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trace observation map h</w:t>
            </w:r>
          </w:p>
        </w:tc>
        <w:tc>
          <w:tcPr>
            <w:tcW w:type="dxa" w:w="2268"/>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MODEL</w:t>
            </w:r>
          </w:p>
        </w:tc>
      </w:tr>
      <w:tr>
        <w:trPr>
          <w:trHeight w:hRule="atLeast"/>
        </w:trPr>
        <w:tc>
          <w:tcPr>
            <w:tcW w:type="dxa" w:w="147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T4-F108</w:t>
            </w:r>
          </w:p>
        </w:tc>
        <w:tc>
          <w:tcPr>
            <w:tcW w:type="dxa" w:w="600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causal graph vs participation hypergraph</w:t>
            </w:r>
          </w:p>
        </w:tc>
        <w:tc>
          <w:tcPr>
            <w:tcW w:type="dxa" w:w="2268"/>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TWO-LAYER MODEL</w:t>
            </w:r>
          </w:p>
        </w:tc>
      </w:tr>
      <w:tr>
        <w:trPr>
          <w:trHeight w:hRule="atLeast"/>
        </w:trPr>
        <w:tc>
          <w:tcPr>
            <w:tcW w:type="dxa" w:w="147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T4-F109</w:t>
            </w:r>
          </w:p>
        </w:tc>
        <w:tc>
          <w:tcPr>
            <w:tcW w:type="dxa" w:w="600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Demon=Gap_D</w:t>
            </w:r>
          </w:p>
        </w:tc>
        <w:tc>
          <w:tcPr>
            <w:tcW w:type="dxa" w:w="2268"/>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AUTHORIAL DEF</w:t>
            </w:r>
          </w:p>
        </w:tc>
      </w:tr>
      <w:tr>
        <w:trPr>
          <w:trHeight w:hRule="atLeast"/>
        </w:trPr>
        <w:tc>
          <w:tcPr>
            <w:tcW w:type="dxa" w:w="147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T4-F110</w:t>
            </w:r>
          </w:p>
        </w:tc>
        <w:tc>
          <w:tcPr>
            <w:tcW w:type="dxa" w:w="600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DaemonFree gate</w:t>
            </w:r>
          </w:p>
        </w:tc>
        <w:tc>
          <w:tcPr>
            <w:tcW w:type="dxa" w:w="2268"/>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KLT GATE</w:t>
            </w:r>
          </w:p>
        </w:tc>
      </w:tr>
      <w:tr>
        <w:trPr>
          <w:trHeight w:hRule="atLeast"/>
        </w:trPr>
        <w:tc>
          <w:tcPr>
            <w:tcW w:type="dxa" w:w="147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T4-F111</w:t>
            </w:r>
          </w:p>
        </w:tc>
        <w:tc>
          <w:tcPr>
            <w:tcW w:type="dxa" w:w="600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R−1→R−02→R−03 schema</w:t>
            </w:r>
          </w:p>
        </w:tc>
        <w:tc>
          <w:tcPr>
            <w:tcW w:type="dxa" w:w="2268"/>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AUTHORIAL MODEL</w:t>
            </w:r>
          </w:p>
        </w:tc>
      </w:tr>
      <w:tr>
        <w:trPr>
          <w:trHeight w:hRule="atLeast"/>
        </w:trPr>
        <w:tc>
          <w:tcPr>
            <w:tcW w:type="dxa" w:w="147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T4-F112</w:t>
            </w:r>
          </w:p>
        </w:tc>
        <w:tc>
          <w:tcPr>
            <w:tcW w:type="dxa" w:w="600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Text_Enoch≠Event_Enoch≠KLT_Model</w:t>
            </w:r>
          </w:p>
        </w:tc>
        <w:tc>
          <w:tcPr>
            <w:tcW w:type="dxa" w:w="2268"/>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STATUS FIREWALL</w:t>
            </w:r>
          </w:p>
        </w:tc>
      </w:tr>
      <w:tr>
        <w:trPr>
          <w:trHeight w:hRule="atLeast"/>
        </w:trPr>
        <w:tc>
          <w:tcPr>
            <w:tcW w:type="dxa" w:w="147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T4-F113</w:t>
            </w:r>
          </w:p>
        </w:tc>
        <w:tc>
          <w:tcPr>
            <w:tcW w:type="dxa" w:w="600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E_Enoch:PreFold⇀RPLD</w:t>
            </w:r>
          </w:p>
        </w:tc>
        <w:tc>
          <w:tcPr>
            <w:tcW w:type="dxa" w:w="2268"/>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HERM OPERATOR</w:t>
            </w:r>
          </w:p>
        </w:tc>
      </w:tr>
      <w:tr>
        <w:trPr>
          <w:trHeight w:hRule="atLeast"/>
        </w:trPr>
        <w:tc>
          <w:tcPr>
            <w:tcW w:type="dxa" w:w="147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T4-F114</w:t>
            </w:r>
          </w:p>
        </w:tc>
        <w:tc>
          <w:tcPr>
            <w:tcW w:type="dxa" w:w="600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E_Enoch=p∞(Melichron/FOS)</w:t>
            </w:r>
          </w:p>
        </w:tc>
        <w:tc>
          <w:tcPr>
            <w:tcW w:type="dxa" w:w="2268"/>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SYMBOLIC ONLY</w:t>
            </w:r>
          </w:p>
        </w:tc>
      </w:tr>
      <w:tr>
        <w:trPr>
          <w:trHeight w:hRule="atLeast"/>
        </w:trPr>
        <w:tc>
          <w:tcPr>
            <w:tcW w:type="dxa" w:w="147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T4-F115</w:t>
            </w:r>
          </w:p>
        </w:tc>
        <w:tc>
          <w:tcPr>
            <w:tcW w:type="dxa" w:w="600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RPLD Fold import</w:t>
            </w:r>
          </w:p>
        </w:tc>
        <w:tc>
          <w:tcPr>
            <w:tcW w:type="dxa" w:w="2268"/>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MODEL</w:t>
            </w:r>
          </w:p>
        </w:tc>
      </w:tr>
      <w:tr>
        <w:trPr>
          <w:trHeight w:hRule="atLeast"/>
        </w:trPr>
        <w:tc>
          <w:tcPr>
            <w:tcW w:type="dxa" w:w="147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T4-F116</w:t>
            </w:r>
          </w:p>
        </w:tc>
        <w:tc>
          <w:tcPr>
            <w:tcW w:type="dxa" w:w="600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χ:FOS⇀Beyond(FOS)</w:t>
            </w:r>
          </w:p>
        </w:tc>
        <w:tc>
          <w:tcPr>
            <w:tcW w:type="dxa" w:w="2268"/>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OPEN</w:t>
            </w:r>
          </w:p>
        </w:tc>
      </w:tr>
      <w:tr>
        <w:trPr>
          <w:trHeight w:hRule="atLeast"/>
        </w:trPr>
        <w:tc>
          <w:tcPr>
            <w:tcW w:type="dxa" w:w="147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T4-F117</w:t>
            </w:r>
          </w:p>
        </w:tc>
        <w:tc>
          <w:tcPr>
            <w:tcW w:type="dxa" w:w="600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Moses/Kant/Christ hermeneutic maps</w:t>
            </w:r>
          </w:p>
        </w:tc>
        <w:tc>
          <w:tcPr>
            <w:tcW w:type="dxa" w:w="2268"/>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HERM-MODEL</w:t>
            </w:r>
          </w:p>
        </w:tc>
      </w:tr>
      <w:tr>
        <w:trPr>
          <w:trHeight w:hRule="atLeast"/>
        </w:trPr>
        <w:tc>
          <w:tcPr>
            <w:tcW w:type="dxa" w:w="147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T4-F118</w:t>
            </w:r>
          </w:p>
        </w:tc>
        <w:tc>
          <w:tcPr>
            <w:tcW w:type="dxa" w:w="600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σ_herm vector</w:t>
            </w:r>
          </w:p>
        </w:tc>
        <w:tc>
          <w:tcPr>
            <w:tcW w:type="dxa" w:w="2268"/>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STATUS VECTOR</w:t>
            </w:r>
          </w:p>
        </w:tc>
      </w:tr>
      <w:tr>
        <w:trPr>
          <w:trHeight w:hRule="atLeast"/>
        </w:trPr>
        <w:tc>
          <w:tcPr>
            <w:tcW w:type="dxa" w:w="147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T4-F119</w:t>
            </w:r>
          </w:p>
        </w:tc>
        <w:tc>
          <w:tcPr>
            <w:tcW w:type="dxa" w:w="600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Melichron blocker definition</w:t>
            </w:r>
          </w:p>
        </w:tc>
        <w:tc>
          <w:tcPr>
            <w:tcW w:type="dxa" w:w="2268"/>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BLOCKER</w:t>
            </w:r>
          </w:p>
        </w:tc>
      </w:tr>
      <w:tr>
        <w:trPr>
          <w:trHeight w:hRule="atLeast"/>
        </w:trPr>
        <w:tc>
          <w:tcPr>
            <w:tcW w:type="dxa" w:w="147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T4-F120</w:t>
            </w:r>
          </w:p>
        </w:tc>
        <w:tc>
          <w:tcPr>
            <w:tcW w:type="dxa" w:w="600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HERM + no bridge ⇒ ABSTAIN-STATUS</w:t>
            </w:r>
          </w:p>
        </w:tc>
        <w:tc>
          <w:tcPr>
            <w:tcW w:type="dxa" w:w="2268"/>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STATUS THM</w:t>
            </w:r>
          </w:p>
        </w:tc>
      </w:tr>
      <w:tr>
        <w:trPr>
          <w:trHeight w:hRule="atLeast"/>
        </w:trPr>
        <w:tc>
          <w:tcPr>
            <w:tcW w:type="dxa" w:w="1474"/>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T4-F121</w:t>
            </w:r>
          </w:p>
        </w:tc>
        <w:tc>
          <w:tcPr>
            <w:tcW w:type="dxa" w:w="6009"/>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T4-RA5 tuple</w:t>
            </w:r>
          </w:p>
        </w:tc>
        <w:tc>
          <w:tcPr>
            <w:tcW w:type="dxa" w:w="2268"/>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ROLLBACK DEF</w:t>
            </w:r>
          </w:p>
        </w:tc>
      </w:tr>
      <w:tr>
        <w:trPr>
          <w:trHeight w:hRule="atLeast"/>
        </w:trPr>
        <w:tc>
          <w:tcPr>
            <w:tcW w:type="dxa" w:w="1474"/>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T4-F122</w:t>
            </w:r>
          </w:p>
        </w:tc>
        <w:tc>
          <w:tcPr>
            <w:tcW w:type="dxa" w:w="6009"/>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v0.5 status lock</w:t>
            </w:r>
          </w:p>
        </w:tc>
        <w:tc>
          <w:tcPr>
            <w:tcW w:type="dxa" w:w="2268"/>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STATUS LOCK</w:t>
            </w:r>
          </w:p>
        </w:tc>
      </w:tr>
    </w:tbl>
    <w:p>
      <w:pPr>
        <w:pStyle w:val="Heading1"/>
        <w:keepNext/>
        <w:pageBreakBefore/>
        <w:widowControl/>
      </w:pPr>
      <w:r>
        <w:t>Приложение J. Доказательные обязательства T4-DLG-PO</w:t>
      </w:r>
    </w:p>
    <w:tbl>
      <w:tblPr>
        <w:tblStyle w:val="TableGrid"/>
        <w:tblW w:type="auto" w:w="0"/>
        <w:jc w:val="center"/>
        <w:tblLayout w:type="fixed"/>
        <w:tblLook w:firstColumn="1" w:firstRow="1" w:lastColumn="0" w:lastRow="0" w:noHBand="0" w:noVBand="1" w:val="04A0"/>
      </w:tblPr>
      <w:tblGrid>
        <w:gridCol w:w="3288"/>
        <w:gridCol w:w="3288"/>
        <w:gridCol w:w="3288"/>
      </w:tblGrid>
      <w:tr>
        <w:trPr>
          <w:trHeight w:hRule="atLeast"/>
          <w:tblHeader w:val="true"/>
        </w:trPr>
        <w:tc>
          <w:tcPr>
            <w:tcW w:type="dxa" w:w="1757"/>
            <w:vAlign w:val="center"/>
            <w:tcMar>
              <w:top w:w="90" w:type="dxa"/>
              <w:start w:w="100" w:type="dxa"/>
              <w:bottom w:w="90" w:type="dxa"/>
              <w:end w:w="100" w:type="dxa"/>
            </w:tcMar>
            <w:shd w:fill="17345F"/>
          </w:tcPr>
          <w:p>
            <w:pPr>
              <w:widowControl/>
              <w:spacing w:after="0" w:before="0" w:line="259" w:lineRule="auto"/>
              <w:jc w:val="center"/>
            </w:pPr>
            <w:r/>
            <w:r>
              <w:rPr>
                <w:rFonts w:ascii="DejaVu Serif" w:hAnsi="DejaVu Serif" w:eastAsia="DejaVu Serif"/>
                <w:b/>
                <w:color w:val="FFFFFF"/>
                <w:sz w:val="15"/>
              </w:rPr>
              <w:t>ID</w:t>
            </w:r>
          </w:p>
        </w:tc>
        <w:tc>
          <w:tcPr>
            <w:tcW w:type="dxa" w:w="5613"/>
            <w:vAlign w:val="center"/>
            <w:tcMar>
              <w:top w:w="90" w:type="dxa"/>
              <w:start w:w="100" w:type="dxa"/>
              <w:bottom w:w="90" w:type="dxa"/>
              <w:end w:w="100" w:type="dxa"/>
            </w:tcMar>
            <w:shd w:fill="17345F"/>
          </w:tcPr>
          <w:p>
            <w:pPr>
              <w:widowControl/>
              <w:spacing w:after="0" w:before="0" w:line="259" w:lineRule="auto"/>
              <w:jc w:val="center"/>
            </w:pPr>
            <w:r/>
            <w:r>
              <w:rPr>
                <w:rFonts w:ascii="DejaVu Serif" w:hAnsi="DejaVu Serif" w:eastAsia="DejaVu Serif"/>
                <w:b/>
                <w:color w:val="FFFFFF"/>
                <w:sz w:val="15"/>
              </w:rPr>
              <w:t>Обязательство</w:t>
            </w:r>
          </w:p>
        </w:tc>
        <w:tc>
          <w:tcPr>
            <w:tcW w:type="dxa" w:w="2381"/>
            <w:vAlign w:val="center"/>
            <w:tcMar>
              <w:top w:w="90" w:type="dxa"/>
              <w:start w:w="100" w:type="dxa"/>
              <w:bottom w:w="90" w:type="dxa"/>
              <w:end w:w="100" w:type="dxa"/>
            </w:tcMar>
            <w:shd w:fill="17345F"/>
          </w:tcPr>
          <w:p>
            <w:pPr>
              <w:widowControl/>
              <w:spacing w:after="0" w:before="0" w:line="259" w:lineRule="auto"/>
              <w:jc w:val="center"/>
            </w:pPr>
            <w:r/>
            <w:r>
              <w:rPr>
                <w:rFonts w:ascii="DejaVu Serif" w:hAnsi="DejaVu Serif" w:eastAsia="DejaVu Serif"/>
                <w:b/>
                <w:color w:val="FFFFFF"/>
                <w:sz w:val="15"/>
              </w:rPr>
              <w:t>Статус</w:t>
            </w:r>
          </w:p>
        </w:tc>
      </w:tr>
      <w:tr>
        <w:trPr>
          <w:trHeight w:hRule="atLeast"/>
        </w:trPr>
        <w:tc>
          <w:tcPr>
            <w:tcW w:type="dxa" w:w="175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T4-DLG-PO-001</w:t>
            </w:r>
          </w:p>
        </w:tc>
        <w:tc>
          <w:tcPr>
            <w:tcW w:type="dxa" w:w="5613"/>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Зарегистрировать авторскую заметку и legacy-версии.</w:t>
            </w:r>
          </w:p>
        </w:tc>
        <w:tc>
          <w:tcPr>
            <w:tcW w:type="dxa" w:w="238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CLOSED · SOURCE AUDIT</w:t>
            </w:r>
          </w:p>
        </w:tc>
      </w:tr>
      <w:tr>
        <w:trPr>
          <w:trHeight w:hRule="atLeast"/>
        </w:trPr>
        <w:tc>
          <w:tcPr>
            <w:tcW w:type="dxa" w:w="175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T4-DLG-PO-002</w:t>
            </w:r>
          </w:p>
        </w:tc>
        <w:tc>
          <w:tcPr>
            <w:tcW w:type="dxa" w:w="5613"/>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Проверить цитату Леви-Брюля и библиографическую локализацию.</w:t>
            </w:r>
          </w:p>
        </w:tc>
        <w:tc>
          <w:tcPr>
            <w:tcW w:type="dxa" w:w="238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CLOSED TEXT; PAGE BY EDITION OPEN</w:t>
            </w:r>
          </w:p>
        </w:tc>
      </w:tr>
      <w:tr>
        <w:trPr>
          <w:trHeight w:hRule="atLeast"/>
        </w:trPr>
        <w:tc>
          <w:tcPr>
            <w:tcW w:type="dxa" w:w="175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T4-DLG-PO-003</w:t>
            </w:r>
          </w:p>
        </w:tc>
        <w:tc>
          <w:tcPr>
            <w:tcW w:type="dxa" w:w="5613"/>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Задать R-атлас без тотального ранжирования.</w:t>
            </w:r>
          </w:p>
        </w:tc>
        <w:tc>
          <w:tcPr>
            <w:tcW w:type="dxa" w:w="238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CLOSED · DEF/THM</w:t>
            </w:r>
          </w:p>
        </w:tc>
      </w:tr>
      <w:tr>
        <w:trPr>
          <w:trHeight w:hRule="atLeast"/>
        </w:trPr>
        <w:tc>
          <w:tcPr>
            <w:tcW w:type="dxa" w:w="175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T4-DLG-PO-004</w:t>
            </w:r>
          </w:p>
        </w:tc>
        <w:tc>
          <w:tcPr>
            <w:tcW w:type="dxa" w:w="5613"/>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Разделить participation и causal support layers.</w:t>
            </w:r>
          </w:p>
        </w:tc>
        <w:tc>
          <w:tcPr>
            <w:tcW w:type="dxa" w:w="238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CLOSED · TYPE DEF</w:t>
            </w:r>
          </w:p>
        </w:tc>
      </w:tr>
      <w:tr>
        <w:trPr>
          <w:trHeight w:hRule="atLeast"/>
        </w:trPr>
        <w:tc>
          <w:tcPr>
            <w:tcW w:type="dxa" w:w="175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T4-DLG-PO-005</w:t>
            </w:r>
          </w:p>
        </w:tc>
        <w:tc>
          <w:tcPr>
            <w:tcW w:type="dxa" w:w="5613"/>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Определить K(A)-матрицу «Перьев».</w:t>
            </w:r>
          </w:p>
        </w:tc>
        <w:tc>
          <w:tcPr>
            <w:tcW w:type="dxa" w:w="238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CLOSED · DEF</w:t>
            </w:r>
          </w:p>
        </w:tc>
      </w:tr>
      <w:tr>
        <w:trPr>
          <w:trHeight w:hRule="atLeast"/>
        </w:trPr>
        <w:tc>
          <w:tcPr>
            <w:tcW w:type="dxa" w:w="175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T4-DLG-PO-006</w:t>
            </w:r>
          </w:p>
        </w:tc>
        <w:tc>
          <w:tcPr>
            <w:tcW w:type="dxa" w:w="5613"/>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Доказать rank/kernel/spectrum theorem.</w:t>
            </w:r>
          </w:p>
        </w:tc>
        <w:tc>
          <w:tcPr>
            <w:tcW w:type="dxa" w:w="238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CLOSED · THM-FORMAL</w:t>
            </w:r>
          </w:p>
        </w:tc>
      </w:tr>
      <w:tr>
        <w:trPr>
          <w:trHeight w:hRule="atLeast"/>
        </w:trPr>
        <w:tc>
          <w:tcPr>
            <w:tcW w:type="dxa" w:w="175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T4-DLG-PO-007</w:t>
            </w:r>
          </w:p>
        </w:tc>
        <w:tc>
          <w:tcPr>
            <w:tcW w:type="dxa" w:w="5613"/>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Построить минимальную опорную факторизацию.</w:t>
            </w:r>
          </w:p>
        </w:tc>
        <w:tc>
          <w:tcPr>
            <w:tcW w:type="dxa" w:w="238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CLOSED · CLASSICAL THM/KLT INTERPRETATION</w:t>
            </w:r>
          </w:p>
        </w:tc>
      </w:tr>
      <w:tr>
        <w:trPr>
          <w:trHeight w:hRule="atLeast"/>
        </w:trPr>
        <w:tc>
          <w:tcPr>
            <w:tcW w:type="dxa" w:w="175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T4-DLG-PO-008</w:t>
            </w:r>
          </w:p>
        </w:tc>
        <w:tc>
          <w:tcPr>
            <w:tcW w:type="dxa" w:w="5613"/>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Доказать trace non-identifiability.</w:t>
            </w:r>
          </w:p>
        </w:tc>
        <w:tc>
          <w:tcPr>
            <w:tcW w:type="dxa" w:w="238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CLOSED · THM-FORMAL</w:t>
            </w:r>
          </w:p>
        </w:tc>
      </w:tr>
      <w:tr>
        <w:trPr>
          <w:trHeight w:hRule="atLeast"/>
        </w:trPr>
        <w:tc>
          <w:tcPr>
            <w:tcW w:type="dxa" w:w="175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T4-DLG-PO-009</w:t>
            </w:r>
          </w:p>
        </w:tc>
        <w:tc>
          <w:tcPr>
            <w:tcW w:type="dxa" w:w="5613"/>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Определить daemon-gap и elimination gate.</w:t>
            </w:r>
          </w:p>
        </w:tc>
        <w:tc>
          <w:tcPr>
            <w:tcW w:type="dxa" w:w="238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CLOSED · DEF/THM-BY-DEF</w:t>
            </w:r>
          </w:p>
        </w:tc>
      </w:tr>
      <w:tr>
        <w:trPr>
          <w:trHeight w:hRule="atLeast"/>
        </w:trPr>
        <w:tc>
          <w:tcPr>
            <w:tcW w:type="dxa" w:w="175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T4-DLG-PO-010</w:t>
            </w:r>
          </w:p>
        </w:tc>
        <w:tc>
          <w:tcPr>
            <w:tcW w:type="dxa" w:w="5613"/>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Формализовать R−1→R−02→R−03.</w:t>
            </w:r>
          </w:p>
        </w:tc>
        <w:tc>
          <w:tcPr>
            <w:tcW w:type="dxa" w:w="238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CLOSED MODEL; EMP OPEN</w:t>
            </w:r>
          </w:p>
        </w:tc>
      </w:tr>
      <w:tr>
        <w:trPr>
          <w:trHeight w:hRule="atLeast"/>
        </w:trPr>
        <w:tc>
          <w:tcPr>
            <w:tcW w:type="dxa" w:w="175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T4-DLG-PO-011</w:t>
            </w:r>
          </w:p>
        </w:tc>
        <w:tc>
          <w:tcPr>
            <w:tcW w:type="dxa" w:w="5613"/>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Типизировать Enoch Fold и χ.</w:t>
            </w:r>
          </w:p>
        </w:tc>
        <w:tc>
          <w:tcPr>
            <w:tcW w:type="dxa" w:w="238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CLOSED HERM-MODEL; MATH χ OPEN</w:t>
            </w:r>
          </w:p>
        </w:tc>
      </w:tr>
      <w:tr>
        <w:trPr>
          <w:trHeight w:hRule="atLeast"/>
        </w:trPr>
        <w:tc>
          <w:tcPr>
            <w:tcW w:type="dxa" w:w="175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T4-DLG-PO-012</w:t>
            </w:r>
          </w:p>
        </w:tc>
        <w:tc>
          <w:tcPr>
            <w:tcW w:type="dxa" w:w="5613"/>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Разделить text/history/theology/KLT model.</w:t>
            </w:r>
          </w:p>
        </w:tc>
        <w:tc>
          <w:tcPr>
            <w:tcW w:type="dxa" w:w="238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CLOSED · STATUS FIREWALL</w:t>
            </w:r>
          </w:p>
        </w:tc>
      </w:tr>
      <w:tr>
        <w:trPr>
          <w:trHeight w:hRule="atLeast"/>
        </w:trPr>
        <w:tc>
          <w:tcPr>
            <w:tcW w:type="dxa" w:w="175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T4-DLG-PO-013</w:t>
            </w:r>
          </w:p>
        </w:tc>
        <w:tc>
          <w:tcPr>
            <w:tcW w:type="dxa" w:w="5613"/>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Определить Melichron.</w:t>
            </w:r>
          </w:p>
        </w:tc>
        <w:tc>
          <w:tcPr>
            <w:tcW w:type="dxa" w:w="238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OPEN BLOCKER</w:t>
            </w:r>
          </w:p>
        </w:tc>
      </w:tr>
      <w:tr>
        <w:trPr>
          <w:trHeight w:hRule="atLeast"/>
        </w:trPr>
        <w:tc>
          <w:tcPr>
            <w:tcW w:type="dxa" w:w="175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T4-DLG-PO-014</w:t>
            </w:r>
          </w:p>
        </w:tc>
        <w:tc>
          <w:tcPr>
            <w:tcW w:type="dxa" w:w="5613"/>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Проверить гипотезу о конфуцианской смеси режимов.</w:t>
            </w:r>
          </w:p>
        </w:tc>
        <w:tc>
          <w:tcPr>
            <w:tcW w:type="dxa" w:w="238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OPEN HIST-EMP</w:t>
            </w:r>
          </w:p>
        </w:tc>
      </w:tr>
      <w:tr>
        <w:trPr>
          <w:trHeight w:hRule="atLeast"/>
        </w:trPr>
        <w:tc>
          <w:tcPr>
            <w:tcW w:type="dxa" w:w="1757"/>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T4-DLG-PO-015</w:t>
            </w:r>
          </w:p>
        </w:tc>
        <w:tc>
          <w:tcPr>
            <w:tcW w:type="dxa" w:w="5613"/>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Операционализировать R-режимы на корпусах и экспериментах.</w:t>
            </w:r>
          </w:p>
        </w:tc>
        <w:tc>
          <w:tcPr>
            <w:tcW w:type="dxa" w:w="2381"/>
            <w:vAlign w:val="center"/>
            <w:tcMar>
              <w:top w:w="90" w:type="dxa"/>
              <w:start w:w="100" w:type="dxa"/>
              <w:bottom w:w="90" w:type="dxa"/>
              <w:end w:w="100" w:type="dxa"/>
            </w:tcMar>
          </w:tcPr>
          <w:p>
            <w:pPr>
              <w:widowControl/>
              <w:spacing w:after="0" w:before="0" w:line="259" w:lineRule="auto"/>
            </w:pPr>
            <w:r/>
            <w:r>
              <w:rPr>
                <w:rFonts w:ascii="DejaVu Serif" w:hAnsi="DejaVu Serif" w:eastAsia="DejaVu Serif"/>
                <w:b w:val="0"/>
                <w:sz w:val="15"/>
              </w:rPr>
              <w:t>OPEN EMP-PLAN</w:t>
            </w:r>
          </w:p>
        </w:tc>
      </w:tr>
      <w:tr>
        <w:trPr>
          <w:trHeight w:hRule="atLeast"/>
        </w:trPr>
        <w:tc>
          <w:tcPr>
            <w:tcW w:type="dxa" w:w="1757"/>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T4-DLG-PO-016</w:t>
            </w:r>
          </w:p>
        </w:tc>
        <w:tc>
          <w:tcPr>
            <w:tcW w:type="dxa" w:w="5613"/>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Реализовать Feather/support/daemon schema в KLT-RBD.</w:t>
            </w:r>
          </w:p>
        </w:tc>
        <w:tc>
          <w:tcPr>
            <w:tcW w:type="dxa" w:w="2381"/>
            <w:vAlign w:val="center"/>
            <w:tcMar>
              <w:top w:w="90" w:type="dxa"/>
              <w:start w:w="100" w:type="dxa"/>
              <w:bottom w:w="90" w:type="dxa"/>
              <w:end w:w="100" w:type="dxa"/>
            </w:tcMar>
            <w:shd w:fill="F5F7FB"/>
          </w:tcPr>
          <w:p>
            <w:pPr>
              <w:widowControl/>
              <w:spacing w:after="0" w:before="0" w:line="259" w:lineRule="auto"/>
            </w:pPr>
            <w:r/>
            <w:r>
              <w:rPr>
                <w:rFonts w:ascii="DejaVu Serif" w:hAnsi="DejaVu Serif" w:eastAsia="DejaVu Serif"/>
                <w:b w:val="0"/>
                <w:sz w:val="15"/>
              </w:rPr>
              <w:t>OPEN → VOLUME V</w:t>
            </w:r>
          </w:p>
        </w:tc>
      </w:tr>
    </w:tbl>
    <w:p>
      <w:pPr>
        <w:pStyle w:val="Heading1"/>
        <w:keepNext/>
        <w:pageBreakBefore/>
        <w:widowControl/>
      </w:pPr>
      <w:r>
        <w:t>Приложение K. Source-card T4-SRC-016 и статусные границы</w:t>
      </w:r>
    </w:p>
    <w:tbl>
      <w:tblPr>
        <w:tblStyle w:val="TableGrid"/>
        <w:tblW w:type="auto" w:w="0"/>
        <w:jc w:val="center"/>
        <w:tblLook w:firstColumn="1" w:firstRow="1" w:lastColumn="0" w:lastRow="0" w:noHBand="0" w:noVBand="1" w:val="04A0"/>
      </w:tblPr>
      <w:tblGrid>
        <w:gridCol w:w="9865"/>
      </w:tblGrid>
      <w:tr>
        <w:tc>
          <w:tcPr>
            <w:tcW w:type="dxa" w:w="9865"/>
            <w:shd w:fill="F7F0DF"/>
            <w:tcMar>
              <w:top w:w="90" w:type="dxa"/>
              <w:start w:w="100" w:type="dxa"/>
              <w:bottom w:w="90" w:type="dxa"/>
              <w:end w:w="100" w:type="dxa"/>
            </w:tcMar>
            <w:vAlign w:val="center"/>
          </w:tcPr>
          <w:p>
            <w:pPr>
              <w:widowControl/>
              <w:spacing w:after="0"/>
            </w:pPr>
            <w:r>
              <w:rPr>
                <w:rFonts w:ascii="DejaVu Sans" w:hAnsi="DejaVu Sans"/>
                <w:b/>
                <w:color w:val="9A6B1E"/>
                <w:sz w:val="19"/>
              </w:rPr>
              <w:t>T4-SRC-016 — АВТОРСКАЯ ЗАМЕТКА КУРПИШЕВА И. Б.</w:t>
            </w:r>
            <w:r>
              <w:rPr>
                <w:b/>
                <w:color w:val="9B2D30"/>
                <w:sz w:val="18"/>
              </w:rPr>
              <w:t xml:space="preserve">  [AUTHORIAL PRIMARY]</w:t>
            </w:r>
          </w:p>
          <w:p>
            <w:pPr>
              <w:widowControl/>
              <w:spacing w:after="0" w:line="259" w:lineRule="auto"/>
            </w:pPr>
            <w:r>
              <w:rPr>
                <w:rFonts w:ascii="DejaVu Serif" w:hAnsi="DejaVu Serif"/>
                <w:sz w:val="18"/>
              </w:rPr>
              <w:t>Ключевые узлы: раннее различение отвлечённого и пра-логического мышления у Леви-Брюля; R−1 как сопричастная область причин-духов и действий-стихий; «Перья» как кососимметричные связи; отделение ±П∓Д от O*S в R−02; daemon-gap; различение действия, следа и следствия; логика/опыт/ритуал как шаблоны; «Загадка Еноха», Складка RPLD, Моисей, Кант и выход за FOS. Авторство проектной интерпретации: Курпишев Иван Борисович.</w:t>
            </w:r>
          </w:p>
        </w:tc>
        <w:trPr>
          <w:trHeight w:hRule="atLeast"/>
          <w:tblHeader/>
        </w:trPr>
      </w:tr>
    </w:tbl>
    <w:p>
      <w:pPr>
        <w:widowControl/>
      </w:pPr>
      <w:r>
        <w:t>Редакционный принцип: заметка не сокращена до метафоры и не принята буквально. Каждый узел либо получил математическую конструкцию, либо перенесён в HERM/HIST-HYP с blocker. В частности, доказаны свойства K(A) и следовая неидентифицируемость; теологические и исторические переходы не повышены.</w:t>
      </w:r>
    </w:p>
    <w:p>
      <w:pPr>
        <w:pStyle w:val="Heading1"/>
        <w:keepNext/>
        <w:pageBreakBefore/>
        <w:widowControl/>
      </w:pPr>
      <w:r>
        <w:t>Приложение L. Delta-реестр формул T4-F123-T4-F158</w:t>
      </w:r>
    </w:p>
    <w:tbl>
      <w:tblPr>
        <w:tblW w:type="auto" w:w="0"/>
        <w:jc w:val="center"/>
        <w:tblLayout w:type="fixed"/>
        <w:tblLook w:firstColumn="1" w:firstRow="1" w:lastColumn="0" w:lastRow="0" w:noHBand="0" w:noVBand="1" w:val="04A0"/>
      </w:tblPr>
      <w:tblGrid>
        <w:gridCol w:w="3288"/>
        <w:gridCol w:w="3288"/>
        <w:gridCol w:w="3288"/>
      </w:tblGrid>
      <w:tr>
        <w:trPr>
          <w:trHeight w:hRule="atLeast"/>
          <w:tblHeader w:val="true"/>
        </w:trPr>
        <w:tc>
          <w:tcPr>
            <w:tcW w:type="dxa" w:w="1656"/>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5"/>
              </w:rPr>
              <w:t>ID</w:t>
            </w:r>
          </w:p>
        </w:tc>
        <w:tc>
          <w:tcPr>
            <w:tcW w:type="dxa" w:w="5688"/>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5"/>
              </w:rPr>
              <w:t>Формула / объект</w:t>
            </w:r>
          </w:p>
        </w:tc>
        <w:tc>
          <w:tcPr>
            <w:tcW w:type="dxa" w:w="2088"/>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5"/>
              </w:rPr>
              <w:t>Статус</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T4-F123</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E=(Σ,Ax,Rules,Dom,D,Prov,σ)</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AUTHORIAL DEF</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T4-F124</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Sol_E(P)</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DEF/COND</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T4-F125</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Disc_E:Trace_E⇀Sol_E(P)</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AUTHORIAL DEF</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T4-F126</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Inv:E⇀E′</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AUTHORIAL DEF</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T4-F127</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Vis_h:(H,M,U(E))⇀Conj(E)</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AUTHORIAL MODEL</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T4-F128</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status(Vis)⪯CONJ until proof gate</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STATUS LOCK</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T4-F129</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Rep_disc=(R_x,I_inv,U_alt;D_proof)</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AUTHORIAL DEF</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T4-F130</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N=(n_obj,n_rule,n_repr,n_proof,n_use)</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VECTOR DEF</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T4-F131</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Ctx tuple</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AUTHORIAL DEF</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T4-F132</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D refined tuple</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REFINED DEF</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T4-F133</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τ=(τ_C,τ_D,residual)</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AUTHORIAL DEF</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T4-F134</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commuting justification square</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THM GATE</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T4-F135</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foreign-D condition</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DEF</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T4-F136</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Misreading classifier</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AUTHORIAL</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T4-F137</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g_D defect vector</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VECTOR DEF</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T4-F138</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Repair_D partial operator</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AUTHORIAL</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T4-F139</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unresolved residual⇒ABSTAIN-HERM</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STATUS GATE</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T4-F140</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Γ_h anthropological gap vector</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AUTHORIAL VECTOR</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T4-F141</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typed component spaces G_j</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TYPED DEF</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T4-F142</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componentwise partial order</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ORDER DEF</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T4-F143</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AnthroCGI:=Γ_h</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AUTHORIAL DEF</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T4-F144</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conditional aggregation Agg_w</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COND/NO DEFAULT</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T4-F145</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Bridge_j repair map</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PARTIAL OPERATOR</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T4-F146</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Repair(Γ_h)</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AUTHORIAL OPERATOR</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T4-F147</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mandatory unresolved⇒ABSTAIN-ANTHRO</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WEAKEST-LINK</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T4-F148</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Doc_h tuple</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AUTHORIAL DEF</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T4-F149</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Authenticity≠Truth≠Reliability≠Relevance≠Sufficiency</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TYPE FIREWALL</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T4-F150</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Archive_h category tuple</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AUTHORIAL CATEGORY</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T4-F151</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Custody chain</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PROVENANCE</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T4-F152</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Enc:LivedEvent⇀Doc</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PARTIAL ENCODING</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T4-F153</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Enc non-injective⇒no total inverse</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THM-FORMAL</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T4-F154</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Reconstruct partial set-valued map</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PARTIAL</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T4-F155</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ExtMem_h graph</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AUTHORIAL DEF</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T4-F156</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KLT document/archive pipeline</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AUTHORIAL PIPELINE</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T4-F157</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T4-RA6 tuple</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ROLLBACK DEF</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T4-F158</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v0.6 philosophy/status lock</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STATUS LOCK</w:t>
            </w:r>
          </w:p>
        </w:tc>
      </w:tr>
    </w:tbl>
    <w:p>
      <w:pPr>
        <w:pStyle w:val="Heading1"/>
        <w:keepNext/>
        <w:pageBreakBefore/>
        <w:widowControl/>
      </w:pPr>
      <w:r>
        <w:t>Приложение M. Доказательные обязательства T4-CRT-PO</w:t>
      </w:r>
    </w:p>
    <w:tbl>
      <w:tblPr>
        <w:tblW w:type="auto" w:w="0"/>
        <w:jc w:val="center"/>
        <w:tblLayout w:type="fixed"/>
        <w:tblLook w:firstColumn="1" w:firstRow="1" w:lastColumn="0" w:lastRow="0" w:noHBand="0" w:noVBand="1" w:val="04A0"/>
      </w:tblPr>
      <w:tblGrid>
        <w:gridCol w:w="3288"/>
        <w:gridCol w:w="3288"/>
        <w:gridCol w:w="3288"/>
      </w:tblGrid>
      <w:tr>
        <w:trPr>
          <w:trHeight w:hRule="atLeast"/>
          <w:tblHeader w:val="true"/>
        </w:trPr>
        <w:tc>
          <w:tcPr>
            <w:tcW w:type="dxa" w:w="1944"/>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5"/>
              </w:rPr>
              <w:t>ID</w:t>
            </w:r>
          </w:p>
        </w:tc>
        <w:tc>
          <w:tcPr>
            <w:tcW w:type="dxa" w:w="5544"/>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5"/>
              </w:rPr>
              <w:t>Обязательство</w:t>
            </w:r>
          </w:p>
        </w:tc>
        <w:tc>
          <w:tcPr>
            <w:tcW w:type="dxa" w:w="1944"/>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5"/>
              </w:rPr>
              <w:t>Статус</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T4-CRT-PO-001</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Зафиксировать философскую редакционную норму Тома IV.</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CLOSED · EDITORIAL DEF</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T4-CRT-PO-002</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Определить фиксированную формальную среду E.</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CLOSED · DEF</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T4-CRT-PO-003</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Различить Disc/Inv операционно.</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CLOSED · THM-FORMAL</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T4-CRT-PO-004</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Типизировать математическое видение и proof gate.</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CLOSED · MODEL/STATUS THM</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T4-CRT-PO-005</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Ввести Reper открытия и вектор новизны.</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CLOSED · DEF</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T4-CRT-PO-006</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Определить контекст, τ и commuting D-square.</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CLOSED · DEF</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T4-CRT-PO-007</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Доказать теорему переноса D и ABSTAIN-HERM.</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CLOSED · THM-FORMAL</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T4-CRT-PO-008</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Разделить foreign-D, disagreement, reinterpretation и fraud.</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CLOSED · TYPE FIREWALL</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T4-CRT-PO-009</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Определить g_D и Repair_D.</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CLOSED · PARTIAL OPERATOR</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T4-CRT-PO-010</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Переопределить AnthroCGI как вектор Γ_h.</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CLOSED · DEF</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T4-CRT-PO-011</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Доказать no-canonical-scalarization theorem.</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CLOSED · THM-FORMAL</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T4-CRT-PO-012</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Построить таксономию разрывов и weakest-link repair.</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CLOSED · DEF/PROP</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T4-CRT-PO-013</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Определить Doc_h и Archive_h.</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CLOSED · DEF</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T4-CRT-PO-014</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Доказать независимость authenticity/truth и non-injectivity Enc.</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CLOSED · THM-FORMAL</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T4-CRT-PO-015</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Создать ExtMem_h, RA6 и философский status lock.</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CLOSED · AUTHORIAL</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5"/>
              </w:rPr>
              <w:t>T4-CRT-PO-016</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Реализовать схемы Disc/Inv/Γ_h/Archive в KLT-RBD и провести доменные исследования.</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5"/>
              </w:rPr>
              <w:t>OPEN → VOLUME V / EMP-PLAN</w:t>
            </w:r>
          </w:p>
        </w:tc>
      </w:tr>
    </w:tbl>
    <w:p>
      <w:pPr>
        <w:pStyle w:val="Heading1"/>
        <w:keepNext/>
        <w:pageBreakBefore/>
        <w:widowControl/>
      </w:pPr>
      <w:r>
        <w:t>Приложение N. Философский метод Тома IV и Source-card T4-SRC-024</w:t>
      </w:r>
    </w:p>
    <w:tbl>
      <w:tblPr>
        <w:tblW w:type="auto" w:w="0"/>
        <w:jc w:val="center"/>
        <w:tblLayout w:type="fixed"/>
        <w:tblLook w:firstColumn="1" w:firstRow="1" w:lastColumn="0" w:lastRow="0" w:noHBand="0" w:noVBand="1" w:val="04A0"/>
      </w:tblPr>
      <w:tblGrid>
        <w:gridCol w:w="9432"/>
      </w:tblGrid>
      <w:tr>
        <w:trPr>
          <w:cantSplit w:val="true"/>
          <w:trHeight w:hRule="atLeast"/>
        </w:trPr>
        <w:tc>
          <w:tcPr>
            <w:tcW w:type="dxa" w:w="9432"/>
            <w:vAlign w:val="center"/>
            <w:shd w:fill="FBF5E8" w:val="clear"/>
            <w:tcBorders>
              <w:top w:val="single" w:sz="12" w:color="A87B20"/>
              <w:left w:val="single" w:sz="12" w:color="A87B20"/>
              <w:bottom w:val="single" w:sz="12" w:color="A87B20"/>
              <w:right w:val="single" w:sz="12" w:color="A87B20"/>
            </w:tcBorders>
            <w:tcMar>
              <w:top w:w="90" w:type="dxa"/>
              <w:start w:w="100" w:type="dxa"/>
              <w:bottom w:w="90" w:type="dxa"/>
              <w:end w:w="100" w:type="dxa"/>
            </w:tcMar>
          </w:tcPr>
          <w:p>
            <w:pPr>
              <w:widowControl/>
              <w:spacing w:after="40"/>
            </w:pPr>
            <w:r/>
            <w:r>
              <w:rPr>
                <w:rFonts w:ascii="DejaVu Sans" w:hAnsi="DejaVu Sans" w:eastAsia="DejaVu Sans"/>
                <w:b/>
                <w:i w:val="0"/>
                <w:color w:val="A87B20"/>
                <w:sz w:val="21"/>
              </w:rPr>
              <w:t>SOURCE-CARD T4-SRC-024 — АВТОРСКАЯ РЕДАКЦИОННАЯ ДИРЕКТИВА</w:t>
            </w:r>
          </w:p>
          <w:p>
            <w:pPr>
              <w:widowControl/>
              <w:spacing w:line="259" w:lineRule="auto" w:after="0"/>
            </w:pPr>
            <w:r>
              <w:rPr>
                <w:rFonts w:ascii="DejaVu Serif" w:hAnsi="DejaVu Serif" w:eastAsia="DejaVu Serif"/>
                <w:b w:val="0"/>
                <w:i/>
                <w:color w:val="1A2433"/>
                <w:sz w:val="20"/>
              </w:rPr>
              <w:t>«Продолжаем работу по плану, с усилением философской подачи материала, в этом особенность тома-4». Директива принята как требование к архитектуре, а не только к стилю. Она реализована пятислойной рамкой ОНТОЛОГИЯ / ГНОСЕОЛОГИЯ / ФЕНОМЕНОЛОГИЯ / ОГРАНИЧЕНИЕ / АВТОРСКАЯ НОВИЗНА, философскими прологами и следствиями, а также запретом подмены доказательного статуса философской убедительностью.</w:t>
            </w:r>
          </w:p>
        </w:tc>
      </w:tr>
    </w:tbl>
    <w:tbl>
      <w:tblPr>
        <w:tblW w:type="auto" w:w="0"/>
        <w:jc w:val="center"/>
        <w:tblLayout w:type="fixed"/>
        <w:tblLook w:firstColumn="1" w:firstRow="1" w:lastColumn="0" w:lastRow="0" w:noHBand="0" w:noVBand="1" w:val="04A0"/>
      </w:tblPr>
      <w:tblGrid>
        <w:gridCol w:w="3288"/>
        <w:gridCol w:w="3288"/>
        <w:gridCol w:w="3288"/>
      </w:tblGrid>
      <w:tr>
        <w:trPr>
          <w:trHeight w:hRule="atLeast"/>
          <w:tblHeader w:val="true"/>
        </w:trPr>
        <w:tc>
          <w:tcPr>
            <w:tcW w:type="dxa" w:w="2232"/>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Элемент главы</w:t>
            </w:r>
          </w:p>
        </w:tc>
        <w:tc>
          <w:tcPr>
            <w:tcW w:type="dxa" w:w="3888"/>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Функция</w:t>
            </w:r>
          </w:p>
        </w:tc>
        <w:tc>
          <w:tcPr>
            <w:tcW w:type="dxa" w:w="3312"/>
            <w:shd w:fill="173A61" w:val="clear"/>
            <w:tcBorders>
              <w:top w:val="single" w:sz="8" w:color="7A8DA3"/>
              <w:left w:val="single" w:sz="8" w:color="7A8DA3"/>
              <w:bottom w:val="single" w:sz="8" w:color="7A8DA3"/>
              <w:right w:val="single" w:sz="8" w:color="7A8DA3"/>
            </w:tcBorders>
            <w:tcMar>
              <w:top w:w="90" w:type="dxa"/>
              <w:start w:w="100" w:type="dxa"/>
              <w:bottom w:w="90" w:type="dxa"/>
              <w:end w:w="100" w:type="dxa"/>
            </w:tcMar>
            <w:vAlign w:val="center"/>
          </w:tcPr>
          <w:p>
            <w:pPr>
              <w:widowControl/>
              <w:spacing w:after="0" w:line="240" w:lineRule="auto"/>
              <w:jc w:val="center"/>
            </w:pPr>
            <w:r>
              <w:rPr>
                <w:rFonts w:ascii="DejaVu Sans" w:hAnsi="DejaVu Sans" w:eastAsia="DejaVu Sans"/>
                <w:b/>
                <w:i w:val="0"/>
                <w:color w:val="FFFFFF"/>
                <w:sz w:val="16"/>
              </w:rPr>
              <w:t>Проверка качества</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Философский пролог</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Открывает предельный смысл вопроса.</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Не содержит скрытого повышения статуса.</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Онтология</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Указывает носитель и тип существования объекта.</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Есть carrier, Dom/Cod и relation map.</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Гносеология</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Объясняет путь от данных к знанию.</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Есть D, proof/witness и статус.</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Феноменология</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Возвращает формулу к опыту тела, времени, другого и документа.</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Не выдаётся за нейрофизиологию или эмпирику.</w:t>
            </w:r>
          </w:p>
        </w:tc>
      </w:tr>
      <w:tr>
        <w:trPr>
          <w:trHeight w:hRule="atLeast"/>
        </w:trPr>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Математическое ядро</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Даёт определения, теоремы, контрмодели и blockers.</w:t>
            </w:r>
          </w:p>
        </w:tc>
        <w:tc>
          <w:tcPr>
            <w:tcW w:type="dxa" w:w="3288"/>
            <w:shd w:fill="F5F7FA"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Proof obligations и weakest-link rule.</w:t>
            </w:r>
          </w:p>
        </w:tc>
      </w:tr>
      <w:tr>
        <w:trPr>
          <w:trHeight w:hRule="atLeast"/>
        </w:trPr>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center"/>
            </w:pPr>
            <w:r>
              <w:rPr>
                <w:rFonts w:ascii="DejaVu Serif" w:hAnsi="DejaVu Serif" w:eastAsia="DejaVu Serif"/>
                <w:b w:val="0"/>
                <w:i w:val="0"/>
                <w:color w:val="1A2433"/>
                <w:sz w:val="16"/>
              </w:rPr>
              <w:t>Философское следствие</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Связывает локальный результат с образом человека и естествознания.</w:t>
            </w:r>
          </w:p>
        </w:tc>
        <w:tc>
          <w:tcPr>
            <w:tcW w:type="dxa" w:w="3288"/>
            <w:shd w:fill="FFFFFF" w:val="clear"/>
            <w:tcBorders>
              <w:top w:val="single" w:sz="6" w:color="B7C4D4"/>
              <w:left w:val="single" w:sz="6" w:color="B7C4D4"/>
              <w:bottom w:val="single" w:sz="6" w:color="B7C4D4"/>
              <w:right w:val="single" w:sz="6" w:color="B7C4D4"/>
            </w:tcBorders>
            <w:tcMar>
              <w:top w:w="90" w:type="dxa"/>
              <w:start w:w="100" w:type="dxa"/>
              <w:bottom w:w="90" w:type="dxa"/>
              <w:end w:w="100" w:type="dxa"/>
            </w:tcMar>
            <w:vAlign w:val="center"/>
          </w:tcPr>
          <w:p>
            <w:pPr>
              <w:widowControl/>
              <w:spacing w:after="0" w:line="245" w:lineRule="auto"/>
              <w:jc w:val="left"/>
            </w:pPr>
            <w:r>
              <w:rPr>
                <w:rFonts w:ascii="DejaVu Serif" w:hAnsi="DejaVu Serif" w:eastAsia="DejaVu Serif"/>
                <w:b w:val="0"/>
                <w:i w:val="0"/>
                <w:color w:val="1A2433"/>
                <w:sz w:val="16"/>
              </w:rPr>
              <w:t>Граница вывода сформулирована явно.</w:t>
            </w:r>
          </w:p>
        </w:tc>
      </w:tr>
    </w:tbl>
    <w:p>
      <w:pPr>
        <w:widowControl/>
      </w:pPr>
      <w:r>
        <w:br w:type="page"/>
      </w:r>
    </w:p>
    <w:p>
      <w:pPr>
        <w:pStyle w:val="Heading1"/>
        <w:keepNext/>
        <w:widowControl/>
      </w:pPr>
      <w:r>
        <w:t>Приложение O. Delta-реестр формул T4-F159-T4-F200</w:t>
      </w:r>
    </w:p>
    <w:tbl>
      <w:tblPr>
        <w:tblStyle w:val="TableGrid"/>
        <w:tblW w:type="auto" w:w="0"/>
        <w:jc w:val="center"/>
        <w:tblLook w:firstColumn="1" w:firstRow="1" w:lastColumn="0" w:lastRow="0" w:noHBand="0" w:noVBand="1" w:val="04A0"/>
      </w:tblPr>
      <w:tblGrid>
        <w:gridCol w:w="3288"/>
        <w:gridCol w:w="3288"/>
        <w:gridCol w:w="3288"/>
      </w:tblGrid>
      <w:tr>
        <w:trPr>
          <w:trHeight w:hRule="atLeast"/>
          <w:tblHeader w:val="true"/>
        </w:trPr>
        <w:tc>
          <w:tcPr>
            <w:tcW w:type="dxa" w:w="1440"/>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ID</w:t>
            </w:r>
          </w:p>
        </w:tc>
        <w:tc>
          <w:tcPr>
            <w:tcW w:type="dxa" w:w="6552"/>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Формула / объект</w:t>
            </w:r>
          </w:p>
        </w:tc>
        <w:tc>
          <w:tcPr>
            <w:tcW w:type="dxa" w:w="1872"/>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Статус</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T4-F159</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𝕀_K=(I,≽),  α≻β means larger Size@Dimension R@R reduces to smaller R@R</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INDEXED SIZE@DIMENSION DEF</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T4-F160</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X_K={X_α}_{α∈I};  ρ_{αβ}:X_α⇀X_β for α≻β</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STRATIFIED CARRIER DEF</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T4-F161</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Θ_K={Θ_{αβ}}_{α≻β}: field of the Kurpishev Course of Time</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AUTHORIAL FIELD DEF</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T4-F162</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g_K={g_α};  Π_g^PIX: internal phase throws inside a state packet</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METRIC PIX DEF</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T4-F163</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A_K={A_{αβ}};  T_A^PEAKS: projective-harmonic inter-dimensional transitions</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TRANSITION POTENTIAL DEF</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T4-F164</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Φ_K=(Θ_K,g_K,A_K;D,Dom,Prov,σ)</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WORLD-FIELD DATUM</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T4-F165</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P@P=(Π_g^PIX,T_A^PEAKS;Compat)</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AUTHORIAL PACKET DEF</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T4-F166</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S_K[Φ_K]=Σ_{α≻β}∫_{Ω_{αβ}} H_K(j^rΘ,j^rg,j^rA;D,Dom)dμ_{g_α}</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KLT WORLD ACTION</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T4-F167</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KLT-A1: δ_{Θ,g,A}S_K=0 on admissible compactly supported variations</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PERMANENT KERNEL I</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T4-F168</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C@C=G_K(Crit S_K, P@P, D/Dom, AmpGate, σ)</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EVENT@STATE GENERATION</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T4-F169</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𝔊_KLT=⟨Aut(P@P),Aut(M@R),Aut(C@B),Aut(R@R)⟩_adm</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ADMISSIBLE PACKET GROUPOID</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T4-F170</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KLT-A2: S_K[γ·Φ_K]=S_K[Φ_K]+∫_{∂Ω}B_γ,  γ∈𝔊_KLT</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PERMANENT KERNEL II</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T4-F171</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R_amp⊂A_event×A_state is the admissible event-state amplitude relation</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AMPLITUDE RELATION DEF</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T4-F172</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supp Ψ_{S|e}⊂{s:(Amp_E(e),Amp_S(s))∈R_amp}</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STATE SUB-AMPLITUDE GATE</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T4-F173</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Real_K(e,s)⇔Crit∧Cov∧AmpGate∧Rigidity∧D/Dom∧Prov∧Status</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MODEL REALIZATION GATE</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T4-F174</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ker Hess(S_red)_x=T_x(𝔊_KLT·x), and Hess&gt;0 on the normal quotient</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FINAL RIGIDITY GATE</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T4-F175</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R_H:(X_K,Θ_K,g_K,A_K,𝔊_KLT)⇀(M⁴,g_{μν},q_s,Diff(M))</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HILBERT REDUCTION FUNCTOR</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T4-F176</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R_H(S_K)=∫_M H(g_{μν},q_s,∂g,∂q,...)√|g| d⁴x</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HILBERT WORLD FUNCTION</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T4-F177</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R_H(KLT-A1)=Hilbert I;  R_H(KLT-A2)=Hilbert II</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REDUCTION THEOREM</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T4-F178</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Hilbert I+II ⇏ full KLT hierarchy, P@P, nonassociativity, or D/Dom</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NON-REVERSIBILITY</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T4-F179</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δ_εS=0 under a smooth Lie symmetry ⇒ differential identity / conserved current</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NOETHER BRIDGE · REDUCED</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T4-F180</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Kern_KLT=(Genesis_by_variation, Identity_by_invariance)</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EINEN BLEIBENDEN KERN</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T4-F181</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World→C@C_world→C@C_human→Reper_h is a chain of typed reductions, not identities</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ANTHROPOLOGICAL REDUCTION</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T4-F182</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Mem_machine=(Records,Schema,Prov,D,Dom,σ,Access,Retention)</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MACHINE MEMORY DEF</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T4-F183</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Enc:LivedEvent_h⇀Record_RBD</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NONINJECTIVE ENCODING</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T4-F184</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Enc noninjective ⇒ no universal total inverse Enc⁻¹</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NO COMPLETE RETURN THEOREM</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T4-F185</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Record_R=(bytes,metadata,source-card,Reper,D,Dom,Prov,σ,rights)</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PROOF-CARRYING RECORD</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T4-F186</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σ(machine_output)≼σ(source_inputs)</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MACHINE STATUS MONOTONICITY</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T4-F187</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PrivacyGate=Purpose∧Minimization∧Access∧Retention∧Consent_or_LawfulBasis</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PRIVACY/ETHICS GATE</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T4-F188</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missing mandatory field or incompatible rights ⇒ ABSTAIN-MEMORY</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BLOCKER-SAFE MEMORY</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T4-F189</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C@C_world≠C@C_human≠C@C_database</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TYPE FIREWALL</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T4-F190</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A_Ω:Core_KLT×Data_Ω⇀Claims_Ω×ProofPassport_Ω</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DOMAIN ADAPTER DEF</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T4-F191</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σ(A_Ω(x))≼σ(x); adapters cannot create proof or evidence</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ADAPTER NON-PROMOTION</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T4-F192</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SourceBound(A_Ω)⇔every output edge has locator, version, hash, Dom and D</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SOURCE-BOUND CONTRACT</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T4-F193</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A_article:formula-chain→claim-status; no citation→theorem promotion</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SCIENTIFIC ARTICLE ADAPTER</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T4-F194</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A_court:document-chain→structural dossier; no automatic legal conclusion</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COURT-DOCUMENT ADAPTER</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T4-F195</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A_engineering:requirements→interfaces→tests→as-built evidence</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ENGINEERING ADAPTER</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T4-F196</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A_chem:species@state→reaction@conditions→Evidence-D</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CHEMISTRY ADAPTER</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T4-F197</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A_forecast:certified history→candidate set∪{ABSTAIN}</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FORECAST ADAPTER</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T4-F198</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WorldFunction_Ω means a domain-generating structural functional unless a physical bridge is proved</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SEMANTIC FIREWALL</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T4-F199</w:t>
            </w:r>
          </w:p>
        </w:tc>
        <w:tc>
          <w:tcPr>
            <w:tcW w:type="dxa" w:w="655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EndToEndStatus=min_≼{module statuses}; weakest mandatory gate controls the result</w:t>
            </w:r>
          </w:p>
        </w:tc>
        <w:tc>
          <w:tcPr>
            <w:tcW w:type="dxa" w:w="187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WEAKEST-LINK THEOREM</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T4-F200</w:t>
            </w:r>
          </w:p>
        </w:tc>
        <w:tc>
          <w:tcPr>
            <w:tcW w:type="dxa" w:w="655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T4-RA7=T4-RA6⊞KLT-A1/A2⊞HilbertReduction⊞MachineMemory⊞DomainAdapters</w:t>
            </w:r>
          </w:p>
        </w:tc>
        <w:tc>
          <w:tcPr>
            <w:tcW w:type="dxa" w:w="187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ROLLBACK DEF</w:t>
            </w:r>
          </w:p>
        </w:tc>
      </w:tr>
    </w:tbl>
    <w:p>
      <w:pPr>
        <w:pStyle w:val="Heading1"/>
        <w:keepNext/>
        <w:widowControl/>
      </w:pPr>
      <w:r>
        <w:t>Приложение P. Доказательные обязательства T4-KERN-PO и T4-MEM-PO</w:t>
      </w:r>
    </w:p>
    <w:tbl>
      <w:tblPr>
        <w:tblStyle w:val="TableGrid"/>
        <w:tblW w:type="auto" w:w="0"/>
        <w:jc w:val="center"/>
        <w:tblLook w:firstColumn="1" w:firstRow="1" w:lastColumn="0" w:lastRow="0" w:noHBand="0" w:noVBand="1" w:val="04A0"/>
      </w:tblPr>
      <w:tblGrid>
        <w:gridCol w:w="3288"/>
        <w:gridCol w:w="3288"/>
        <w:gridCol w:w="3288"/>
      </w:tblGrid>
      <w:tr>
        <w:trPr>
          <w:trHeight w:hRule="atLeast"/>
          <w:tblHeader w:val="true"/>
        </w:trPr>
        <w:tc>
          <w:tcPr>
            <w:tcW w:type="dxa" w:w="1800"/>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ID</w:t>
            </w:r>
          </w:p>
        </w:tc>
        <w:tc>
          <w:tcPr>
            <w:tcW w:type="dxa" w:w="5976"/>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Обязательство</w:t>
            </w:r>
          </w:p>
        </w:tc>
        <w:tc>
          <w:tcPr>
            <w:tcW w:type="dxa" w:w="2088"/>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Статус</w:t>
            </w:r>
          </w:p>
        </w:tc>
      </w:tr>
      <w:tr>
        <w:trPr>
          <w:trHeight w:hRule="atLeast"/>
        </w:trPr>
        <w:tc>
          <w:tcPr>
            <w:tcW w:type="dxa" w:w="180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T4-KERN-PO-001</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Define the Size@Dimension index category, carriers and reduction maps.</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CLOSED · DEF</w:t>
            </w:r>
          </w:p>
        </w:tc>
      </w:tr>
      <w:tr>
        <w:trPr>
          <w:trHeight w:hRule="atLeast"/>
        </w:trPr>
        <w:tc>
          <w:tcPr>
            <w:tcW w:type="dxa" w:w="180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T4-KERN-PO-002</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Type the Kurpishev Course-of-Time field Θ_K, metric field g_K and transition potential A_K.</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CLOSED · DEF/MODEL</w:t>
            </w:r>
          </w:p>
        </w:tc>
      </w:tr>
      <w:tr>
        <w:trPr>
          <w:trHeight w:hRule="atLeast"/>
        </w:trPr>
        <w:tc>
          <w:tcPr>
            <w:tcW w:type="dxa" w:w="180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T4-KERN-PO-003</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Define P@P as PIX internal metric throws plus PEAKS projective-harmonic transitions.</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CLOSED · AUTHORIAL DEF</w:t>
            </w:r>
          </w:p>
        </w:tc>
      </w:tr>
      <w:tr>
        <w:trPr>
          <w:trHeight w:hRule="atLeast"/>
        </w:trPr>
        <w:tc>
          <w:tcPr>
            <w:tcW w:type="dxa" w:w="180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T4-KERN-PO-004</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Formulate KLT-A1 as a variational generation axiom with explicit admissible variations.</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CLOSED · AXIOM</w:t>
            </w:r>
          </w:p>
        </w:tc>
      </w:tr>
      <w:tr>
        <w:trPr>
          <w:trHeight w:hRule="atLeast"/>
        </w:trPr>
        <w:tc>
          <w:tcPr>
            <w:tcW w:type="dxa" w:w="180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T4-KERN-PO-005</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Formulate KLT-A2 on an admissible packet groupoid, including boundary terms.</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CLOSED · AXIOM</w:t>
            </w:r>
          </w:p>
        </w:tc>
      </w:tr>
      <w:tr>
        <w:trPr>
          <w:trHeight w:hRule="atLeast"/>
        </w:trPr>
        <w:tc>
          <w:tcPr>
            <w:tcW w:type="dxa" w:w="180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T4-KERN-PO-006</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Define the amplitude compatibility relation and final rigidity gate.</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CLOSED · DEF/COND</w:t>
            </w:r>
          </w:p>
        </w:tc>
      </w:tr>
      <w:tr>
        <w:trPr>
          <w:trHeight w:hRule="atLeast"/>
        </w:trPr>
        <w:tc>
          <w:tcPr>
            <w:tcW w:type="dxa" w:w="180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T4-KERN-PO-007</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Construct the Hilbert reduction R_H and list every freezing hypothesis.</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CLOSED · DEF</w:t>
            </w:r>
          </w:p>
        </w:tc>
      </w:tr>
      <w:tr>
        <w:trPr>
          <w:trHeight w:hRule="atLeast"/>
        </w:trPr>
        <w:tc>
          <w:tcPr>
            <w:tcW w:type="dxa" w:w="180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T4-KERN-PO-008</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Prove that KLT-A1 reduces to Hilbert Axiom I under R_H.</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CLOSED · THM-FORMAL</w:t>
            </w:r>
          </w:p>
        </w:tc>
      </w:tr>
      <w:tr>
        <w:trPr>
          <w:trHeight w:hRule="atLeast"/>
        </w:trPr>
        <w:tc>
          <w:tcPr>
            <w:tcW w:type="dxa" w:w="180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T4-KERN-PO-009</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Prove that KLT-A2 reduces to Hilbert Axiom II under R_H.</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CLOSED · THM-FORMAL</w:t>
            </w:r>
          </w:p>
        </w:tc>
      </w:tr>
      <w:tr>
        <w:trPr>
          <w:trHeight w:hRule="atLeast"/>
        </w:trPr>
        <w:tc>
          <w:tcPr>
            <w:tcW w:type="dxa" w:w="180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T4-KERN-PO-010</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Prove non-reversibility: Hilbert I-II do not reconstruct the full KLT hierarchy.</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CLOSED · COUNTERMODEL/THM</w:t>
            </w:r>
          </w:p>
        </w:tc>
      </w:tr>
      <w:tr>
        <w:trPr>
          <w:trHeight w:hRule="atLeast"/>
        </w:trPr>
        <w:tc>
          <w:tcPr>
            <w:tcW w:type="dxa" w:w="180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T4-KERN-PO-011</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Localize the Noether bridge to smooth associative Lie-group reductions.</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CLOSED · CLASSICAL BRIDGE</w:t>
            </w:r>
          </w:p>
        </w:tc>
      </w:tr>
      <w:tr>
        <w:trPr>
          <w:trHeight w:hRule="atLeast"/>
        </w:trPr>
        <w:tc>
          <w:tcPr>
            <w:tcW w:type="dxa" w:w="180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T4-KERN-PO-012</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Construct at least one nontrivial mathematical model satisfying both KLT kernels.</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OPEN · MODEL CONSTRUCTION</w:t>
            </w:r>
          </w:p>
        </w:tc>
      </w:tr>
      <w:tr>
        <w:trPr>
          <w:trHeight w:hRule="atLeast"/>
        </w:trPr>
        <w:tc>
          <w:tcPr>
            <w:tcW w:type="dxa" w:w="180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T4-KERN-PO-013</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Provide an independent physical realization of Θ_K, PIX, PEAKS and the amplitude gate.</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OPEN · PHY-HYP/EMP-PLAN</w:t>
            </w:r>
          </w:p>
        </w:tc>
      </w:tr>
      <w:tr>
        <w:trPr>
          <w:trHeight w:hRule="atLeast"/>
        </w:trPr>
        <w:tc>
          <w:tcPr>
            <w:tcW w:type="dxa" w:w="180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T4-KERN-PO-014</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Synchronize the two kernels with Tomes I-III through explicit change-sets without editing frozen masters.</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PARTIAL · CROSS-VOLUME CHANGE-SET</w:t>
            </w:r>
          </w:p>
        </w:tc>
      </w:tr>
      <w:tr>
        <w:trPr>
          <w:trHeight w:hRule="atLeast"/>
        </w:trPr>
        <w:tc>
          <w:tcPr>
            <w:tcW w:type="dxa" w:w="180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T4-MEM-PO-001</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Define machine memory as a typed external archive rather than human lived memory.</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CLOSED · DEF</w:t>
            </w:r>
          </w:p>
        </w:tc>
      </w:tr>
      <w:tr>
        <w:trPr>
          <w:trHeight w:hRule="atLeast"/>
        </w:trPr>
        <w:tc>
          <w:tcPr>
            <w:tcW w:type="dxa" w:w="180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T4-MEM-PO-002</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Prove the absence of a universal inverse from record to lived event.</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CLOSED · THM-FORMAL</w:t>
            </w:r>
          </w:p>
        </w:tc>
      </w:tr>
      <w:tr>
        <w:trPr>
          <w:trHeight w:hRule="atLeast"/>
        </w:trPr>
        <w:tc>
          <w:tcPr>
            <w:tcW w:type="dxa" w:w="180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T4-MEM-PO-003</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Define proof-carrying records and status monotonicity.</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CLOSED · DEF/THM</w:t>
            </w:r>
          </w:p>
        </w:tc>
      </w:tr>
      <w:tr>
        <w:trPr>
          <w:trHeight w:hRule="atLeast"/>
        </w:trPr>
        <w:tc>
          <w:tcPr>
            <w:tcW w:type="dxa" w:w="180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T4-MEM-PO-004</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Introduce privacy, rights, purpose and retention gates.</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CLOSED · MODEL/ETHICS; LEGAL ADAPTER OPEN</w:t>
            </w:r>
          </w:p>
        </w:tc>
      </w:tr>
      <w:tr>
        <w:trPr>
          <w:trHeight w:hRule="atLeast"/>
        </w:trPr>
        <w:tc>
          <w:tcPr>
            <w:tcW w:type="dxa" w:w="180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T4-MEM-PO-005</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Separate C@C_world, C@C_human and C@C_database.</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CLOSED · TYPE FIREWALL</w:t>
            </w:r>
          </w:p>
        </w:tc>
      </w:tr>
      <w:tr>
        <w:trPr>
          <w:trHeight w:hRule="atLeast"/>
        </w:trPr>
        <w:tc>
          <w:tcPr>
            <w:tcW w:type="dxa" w:w="180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T4-MEM-PO-006</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Define domain adapters and their source-bound contract.</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CLOSED · DEF</w:t>
            </w:r>
          </w:p>
        </w:tc>
      </w:tr>
      <w:tr>
        <w:trPr>
          <w:trHeight w:hRule="atLeast"/>
        </w:trPr>
        <w:tc>
          <w:tcPr>
            <w:tcW w:type="dxa" w:w="180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T4-MEM-PO-007</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Prove adapter status non-promotion and weakest-link aggregation.</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CLOSED · THM-FORMAL</w:t>
            </w:r>
          </w:p>
        </w:tc>
      </w:tr>
      <w:tr>
        <w:trPr>
          <w:trHeight w:hRule="atLeast"/>
        </w:trPr>
        <w:tc>
          <w:tcPr>
            <w:tcW w:type="dxa" w:w="180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T4-MEM-PO-008</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Build a scientific-article adapter.</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MODEL · IMPLEMENTATION PARTIAL</w:t>
            </w:r>
          </w:p>
        </w:tc>
      </w:tr>
      <w:tr>
        <w:trPr>
          <w:trHeight w:hRule="atLeast"/>
        </w:trPr>
        <w:tc>
          <w:tcPr>
            <w:tcW w:type="dxa" w:w="180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T4-MEM-PO-009</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Build a court-document adapter without automatic legal conclusions.</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MODEL · LEGAL VALIDATION OPEN</w:t>
            </w:r>
          </w:p>
        </w:tc>
      </w:tr>
      <w:tr>
        <w:trPr>
          <w:trHeight w:hRule="atLeast"/>
        </w:trPr>
        <w:tc>
          <w:tcPr>
            <w:tcW w:type="dxa" w:w="180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T4-MEM-PO-010</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Build engineering and chemistry adapters linked to existing KLT-RBD schemas.</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PARTIAL · SOFTWARE NEXT</w:t>
            </w:r>
          </w:p>
        </w:tc>
      </w:tr>
      <w:tr>
        <w:trPr>
          <w:trHeight w:hRule="atLeast"/>
        </w:trPr>
        <w:tc>
          <w:tcPr>
            <w:tcW w:type="dxa" w:w="180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T4-MEM-PO-011</w:t>
            </w:r>
          </w:p>
        </w:tc>
        <w:tc>
          <w:tcPr>
            <w:tcW w:type="dxa" w:w="59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Build a forecast adapter with explicit ABSTAIN.</w:t>
            </w:r>
          </w:p>
        </w:tc>
        <w:tc>
          <w:tcPr>
            <w:tcW w:type="dxa" w:w="2088"/>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MODEL · EXTERNAL VALIDATION OPEN</w:t>
            </w:r>
          </w:p>
        </w:tc>
      </w:tr>
      <w:tr>
        <w:trPr>
          <w:trHeight w:hRule="atLeast"/>
        </w:trPr>
        <w:tc>
          <w:tcPr>
            <w:tcW w:type="dxa" w:w="180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T4-MEM-PO-012</w:t>
            </w:r>
          </w:p>
        </w:tc>
        <w:tc>
          <w:tcPr>
            <w:tcW w:type="dxa" w:w="59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Complete end-to-end privacy, security and independent audit.</w:t>
            </w:r>
          </w:p>
        </w:tc>
        <w:tc>
          <w:tcPr>
            <w:tcW w:type="dxa" w:w="2088"/>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OPEN · T4/T5 SOFTWARE STAGE</w:t>
            </w:r>
          </w:p>
        </w:tc>
      </w:tr>
    </w:tbl>
    <w:p>
      <w:pPr>
        <w:pStyle w:val="Heading1"/>
        <w:keepNext/>
        <w:widowControl/>
      </w:pPr>
      <w:r>
        <w:t>Приложение Q. Source-card T4-SRC-025 и матрица Hilbert reduction</w:t>
      </w:r>
    </w:p>
    <w:tbl>
      <w:tblPr>
        <w:tblStyle w:val="TableGrid"/>
        <w:tblW w:type="auto" w:w="0"/>
        <w:jc w:val="center"/>
        <w:tblLook w:firstColumn="1" w:firstRow="1" w:lastColumn="0" w:lastRow="0" w:noHBand="0" w:noVBand="1" w:val="04A0"/>
      </w:tblPr>
      <w:tblGrid>
        <w:gridCol w:w="9865"/>
      </w:tblGrid>
      <w:tr>
        <w:trPr>
          <w:trHeight w:hRule="atLeast"/>
        </w:trPr>
        <w:tc>
          <w:tcPr>
            <w:tcW w:type="dxa" w:w="9865"/>
            <w:shd w:fill="F7F1DF" w:val="clear"/>
            <w:tcMar>
              <w:top w:w="90" w:type="dxa"/>
              <w:start w:w="100" w:type="dxa"/>
              <w:bottom w:w="90" w:type="dxa"/>
              <w:end w:w="100" w:type="dxa"/>
            </w:tcMar>
            <w:vAlign w:val="center"/>
          </w:tcPr>
          <w:p>
            <w:pPr>
              <w:widowControl/>
              <w:spacing w:line="254" w:lineRule="auto"/>
            </w:pPr>
            <w:r>
              <w:rPr>
                <w:b/>
                <w:color w:val="17345F"/>
                <w:sz w:val="18"/>
              </w:rPr>
              <w:t xml:space="preserve">T4-SRC-025 · ПЕРВИЧНАЯ АВТОРСКАЯ ФИКСАЦИЯ. </w:t>
            </w:r>
            <w:r>
              <w:rPr>
                <w:sz w:val="18"/>
              </w:rPr>
              <w:t>Автор: Курпишев Иван Борисович. Дата: 30 июля 2026 г. Содержание: мировая функция PIX@PEAKS Fields создаёт пакет C@C посредством вариации Хода Времени Курпишева, метрических компонентов Размера и векторного потенциала Перехода; мировая функция инвариантна относительно допустимых преобразований P@P, M@R, C@B и R@R, связывает амплитуды событий и состояний и на финальном этапе требует жёсткой механической редукции. Эти два положения названы постоянным ядром проекта. Статус: AUTHORIAL AXIOMATIC SOURCE; physical validation not claimed.</w:t>
            </w:r>
          </w:p>
        </w:tc>
      </w:tr>
    </w:tbl>
    <w:tbl>
      <w:tblPr>
        <w:tblStyle w:val="TableGrid"/>
        <w:tblW w:type="auto" w:w="0"/>
        <w:jc w:val="center"/>
        <w:tblLook w:firstColumn="1" w:firstRow="1" w:lastColumn="0" w:lastRow="0" w:noHBand="0" w:noVBand="1" w:val="04A0"/>
      </w:tblPr>
      <w:tblGrid>
        <w:gridCol w:w="2466"/>
        <w:gridCol w:w="2466"/>
        <w:gridCol w:w="2466"/>
        <w:gridCol w:w="2466"/>
      </w:tblGrid>
      <w:tr>
        <w:trPr>
          <w:trHeight w:hRule="atLeast"/>
          <w:tblHeader w:val="true"/>
        </w:trPr>
        <w:tc>
          <w:tcPr>
            <w:tcW w:type="dxa" w:w="2304"/>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KLT hypothesis</w:t>
            </w:r>
          </w:p>
        </w:tc>
        <w:tc>
          <w:tcPr>
            <w:tcW w:type="dxa" w:w="2880"/>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Reduction H1-H6</w:t>
            </w:r>
          </w:p>
        </w:tc>
        <w:tc>
          <w:tcPr>
            <w:tcW w:type="dxa" w:w="2232"/>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Hilbert image</w:t>
            </w:r>
          </w:p>
        </w:tc>
        <w:tc>
          <w:tcPr>
            <w:tcW w:type="dxa" w:w="2376"/>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Information lost</w:t>
            </w:r>
          </w:p>
        </w:tc>
      </w:tr>
      <w:tr>
        <w:trPr>
          <w:trHeight w:hRule="atLeast"/>
        </w:trPr>
        <w:tc>
          <w:tcPr>
            <w:tcW w:type="dxa" w:w="2304"/>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KLT-A1: δ_{Θ,g,A}S_K=0</w:t>
            </w:r>
          </w:p>
        </w:tc>
        <w:tc>
          <w:tcPr>
            <w:tcW w:type="dxa" w:w="288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One 4D carrier; PIX frozen; PEAKS→q_s</w:t>
            </w:r>
          </w:p>
        </w:tc>
        <w:tc>
          <w:tcPr>
            <w:tcW w:type="dxa" w:w="223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Axiom I: stationary world function</w:t>
            </w:r>
          </w:p>
        </w:tc>
        <w:tc>
          <w:tcPr>
            <w:tcW w:type="dxa" w:w="23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Dimension hierarchy, packet split, D/Dom and amplitude gate</w:t>
            </w:r>
          </w:p>
        </w:tc>
      </w:tr>
      <w:tr>
        <w:trPr>
          <w:trHeight w:hRule="atLeast"/>
        </w:trPr>
        <w:tc>
          <w:tcPr>
            <w:tcW w:type="dxa" w:w="2304"/>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KLT-A2: packet covariance</w:t>
            </w:r>
          </w:p>
        </w:tc>
        <w:tc>
          <w:tcPr>
            <w:tcW w:type="dxa" w:w="288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Groupoid→Diff(M); boundary term=0</w:t>
            </w:r>
          </w:p>
        </w:tc>
        <w:tc>
          <w:tcPr>
            <w:tcW w:type="dxa" w:w="223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Axiom II: general invariance</w:t>
            </w:r>
          </w:p>
        </w:tc>
        <w:tc>
          <w:tcPr>
            <w:tcW w:type="dxa" w:w="23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Nonassociative and inter-dimensional symmetries</w:t>
            </w:r>
          </w:p>
        </w:tc>
      </w:tr>
      <w:tr>
        <w:trPr>
          <w:trHeight w:hRule="atLeast"/>
        </w:trPr>
        <w:tc>
          <w:tcPr>
            <w:tcW w:type="dxa" w:w="2304"/>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4"/>
              </w:rPr>
              <w:t>Amplitude/rigidity gates</w:t>
            </w:r>
          </w:p>
        </w:tc>
        <w:tc>
          <w:tcPr>
            <w:tcW w:type="dxa" w:w="2880"/>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Fixed compatible sector</w:t>
            </w:r>
          </w:p>
        </w:tc>
        <w:tc>
          <w:tcPr>
            <w:tcW w:type="dxa" w:w="2232"/>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Implicit admissible physical solution sector</w:t>
            </w:r>
          </w:p>
        </w:tc>
        <w:tc>
          <w:tcPr>
            <w:tcW w:type="dxa" w:w="2376"/>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4"/>
              </w:rPr>
              <w:t>Explicit event-state amplitude relation and quotient rigidity</w:t>
            </w:r>
          </w:p>
        </w:tc>
      </w:tr>
      <w:tr>
        <w:trPr>
          <w:trHeight w:hRule="atLeast"/>
        </w:trPr>
        <w:tc>
          <w:tcPr>
            <w:tcW w:type="dxa" w:w="2304"/>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4"/>
              </w:rPr>
              <w:t>Noether bridge</w:t>
            </w:r>
          </w:p>
        </w:tc>
        <w:tc>
          <w:tcPr>
            <w:tcW w:type="dxa" w:w="2880"/>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Smooth associative Lie symmetry</w:t>
            </w:r>
          </w:p>
        </w:tc>
        <w:tc>
          <w:tcPr>
            <w:tcW w:type="dxa" w:w="2232"/>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Differential identities / conservation laws</w:t>
            </w:r>
          </w:p>
        </w:tc>
        <w:tc>
          <w:tcPr>
            <w:tcW w:type="dxa" w:w="2376"/>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4"/>
              </w:rPr>
              <w:t>General packet-groupoid theorem remains open</w:t>
            </w:r>
          </w:p>
        </w:tc>
      </w:tr>
    </w:tbl>
    <w:p>
      <w:pPr>
        <w:pStyle w:val="Heading1"/>
        <w:keepNext/>
        <w:widowControl/>
      </w:pPr>
      <w:r>
        <w:t>Приложение R. Философско-аксиоматическая директива начала Тома IV</w:t>
      </w:r>
    </w:p>
    <w:tbl>
      <w:tblPr>
        <w:tblStyle w:val="TableGrid"/>
        <w:tblW w:type="auto" w:w="0"/>
        <w:jc w:val="center"/>
        <w:tblLook w:firstColumn="1" w:firstRow="1" w:lastColumn="0" w:lastRow="0" w:noHBand="0" w:noVBand="1" w:val="04A0"/>
      </w:tblPr>
      <w:tblGrid>
        <w:gridCol w:w="4932"/>
        <w:gridCol w:w="4932"/>
      </w:tblGrid>
      <w:tr>
        <w:trPr>
          <w:trHeight w:hRule="atLeast"/>
          <w:tblHeader w:val="true"/>
        </w:trPr>
        <w:tc>
          <w:tcPr>
            <w:tcW w:type="dxa" w:w="1440"/>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ID</w:t>
            </w:r>
          </w:p>
        </w:tc>
        <w:tc>
          <w:tcPr>
            <w:tcW w:type="dxa" w:w="8424"/>
            <w:vAlign w:val="center"/>
            <w:tcMar>
              <w:top w:w="90" w:type="dxa"/>
              <w:start w:w="100" w:type="dxa"/>
              <w:bottom w:w="90" w:type="dxa"/>
              <w:end w:w="100" w:type="dxa"/>
            </w:tcMar>
            <w:shd w:fill="173A61" w:val="clear"/>
          </w:tcPr>
          <w:p>
            <w:pPr>
              <w:widowControl/>
              <w:spacing w:before="0" w:after="0" w:line="252" w:lineRule="auto"/>
              <w:jc w:val="center"/>
            </w:pPr>
            <w:r>
              <w:rPr>
                <w:rFonts w:ascii="DejaVu Sans" w:hAnsi="DejaVu Sans"/>
                <w:b/>
                <w:color w:val="FFFFFF"/>
                <w:sz w:val="16"/>
              </w:rPr>
            </w:r>
            <w:r>
              <w:rPr>
                <w:rFonts w:ascii="DejaVu Sans" w:hAnsi="DejaVu Sans" w:eastAsia="DejaVu Sans"/>
                <w:b/>
                <w:i w:val="0"/>
                <w:color w:val="FFFFFF"/>
                <w:sz w:val="16"/>
              </w:rPr>
              <w:t>Директива</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5"/>
              </w:rPr>
              <w:t>R-01</w:t>
            </w:r>
          </w:p>
        </w:tc>
        <w:tc>
          <w:tcPr>
            <w:tcW w:type="dxa" w:w="842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Том IV начинается с двух вопросов: как событие возникает и как сохраняет тождество.</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5"/>
              </w:rPr>
              <w:t>R-02</w:t>
            </w:r>
          </w:p>
        </w:tc>
        <w:tc>
          <w:tcPr>
            <w:tcW w:type="dxa" w:w="8424"/>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Первое постоянное ядро читается как онтология становления; второе - как онтология сохранения.</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5"/>
              </w:rPr>
              <w:t>R-03</w:t>
            </w:r>
          </w:p>
        </w:tc>
        <w:tc>
          <w:tcPr>
            <w:tcW w:type="dxa" w:w="842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Событие@состояние не является изолированной точкой: оно есть критическое и доказательно закрытое отношение.</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5"/>
              </w:rPr>
              <w:t>R-04</w:t>
            </w:r>
          </w:p>
        </w:tc>
        <w:tc>
          <w:tcPr>
            <w:tcW w:type="dxa" w:w="8424"/>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Произвольность преобразования ограничена типом, доменом, основанием, происхождением и статусом.</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5"/>
              </w:rPr>
              <w:t>R-05</w:t>
            </w:r>
          </w:p>
        </w:tc>
        <w:tc>
          <w:tcPr>
            <w:tcW w:type="dxa" w:w="842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Жёсткость означает единственность modulo симметрий и невырожденность, а не метафору «твёрдого тела».</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5"/>
              </w:rPr>
              <w:t>R-06</w:t>
            </w:r>
          </w:p>
        </w:tc>
        <w:tc>
          <w:tcPr>
            <w:tcW w:type="dxa" w:w="8424"/>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Исторические аксиомы Гильберта не переатрибутируются; KLT утверждает только новую надстройку и reduction theorem.</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5"/>
              </w:rPr>
              <w:t>R-07</w:t>
            </w:r>
          </w:p>
        </w:tc>
        <w:tc>
          <w:tcPr>
            <w:tcW w:type="dxa" w:w="842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Философская глубина не повышает proof-status и empirical-status.</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5"/>
              </w:rPr>
              <w:t>R-08</w:t>
            </w:r>
          </w:p>
        </w:tc>
        <w:tc>
          <w:tcPr>
            <w:tcW w:type="dxa" w:w="8424"/>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Человек редуцирует мировую связность в действие, память, язык и ответственность, но не становится внешним создателем законов природы.</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5"/>
              </w:rPr>
              <w:t>R-09</w:t>
            </w:r>
          </w:p>
        </w:tc>
        <w:tc>
          <w:tcPr>
            <w:tcW w:type="dxa" w:w="842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Машинная память хранит записи и инварианты, но не заменяет lived event и субъекта ответственности.</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5"/>
              </w:rPr>
              <w:t>R-10</w:t>
            </w:r>
          </w:p>
        </w:tc>
        <w:tc>
          <w:tcPr>
            <w:tcW w:type="dxa" w:w="8424"/>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Междисциплинарность строится адаптерами и остатками перевода, а не объявлением всех предметов одним полем.</w:t>
            </w:r>
          </w:p>
        </w:tc>
      </w:tr>
      <w:tr>
        <w:trPr>
          <w:trHeight w:hRule="atLeast"/>
        </w:trPr>
        <w:tc>
          <w:tcPr>
            <w:tcW w:type="dxa" w:w="1440"/>
            <w:vAlign w:val="center"/>
            <w:tcMar>
              <w:top w:w="90" w:type="dxa"/>
              <w:start w:w="100" w:type="dxa"/>
              <w:bottom w:w="90" w:type="dxa"/>
              <w:end w:w="100" w:type="dxa"/>
            </w:tcMar>
            <w:shd w:fill="FFFFFF" w:val="clear"/>
          </w:tcPr>
          <w:p>
            <w:pPr>
              <w:widowControl/>
              <w:spacing w:before="0" w:after="0" w:line="252" w:lineRule="auto"/>
              <w:jc w:val="center"/>
            </w:pPr>
            <w:r/>
            <w:r>
              <w:rPr>
                <w:rFonts w:ascii="DejaVu Serif" w:hAnsi="DejaVu Serif" w:eastAsia="DejaVu Serif"/>
                <w:b w:val="0"/>
                <w:i w:val="0"/>
                <w:color w:val="1A2433"/>
                <w:sz w:val="15"/>
              </w:rPr>
              <w:t>R-11</w:t>
            </w:r>
          </w:p>
        </w:tc>
        <w:tc>
          <w:tcPr>
            <w:tcW w:type="dxa" w:w="8424"/>
            <w:vAlign w:val="center"/>
            <w:tcMar>
              <w:top w:w="90" w:type="dxa"/>
              <w:start w:w="100" w:type="dxa"/>
              <w:bottom w:w="90" w:type="dxa"/>
              <w:end w:w="100" w:type="dxa"/>
            </w:tcMar>
            <w:shd w:fill="FFFFFF" w:val="clear"/>
          </w:tcPr>
          <w:p>
            <w:pPr>
              <w:widowControl/>
              <w:spacing w:before="0" w:after="0" w:line="252" w:lineRule="auto"/>
              <w:jc w:val="left"/>
            </w:pPr>
            <w:r/>
            <w:r>
              <w:rPr>
                <w:rFonts w:ascii="DejaVu Serif" w:hAnsi="DejaVu Serif" w:eastAsia="DejaVu Serif"/>
                <w:b w:val="0"/>
                <w:i w:val="0"/>
                <w:color w:val="1A2433"/>
                <w:sz w:val="15"/>
              </w:rPr>
              <w:t>Каждая глава должна содержать отрицательный результат или контрмодель, ограничивающую сильнейшее прочтение.</w:t>
            </w:r>
          </w:p>
        </w:tc>
      </w:tr>
      <w:tr>
        <w:trPr>
          <w:trHeight w:hRule="atLeast"/>
        </w:trPr>
        <w:tc>
          <w:tcPr>
            <w:tcW w:type="dxa" w:w="1440"/>
            <w:vAlign w:val="center"/>
            <w:tcMar>
              <w:top w:w="90" w:type="dxa"/>
              <w:start w:w="100" w:type="dxa"/>
              <w:bottom w:w="90" w:type="dxa"/>
              <w:end w:w="100" w:type="dxa"/>
            </w:tcMar>
            <w:shd w:fill="F2F5F8" w:val="clear"/>
          </w:tcPr>
          <w:p>
            <w:pPr>
              <w:widowControl/>
              <w:spacing w:before="0" w:after="0" w:line="252" w:lineRule="auto"/>
              <w:jc w:val="center"/>
            </w:pPr>
            <w:r/>
            <w:r>
              <w:rPr>
                <w:rFonts w:ascii="DejaVu Serif" w:hAnsi="DejaVu Serif" w:eastAsia="DejaVu Serif"/>
                <w:b w:val="0"/>
                <w:i w:val="0"/>
                <w:color w:val="1A2433"/>
                <w:sz w:val="15"/>
              </w:rPr>
              <w:t>R-12</w:t>
            </w:r>
          </w:p>
        </w:tc>
        <w:tc>
          <w:tcPr>
            <w:tcW w:type="dxa" w:w="8424"/>
            <w:vAlign w:val="center"/>
            <w:tcMar>
              <w:top w:w="90" w:type="dxa"/>
              <w:start w:w="100" w:type="dxa"/>
              <w:bottom w:w="90" w:type="dxa"/>
              <w:end w:w="100" w:type="dxa"/>
            </w:tcMar>
            <w:shd w:fill="F2F5F8" w:val="clear"/>
          </w:tcPr>
          <w:p>
            <w:pPr>
              <w:widowControl/>
              <w:spacing w:before="0" w:after="0" w:line="252" w:lineRule="auto"/>
              <w:jc w:val="left"/>
            </w:pPr>
            <w:r/>
            <w:r>
              <w:rPr>
                <w:rFonts w:ascii="DejaVu Serif" w:hAnsi="DejaVu Serif" w:eastAsia="DejaVu Serif"/>
                <w:b w:val="0"/>
                <w:i w:val="0"/>
                <w:color w:val="1A2433"/>
                <w:sz w:val="15"/>
              </w:rPr>
              <w:t>При незакрытом обязательном мосте корректный результат - ABSTAIN, а не риторическое замыкание.</w:t>
            </w:r>
          </w:p>
        </w:tc>
      </w:tr>
    </w:tbl>
    <w:p>
      <w:r>
        <w:br w:type="page"/>
      </w:r>
    </w:p>
    <w:p>
      <w:pPr>
        <w:pStyle w:val="Heading1"/>
      </w:pPr>
      <w:r>
        <w:t>Приложение S. Delta-реестр формул T4-F201-T4-F240</w:t>
      </w:r>
    </w:p>
    <w:tbl>
      <w:tblPr>
        <w:tblStyle w:val="TableGrid"/>
        <w:tblW w:type="auto" w:w="0"/>
        <w:jc w:val="center"/>
        <w:tblLayout w:type="fixed"/>
        <w:tblLook w:firstColumn="1" w:firstRow="1" w:lastColumn="0" w:lastRow="0" w:noHBand="0" w:noVBand="1" w:val="04A0"/>
      </w:tblPr>
      <w:tblGrid>
        <w:gridCol w:w="3288"/>
        <w:gridCol w:w="3288"/>
        <w:gridCol w:w="3288"/>
      </w:tblGrid>
      <w:tr>
        <w:trPr>
          <w:tblHeader w:val="true"/>
        </w:trPr>
        <w:tc>
          <w:tcPr>
            <w:tcW w:type="dxa" w:w="1296"/>
            <w:tcMar>
              <w:top w:w="90" w:type="dxa"/>
              <w:start w:w="100" w:type="dxa"/>
              <w:bottom w:w="90" w:type="dxa"/>
              <w:end w:w="100" w:type="dxa"/>
            </w:tcMar>
            <w:vAlign w:val="center"/>
            <w:shd w:fill="1F416A"/>
          </w:tcPr>
          <w:p>
            <w:pPr>
              <w:jc w:val="center"/>
            </w:pPr>
            <w:r>
              <w:rPr>
                <w:rFonts w:ascii="DejaVu Serif" w:hAnsi="DejaVu Serif" w:eastAsia="DejaVu Serif"/>
                <w:b/>
                <w:color w:val="FFFFFF"/>
                <w:sz w:val="14"/>
              </w:rPr>
              <w:t>ID</w:t>
            </w:r>
          </w:p>
        </w:tc>
        <w:tc>
          <w:tcPr>
            <w:tcW w:type="dxa" w:w="6983"/>
            <w:tcMar>
              <w:top w:w="90" w:type="dxa"/>
              <w:start w:w="100" w:type="dxa"/>
              <w:bottom w:w="90" w:type="dxa"/>
              <w:end w:w="100" w:type="dxa"/>
            </w:tcMar>
            <w:vAlign w:val="center"/>
            <w:shd w:fill="1F416A"/>
          </w:tcPr>
          <w:p>
            <w:pPr>
              <w:jc w:val="center"/>
            </w:pPr>
            <w:r>
              <w:rPr>
                <w:rFonts w:ascii="DejaVu Serif" w:hAnsi="DejaVu Serif" w:eastAsia="DejaVu Serif"/>
                <w:b/>
                <w:color w:val="FFFFFF"/>
                <w:sz w:val="14"/>
              </w:rPr>
              <w:t>Краткое назначение</w:t>
            </w:r>
          </w:p>
        </w:tc>
        <w:tc>
          <w:tcPr>
            <w:tcW w:type="dxa" w:w="1584"/>
            <w:tcMar>
              <w:top w:w="90" w:type="dxa"/>
              <w:start w:w="100" w:type="dxa"/>
              <w:bottom w:w="90" w:type="dxa"/>
              <w:end w:w="100" w:type="dxa"/>
            </w:tcMar>
            <w:vAlign w:val="center"/>
            <w:shd w:fill="1F416A"/>
          </w:tcPr>
          <w:p>
            <w:pPr>
              <w:jc w:val="center"/>
            </w:pPr>
            <w:r>
              <w:rPr>
                <w:rFonts w:ascii="DejaVu Serif" w:hAnsi="DejaVu Serif" w:eastAsia="DejaVu Serif"/>
                <w:b/>
                <w:color w:val="FFFFFF"/>
                <w:sz w:val="14"/>
              </w:rPr>
              <w:t>Статус</w:t>
            </w:r>
          </w:p>
        </w:tc>
      </w:tr>
      <w:t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T4-F201</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ARCH/HERM</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World_h = (C@C_world, Body_h, Horizon_h, Language_h, Memory_h; D_h, L_h, σ_h)</w:t>
            </w:r>
          </w:p>
        </w:tc>
      </w:tr>
      <w:t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T4-F202</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MODEL/HERM</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Fold_h : C@C_world × Horizon_h ⇀ C@C_human</w:t>
            </w:r>
          </w:p>
        </w:tc>
      </w:tr>
      <w:t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T4-F203</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ARCH</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Human_R^φ = (C@C_h, Body_h, Freedom_h, Language_h, Memory_h, Other_h, Responsibility_h, L_h; Reper_h, D_h, Dom_h, σ_h)</w:t>
            </w:r>
          </w:p>
        </w:tc>
      </w:tr>
      <w:t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T4-F204</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DEF/HERM</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Freedom_h(s) = Init_h(s) ∩ Adm_L(s); Freedom_h ≠ unbounded power</w:t>
            </w:r>
          </w:p>
        </w:tc>
      </w:tr>
      <w:t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T4-F205</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MODEL/ETHICS</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Resp_h(a) = {y | a↝y ∧ attributable(a,y) ∧ foreseeable_D(a,y)}</w:t>
            </w:r>
          </w:p>
        </w:tc>
      </w:tr>
      <w:t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T4-F206</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TYPE FIREWALL</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Memory_h ≠ Archive_h; Archive_h ≠ LivedEvent_h; Hash(d) ≠ Meaning(d)</w:t>
            </w:r>
          </w:p>
        </w:tc>
      </w:tr>
      <w:t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T4-F207</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DEF</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Res_h(F,x) = {r∈Rel(x) | ¬Preserved_F(r)}</w:t>
            </w:r>
          </w:p>
        </w:tc>
      </w:tr>
      <w:t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T4-F208</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PHILOSOPHICAL SYNTHESIS</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Science_h = WorldResistance ⊗ Method ⊗ PublicCritique ⊗ Responsibility</w:t>
            </w:r>
          </w:p>
        </w:tc>
      </w:tr>
      <w:t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T4-F209</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NORMATIVE GATE</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PhilosophyGate_h = NonReduction ∧ NoStatusInflation ∧ ResponsibleUse</w:t>
            </w:r>
          </w:p>
        </w:tc>
      </w:tr>
      <w:t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T4-F210</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DEF</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SciObj_KLT = (W,A,R,M,Q; D,Dom,Prov,σ)</w:t>
            </w:r>
          </w:p>
        </w:tc>
      </w:tr>
      <w:t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T4-F211</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TYPE FIREWALL</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W ≠ A ≠ R ≠ M ≠ Q</w:t>
            </w:r>
          </w:p>
        </w:tc>
      </w:tr>
      <w:t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T4-F212</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PARTIAL MAP</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Obs_{ω,a,p}: C@C_world ⇀ C@C_record</w:t>
            </w:r>
          </w:p>
        </w:tc>
      </w:tr>
      <w:t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T4-F213</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DEF</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Fact_sci = (e,s,value,unit,uncertainty,calibration,protocol,time,Prov,D,Dom,σ)</w:t>
            </w:r>
          </w:p>
        </w:tc>
      </w:tr>
      <w:t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T4-F214</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DEF</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Model: Records ⇀ ℘(Candidates×Predictions×Certificates)</w:t>
            </w:r>
          </w:p>
        </w:tc>
      </w:tr>
      <w:t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T4-F215</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VECTOR</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Expl = (fit,mechanism,invariance,counterfactual,transport,simplicity,D,σ)</w:t>
            </w:r>
          </w:p>
        </w:tc>
      </w:tr>
      <w:t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T4-F216</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ARCH/COND</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Experiment_h = Υ_record ∘ Ξ_protocol ∘ Δ_intervention</w:t>
            </w:r>
          </w:p>
        </w:tc>
      </w:tr>
      <w:t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T4-F217</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DEF/COND</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R_{X→Y}:X⇀Y; Inv_Y(Rx)=Inv_X(x) for declared invariants</w:t>
            </w:r>
          </w:p>
        </w:tc>
      </w:tr>
      <w:t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T4-F218</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DEF</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Res_R(x)=Rel_X(x)\Preserved_R(x)</w:t>
            </w:r>
          </w:p>
        </w:tc>
      </w:tr>
      <w:t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T4-F219</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COND</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Emerg_R(P) ⇔ Stable_X(P) ∧ ¬Definable_{Lang(Y)}(P) ∧ ReconstructionRequired(P)</w:t>
            </w:r>
          </w:p>
        </w:tc>
      </w:tr>
      <w:t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T4-F220</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PARTIAL COMPOSITION</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𝔑_KLT = RespGate∘StatusGate∘Test∘Explain∘Model∘Record∘Observe</w:t>
            </w:r>
          </w:p>
        </w:tc>
      </w:tr>
      <w:t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T4-F221</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INPUT TYPE</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X_h=(C@C,Body,Instrument,Horizon,Language,Memory,Other,D,Dom,Prov,Consent,σ)</w:t>
            </w:r>
          </w:p>
        </w:tc>
      </w:tr>
      <w:t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T4-F222</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PARTIAL OPERATOR</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𝔄_KLT:X_h⇀℘(Y_h×Certificate_h)∪{ABSTAIN(blocker)}</w:t>
            </w:r>
          </w:p>
        </w:tc>
      </w:tr>
      <w:t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T4-F223</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ARCH</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𝔄_KLT=DecisionGate∘RespGate∘CandidateGate∘Audit_{λ,CGI}∘D/DomGate∘HumanRBuild∘Memory∘Language∘Orientation∘Intake</w:t>
            </w:r>
          </w:p>
        </w:tc>
      </w:tr>
      <w:t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T4-F224</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THM-FORMAL</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σ_out ⪯ ⋀_{i∈RequiredPath} σ_i</w:t>
            </w:r>
          </w:p>
        </w:tc>
      </w:tr>
      <w:t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T4-F225</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DEF</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Res_h(Enc,x)={r∈Rel(Human_R(x)) | ¬Preserved_Enc(r)}</w:t>
            </w:r>
          </w:p>
        </w:tc>
      </w:tr>
      <w:t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T4-F226</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NORMATIVE SET</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ND_h={goal-setting,consent,value-conflict,final-attribution,risk-acceptance,override}</w:t>
            </w:r>
          </w:p>
        </w:tc>
      </w:tr>
      <w:t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T4-F227</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DEF</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Gate_pub=TYPE∧DOM∧D∧PROOF∧PROV∧REPRO∧ETHICS∧STATUS</w:t>
            </w:r>
          </w:p>
        </w:tc>
      </w:tr>
      <w:t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T4-F228</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OUTPUT TYPE</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Publish(c)∈{THEOREM,MODEL/HYPOTHESIS,REVIEW/INTERPRETATION,ABSTAIN/BLOCKER}</w:t>
            </w:r>
          </w:p>
        </w:tc>
      </w:tr>
      <w:t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T4-F229</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NORMATIVE AXIOM</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Complete_h(P)⇔Sound(P)∧ConsequenceMap(P)∧Contestable(P)∧Responsible(P)</w:t>
            </w:r>
          </w:p>
        </w:tc>
      </w:tr>
      <w:t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T4-F230</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VERSIONING RULE</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Contest(x)⇒create Version(x′)∧preserve Source(x)∧link(x′,x,reason)</w:t>
            </w:r>
          </w:p>
        </w:tc>
      </w:tr>
      <w:t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T4-F231</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STATUS VECTOR</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σ_pub=(formal,mathematical,numerical,empirical,historical,hermeneutic,ethical,legal,reproducible)</w:t>
            </w:r>
          </w:p>
        </w:tc>
      </w:tr>
      <w:t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T4-F232</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COND</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THEOREM_pub(c)⇔Gate_pub(c)=1∧formal≥THM∧proof=verified</w:t>
            </w:r>
          </w:p>
        </w:tc>
      </w:tr>
      <w:t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T4-F233</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COND</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MODEL_pub(c)⇔assumptions,Dom,calibration,limitations,validation-plan explicit</w:t>
            </w:r>
          </w:p>
        </w:tc>
      </w:tr>
      <w:t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T4-F234</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DEF</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ABSTAIN_pub(c)⇔∃ mandatory gate g:g(c)=OPEN or FAILED</w:t>
            </w:r>
          </w:p>
        </w:tc>
      </w:tr>
      <w:t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T4-F235</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VECTOR</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Fals_h(c)=(countermodel,failed-proof-step,numerical-divergence,empirical-test,source-refutation,ethical-blocker)</w:t>
            </w:r>
          </w:p>
        </w:tc>
      </w:tr>
      <w:t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T4-F236</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VECTOR</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Novelty_KLT(c)=(new object,new typing,new composition,new proof,new computation,new use)</w:t>
            </w:r>
          </w:p>
        </w:tc>
      </w:tr>
      <w:t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T4-F237</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ATTRIBUTION RULE</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Authorial(c)⇒cite(prior_art)∧identify(new_composition)∧preserve(status)</w:t>
            </w:r>
          </w:p>
        </w:tc>
      </w:tr>
      <w:t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T4-F238</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VOLUME BRIDGE</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Tom I→Tom II→Tom III→Tom IV→Tom V</w:t>
            </w:r>
          </w:p>
        </w:tc>
      </w:tr>
      <w:tr>
        <w:tc>
          <w:tcPr>
            <w:tcW w:type="dxa" w:w="1296"/>
            <w:tcMar>
              <w:top w:w="90" w:type="dxa"/>
              <w:start w:w="100" w:type="dxa"/>
              <w:bottom w:w="90" w:type="dxa"/>
              <w:end w:w="100" w:type="dxa"/>
            </w:tcMar>
            <w:vAlign w:val="center"/>
            <w:shd w:fill="F4F6F9"/>
          </w:tcPr>
          <w:p>
            <w:pPr>
              <w:jc w:val="center"/>
            </w:pPr>
            <w:r>
              <w:rPr>
                <w:rFonts w:ascii="DejaVu Serif" w:hAnsi="DejaVu Serif" w:eastAsia="DejaVu Serif"/>
                <w:b w:val="0"/>
                <w:sz w:val="14"/>
              </w:rPr>
              <w:t>T4-F239</w:t>
            </w:r>
          </w:p>
        </w:tc>
        <w:tc>
          <w:tcPr>
            <w:tcW w:type="dxa" w:w="6983"/>
            <w:tcMar>
              <w:top w:w="90" w:type="dxa"/>
              <w:start w:w="100" w:type="dxa"/>
              <w:bottom w:w="90" w:type="dxa"/>
              <w:end w:w="100" w:type="dxa"/>
            </w:tcMar>
            <w:vAlign w:val="center"/>
            <w:shd w:fill="F4F6F9"/>
          </w:tcPr>
          <w:p>
            <w:pPr>
              <w:jc w:val="left"/>
            </w:pPr>
            <w:r>
              <w:rPr>
                <w:rFonts w:ascii="DejaVu Serif" w:hAnsi="DejaVu Serif" w:eastAsia="DejaVu Serif"/>
                <w:b w:val="0"/>
                <w:sz w:val="14"/>
              </w:rPr>
              <w:t>ROLLBACK</w:t>
            </w:r>
          </w:p>
        </w:tc>
        <w:tc>
          <w:tcPr>
            <w:tcW w:type="dxa" w:w="1584"/>
            <w:tcMar>
              <w:top w:w="90" w:type="dxa"/>
              <w:start w:w="100" w:type="dxa"/>
              <w:bottom w:w="90" w:type="dxa"/>
              <w:end w:w="100" w:type="dxa"/>
            </w:tcMar>
            <w:vAlign w:val="center"/>
            <w:shd w:fill="F4F6F9"/>
          </w:tcPr>
          <w:p>
            <w:pPr>
              <w:jc w:val="left"/>
            </w:pPr>
            <w:r>
              <w:rPr>
                <w:rFonts w:ascii="DejaVu Serif" w:hAnsi="DejaVu Serif" w:eastAsia="DejaVu Serif"/>
                <w:b w:val="0"/>
                <w:sz w:val="14"/>
              </w:rPr>
              <w:t>T4-RA8=T4-RA7⊞PhilosophyPrologue⊞NaturalScienceCycle⊞ResidualLedger⊞EndToEndAnthro⊞PublicationGate</w:t>
            </w:r>
          </w:p>
        </w:tc>
      </w:tr>
      <w:tr>
        <w:tc>
          <w:tcPr>
            <w:tcW w:type="dxa" w:w="1296"/>
            <w:tcMar>
              <w:top w:w="90" w:type="dxa"/>
              <w:start w:w="100" w:type="dxa"/>
              <w:bottom w:w="90" w:type="dxa"/>
              <w:end w:w="100" w:type="dxa"/>
            </w:tcMar>
            <w:vAlign w:val="center"/>
          </w:tcPr>
          <w:p>
            <w:pPr>
              <w:jc w:val="center"/>
            </w:pPr>
            <w:r>
              <w:rPr>
                <w:rFonts w:ascii="DejaVu Serif" w:hAnsi="DejaVu Serif" w:eastAsia="DejaVu Serif"/>
                <w:b w:val="0"/>
                <w:sz w:val="14"/>
              </w:rPr>
              <w:t>T4-F240</w:t>
            </w:r>
          </w:p>
        </w:tc>
        <w:tc>
          <w:tcPr>
            <w:tcW w:type="dxa" w:w="6983"/>
            <w:tcMar>
              <w:top w:w="90" w:type="dxa"/>
              <w:start w:w="100" w:type="dxa"/>
              <w:bottom w:w="90" w:type="dxa"/>
              <w:end w:w="100" w:type="dxa"/>
            </w:tcMar>
            <w:vAlign w:val="center"/>
          </w:tcPr>
          <w:p>
            <w:pPr>
              <w:jc w:val="left"/>
            </w:pPr>
            <w:r>
              <w:rPr>
                <w:rFonts w:ascii="DejaVu Serif" w:hAnsi="DejaVu Serif" w:eastAsia="DejaVu Serif"/>
                <w:b w:val="0"/>
                <w:sz w:val="14"/>
              </w:rPr>
              <w:t>FINAL SYNOPSIS</w:t>
            </w:r>
          </w:p>
        </w:tc>
        <w:tc>
          <w:tcPr>
            <w:tcW w:type="dxa" w:w="1584"/>
            <w:tcMar>
              <w:top w:w="90" w:type="dxa"/>
              <w:start w:w="100" w:type="dxa"/>
              <w:bottom w:w="90" w:type="dxa"/>
              <w:end w:w="100" w:type="dxa"/>
            </w:tcMar>
            <w:vAlign w:val="center"/>
          </w:tcPr>
          <w:p>
            <w:pPr>
              <w:jc w:val="left"/>
            </w:pPr>
            <w:r>
              <w:rPr>
                <w:rFonts w:ascii="DejaVu Serif" w:hAnsi="DejaVu Serif" w:eastAsia="DejaVu Serif"/>
                <w:b w:val="0"/>
                <w:sz w:val="14"/>
              </w:rPr>
              <w:t>Human_R=locus(question,action,memory,relation,responsibility) under D/Dom/L</w:t>
            </w:r>
          </w:p>
        </w:tc>
      </w:tr>
    </w:tbl>
    <w:p>
      <w:pPr>
        <w:pStyle w:val="Heading1"/>
      </w:pPr>
      <w:r>
        <w:t>Приложение T. Доказательные обязательства T4-NAT-PO и T4-E2E-PO</w:t>
      </w:r>
    </w:p>
    <w:tbl>
      <w:tblPr>
        <w:tblStyle w:val="TableGrid"/>
        <w:tblW w:type="auto" w:w="0"/>
        <w:jc w:val="center"/>
        <w:tblLayout w:type="fixed"/>
        <w:tblLook w:firstColumn="1" w:firstRow="1" w:lastColumn="0" w:lastRow="0" w:noHBand="0" w:noVBand="1" w:val="04A0"/>
      </w:tblPr>
      <w:tblGrid>
        <w:gridCol w:w="3288"/>
        <w:gridCol w:w="3288"/>
        <w:gridCol w:w="3288"/>
      </w:tblGrid>
      <w:tr>
        <w:trPr>
          <w:tblHeader w:val="true"/>
        </w:trPr>
        <w:tc>
          <w:tcPr>
            <w:tcW w:type="dxa" w:w="1800"/>
            <w:tcMar>
              <w:top w:w="90" w:type="dxa"/>
              <w:start w:w="100" w:type="dxa"/>
              <w:bottom w:w="90" w:type="dxa"/>
              <w:end w:w="100" w:type="dxa"/>
            </w:tcMar>
            <w:vAlign w:val="center"/>
            <w:shd w:fill="1F416A"/>
          </w:tcPr>
          <w:p>
            <w:pPr>
              <w:jc w:val="center"/>
            </w:pPr>
            <w:r>
              <w:rPr>
                <w:rFonts w:ascii="DejaVu Serif" w:hAnsi="DejaVu Serif" w:eastAsia="DejaVu Serif"/>
                <w:b/>
                <w:color w:val="FFFFFF"/>
                <w:sz w:val="15"/>
              </w:rPr>
              <w:t>ID</w:t>
            </w:r>
          </w:p>
        </w:tc>
        <w:tc>
          <w:tcPr>
            <w:tcW w:type="dxa" w:w="6408"/>
            <w:tcMar>
              <w:top w:w="90" w:type="dxa"/>
              <w:start w:w="100" w:type="dxa"/>
              <w:bottom w:w="90" w:type="dxa"/>
              <w:end w:w="100" w:type="dxa"/>
            </w:tcMar>
            <w:vAlign w:val="center"/>
            <w:shd w:fill="1F416A"/>
          </w:tcPr>
          <w:p>
            <w:pPr>
              <w:jc w:val="center"/>
            </w:pPr>
            <w:r>
              <w:rPr>
                <w:rFonts w:ascii="DejaVu Serif" w:hAnsi="DejaVu Serif" w:eastAsia="DejaVu Serif"/>
                <w:b/>
                <w:color w:val="FFFFFF"/>
                <w:sz w:val="15"/>
              </w:rPr>
              <w:t>Обязательство</w:t>
            </w:r>
          </w:p>
        </w:tc>
        <w:tc>
          <w:tcPr>
            <w:tcW w:type="dxa" w:w="1655"/>
            <w:tcMar>
              <w:top w:w="90" w:type="dxa"/>
              <w:start w:w="100" w:type="dxa"/>
              <w:bottom w:w="90" w:type="dxa"/>
              <w:end w:w="100" w:type="dxa"/>
            </w:tcMar>
            <w:vAlign w:val="center"/>
            <w:shd w:fill="1F416A"/>
          </w:tcPr>
          <w:p>
            <w:pPr>
              <w:jc w:val="center"/>
            </w:pPr>
            <w:r>
              <w:rPr>
                <w:rFonts w:ascii="DejaVu Serif" w:hAnsi="DejaVu Serif" w:eastAsia="DejaVu Serif"/>
                <w:b/>
                <w:color w:val="FFFFFF"/>
                <w:sz w:val="15"/>
              </w:rPr>
              <w:t>Статус</w:t>
            </w:r>
          </w:p>
        </w:tc>
      </w:tr>
      <w:t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T4-NAT-PO-001</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Separate world-event, appearance, record, model and claim.</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CLOSED · TYPE FIREWALL</w:t>
            </w:r>
          </w:p>
        </w:tc>
      </w:tr>
      <w:t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T4-NAT-PO-002</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Define observer/instrument/protocol as a partial observation interface.</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CLOSED · DEF</w:t>
            </w:r>
          </w:p>
        </w:tc>
      </w:tr>
      <w:t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T4-NAT-PO-003</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Define a proof-carrying scientific fact passport.</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CLOSED · DEF</w:t>
            </w:r>
          </w:p>
        </w:tc>
      </w:tr>
      <w:t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T4-NAT-PO-004</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Separate model fit from causal/mechanistic explanation.</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CLOSED · PROP/COUNTERMODEL</w:t>
            </w:r>
          </w:p>
        </w:tc>
      </w:tr>
      <w:t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T4-NAT-PO-005</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Type experiment through Δ/Ξ/Υ without claiming universal physical realization.</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CLOSED · ARCH/COND</w:t>
            </w:r>
          </w:p>
        </w:tc>
      </w:tr>
      <w:t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T4-NAT-PO-006</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Define reduction with declared preserved invariants.</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CLOSED · DEF</w:t>
            </w:r>
          </w:p>
        </w:tc>
      </w:tr>
      <w:t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T4-NAT-PO-007</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Require a residual ledger for every anthropologically relevant reduction.</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CLOSED · NORMATIVE GATE</w:t>
            </w:r>
          </w:p>
        </w:tc>
      </w:tr>
      <w:t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T4-NAT-PO-008</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Define relative emergence without metaphysical inflation.</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CLOSED · COND</w:t>
            </w:r>
          </w:p>
        </w:tc>
      </w:tr>
      <w:t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T4-NAT-PO-009</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Integrate classical philosophy-of-science prior art with explicit attribution.</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CLOSED · SOURCE MAP</w:t>
            </w:r>
          </w:p>
        </w:tc>
      </w:tr>
      <w:t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T4-NAT-PO-010</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Construct the partial natural-science operator 𝔑_KLT.</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CLOSED · DEF</w:t>
            </w:r>
          </w:p>
        </w:tc>
      </w:tr>
      <w:t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T4-NAT-PO-011</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Build domain examples with real scientific data.</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OPEN · EMP/SOFTWARE</w:t>
            </w:r>
          </w:p>
        </w:tc>
      </w:tr>
      <w:t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T4-NAT-PO-012</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Independently validate transferability of the science-cycle adapter.</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OPEN · EXT-RUN</w:t>
            </w:r>
          </w:p>
        </w:tc>
      </w:tr>
      <w:t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T4-E2E-PO-001</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Define the full anthropological input type X_h.</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CLOSED · DEF</w:t>
            </w:r>
          </w:p>
        </w:tc>
      </w:tr>
      <w:t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T4-E2E-PO-002</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Define the partial end-to-end operator 𝔄_KLT with ABSTAIN.</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CLOSED · DEF</w:t>
            </w:r>
          </w:p>
        </w:tc>
      </w:tr>
      <w:t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T4-E2E-PO-003</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Prove weakest-link status monotonicity.</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CLOSED · THM-FORMAL</w:t>
            </w:r>
          </w:p>
        </w:tc>
      </w:tr>
      <w:t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T4-E2E-PO-004</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Define the human residual of noninjective encoding.</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CLOSED · DEF/THM</w:t>
            </w:r>
          </w:p>
        </w:tc>
      </w:tr>
      <w:t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T4-E2E-PO-005</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Separate automation from transfer of responsibility.</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CLOSED · ETHICAL FIREWALL</w:t>
            </w:r>
          </w:p>
        </w:tc>
      </w:tr>
      <w:t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T4-E2E-PO-006</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Define publication gate TYPE-DOM-D-PROOF-PROV-REPRO-ETHICS-STATUS.</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CLOSED · DEF</w:t>
            </w:r>
          </w:p>
        </w:tc>
      </w:tr>
      <w:t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T4-E2E-PO-007</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Define theorem/model/interpretation/ABSTAIN publication outputs.</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CLOSED · DEF</w:t>
            </w:r>
          </w:p>
        </w:tc>
      </w:tr>
      <w:t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T4-E2E-PO-008</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Define anthropological completeness and contestation/versioning.</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CLOSED · NORMATIVE AXIOM</w:t>
            </w:r>
          </w:p>
        </w:tc>
      </w:tr>
      <w:t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T4-E2E-PO-009</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Construct a nonscalar publication status vector.</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CLOSED · DEF</w:t>
            </w:r>
          </w:p>
        </w:tc>
      </w:tr>
      <w:t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T4-E2E-PO-010</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Construct falsifiability matrix across formal, numerical, empirical, historical and ethical channels.</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CLOSED · AUDIT</w:t>
            </w:r>
          </w:p>
        </w:tc>
      </w:tr>
      <w:t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T4-E2E-PO-011</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Fix authorial novelty and prior-art attribution boundaries.</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CLOSED · SOURCE/LEGAL</w:t>
            </w:r>
          </w:p>
        </w:tc>
      </w:tr>
      <w:t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T4-E2E-PO-012</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Implement consent, contestability and responsibility gates in KLT-RBD software.</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OPEN · SOFTWARE</w:t>
            </w:r>
          </w:p>
        </w:tc>
      </w:tr>
      <w:tr>
        <w:tc>
          <w:tcPr>
            <w:tcW w:type="dxa" w:w="1800"/>
            <w:tcMar>
              <w:top w:w="90" w:type="dxa"/>
              <w:start w:w="100" w:type="dxa"/>
              <w:bottom w:w="90" w:type="dxa"/>
              <w:end w:w="100" w:type="dxa"/>
            </w:tcMar>
            <w:vAlign w:val="center"/>
            <w:shd w:fill="F4F6F9"/>
          </w:tcPr>
          <w:p>
            <w:pPr>
              <w:jc w:val="center"/>
            </w:pPr>
            <w:r>
              <w:rPr>
                <w:rFonts w:ascii="DejaVu Serif" w:hAnsi="DejaVu Serif" w:eastAsia="DejaVu Serif"/>
                <w:b w:val="0"/>
                <w:sz w:val="15"/>
              </w:rPr>
              <w:t>T4-E2E-PO-013</w:t>
            </w:r>
          </w:p>
        </w:tc>
        <w:tc>
          <w:tcPr>
            <w:tcW w:type="dxa" w:w="6408"/>
            <w:tcMar>
              <w:top w:w="90" w:type="dxa"/>
              <w:start w:w="100" w:type="dxa"/>
              <w:bottom w:w="90" w:type="dxa"/>
              <w:end w:w="100" w:type="dxa"/>
            </w:tcMar>
            <w:vAlign w:val="center"/>
            <w:shd w:fill="F4F6F9"/>
          </w:tcPr>
          <w:p>
            <w:pPr>
              <w:jc w:val="left"/>
            </w:pPr>
            <w:r>
              <w:rPr>
                <w:rFonts w:ascii="DejaVu Serif" w:hAnsi="DejaVu Serif" w:eastAsia="DejaVu Serif"/>
                <w:b w:val="0"/>
                <w:sz w:val="15"/>
              </w:rPr>
              <w:t>Perform privacy/security/legal review in target jurisdictions.</w:t>
            </w:r>
          </w:p>
        </w:tc>
        <w:tc>
          <w:tcPr>
            <w:tcW w:type="dxa" w:w="1655"/>
            <w:tcMar>
              <w:top w:w="90" w:type="dxa"/>
              <w:start w:w="100" w:type="dxa"/>
              <w:bottom w:w="90" w:type="dxa"/>
              <w:end w:w="100" w:type="dxa"/>
            </w:tcMar>
            <w:vAlign w:val="center"/>
            <w:shd w:fill="F4F6F9"/>
          </w:tcPr>
          <w:p>
            <w:pPr>
              <w:jc w:val="left"/>
            </w:pPr>
            <w:r>
              <w:rPr>
                <w:rFonts w:ascii="DejaVu Serif" w:hAnsi="DejaVu Serif" w:eastAsia="DejaVu Serif"/>
                <w:b w:val="0"/>
                <w:sz w:val="15"/>
              </w:rPr>
              <w:t>OPEN · LEGAL/ETHICS</w:t>
            </w:r>
          </w:p>
        </w:tc>
      </w:tr>
      <w:tr>
        <w:tc>
          <w:tcPr>
            <w:tcW w:type="dxa" w:w="1800"/>
            <w:tcMar>
              <w:top w:w="90" w:type="dxa"/>
              <w:start w:w="100" w:type="dxa"/>
              <w:bottom w:w="90" w:type="dxa"/>
              <w:end w:w="100" w:type="dxa"/>
            </w:tcMar>
            <w:vAlign w:val="center"/>
          </w:tcPr>
          <w:p>
            <w:pPr>
              <w:jc w:val="center"/>
            </w:pPr>
            <w:r>
              <w:rPr>
                <w:rFonts w:ascii="DejaVu Serif" w:hAnsi="DejaVu Serif" w:eastAsia="DejaVu Serif"/>
                <w:b w:val="0"/>
                <w:sz w:val="15"/>
              </w:rPr>
              <w:t>T4-E2E-PO-014</w:t>
            </w:r>
          </w:p>
        </w:tc>
        <w:tc>
          <w:tcPr>
            <w:tcW w:type="dxa" w:w="6408"/>
            <w:tcMar>
              <w:top w:w="90" w:type="dxa"/>
              <w:start w:w="100" w:type="dxa"/>
              <w:bottom w:w="90" w:type="dxa"/>
              <w:end w:w="100" w:type="dxa"/>
            </w:tcMar>
            <w:vAlign w:val="center"/>
          </w:tcPr>
          <w:p>
            <w:pPr>
              <w:jc w:val="left"/>
            </w:pPr>
            <w:r>
              <w:rPr>
                <w:rFonts w:ascii="DejaVu Serif" w:hAnsi="DejaVu Serif" w:eastAsia="DejaVu Serif"/>
                <w:b w:val="0"/>
                <w:sz w:val="15"/>
              </w:rPr>
              <w:t>Run independent end-to-end audit on at least one scientific and one human-document domain.</w:t>
            </w:r>
          </w:p>
        </w:tc>
        <w:tc>
          <w:tcPr>
            <w:tcW w:type="dxa" w:w="1655"/>
            <w:tcMar>
              <w:top w:w="90" w:type="dxa"/>
              <w:start w:w="100" w:type="dxa"/>
              <w:bottom w:w="90" w:type="dxa"/>
              <w:end w:w="100" w:type="dxa"/>
            </w:tcMar>
            <w:vAlign w:val="center"/>
          </w:tcPr>
          <w:p>
            <w:pPr>
              <w:jc w:val="left"/>
            </w:pPr>
            <w:r>
              <w:rPr>
                <w:rFonts w:ascii="DejaVu Serif" w:hAnsi="DejaVu Serif" w:eastAsia="DejaVu Serif"/>
                <w:b w:val="0"/>
                <w:sz w:val="15"/>
              </w:rPr>
              <w:t>OPEN · EXT-RUN</w:t>
            </w:r>
          </w:p>
        </w:tc>
      </w:tr>
    </w:tbl>
    <w:p>
      <w:pPr>
        <w:pStyle w:val="Heading1"/>
      </w:pPr>
      <w:r>
        <w:t>Приложение U. Двадцать четыре философских тезиса и матрица публикационного статуса</w:t>
      </w:r>
    </w:p>
    <w:tbl>
      <w:tblPr>
        <w:tblStyle w:val="TableGrid"/>
        <w:tblW w:type="auto" w:w="0"/>
        <w:jc w:val="center"/>
        <w:tblLayout w:type="fixed"/>
        <w:tblLook w:firstColumn="1" w:firstRow="1" w:lastColumn="0" w:lastRow="0" w:noHBand="0" w:noVBand="1" w:val="04A0"/>
      </w:tblPr>
      <w:tblGrid>
        <w:gridCol w:w="3288"/>
        <w:gridCol w:w="3288"/>
        <w:gridCol w:w="3288"/>
      </w:tblGrid>
      <w:tr>
        <w:trPr>
          <w:tblHeader w:val="true"/>
        </w:trPr>
        <w:tc>
          <w:tcPr>
            <w:tcW w:type="dxa" w:w="648"/>
            <w:tcMar>
              <w:top w:w="90" w:type="dxa"/>
              <w:start w:w="100" w:type="dxa"/>
              <w:bottom w:w="90" w:type="dxa"/>
              <w:end w:w="100" w:type="dxa"/>
            </w:tcMar>
            <w:vAlign w:val="center"/>
            <w:shd w:fill="1F416A"/>
          </w:tcPr>
          <w:p>
            <w:pPr>
              <w:jc w:val="center"/>
            </w:pPr>
            <w:r>
              <w:rPr>
                <w:rFonts w:ascii="DejaVu Serif" w:hAnsi="DejaVu Serif" w:eastAsia="DejaVu Serif"/>
                <w:b/>
                <w:color w:val="FFFFFF"/>
                <w:sz w:val="15"/>
              </w:rPr>
              <w:t>№</w:t>
            </w:r>
          </w:p>
        </w:tc>
        <w:tc>
          <w:tcPr>
            <w:tcW w:type="dxa" w:w="7848"/>
            <w:tcMar>
              <w:top w:w="90" w:type="dxa"/>
              <w:start w:w="100" w:type="dxa"/>
              <w:bottom w:w="90" w:type="dxa"/>
              <w:end w:w="100" w:type="dxa"/>
            </w:tcMar>
            <w:vAlign w:val="center"/>
            <w:shd w:fill="1F416A"/>
          </w:tcPr>
          <w:p>
            <w:pPr>
              <w:jc w:val="center"/>
            </w:pPr>
            <w:r>
              <w:rPr>
                <w:rFonts w:ascii="DejaVu Serif" w:hAnsi="DejaVu Serif" w:eastAsia="DejaVu Serif"/>
                <w:b/>
                <w:color w:val="FFFFFF"/>
                <w:sz w:val="15"/>
              </w:rPr>
              <w:t>Тезис</w:t>
            </w:r>
          </w:p>
        </w:tc>
        <w:tc>
          <w:tcPr>
            <w:tcW w:type="dxa" w:w="1368"/>
            <w:tcMar>
              <w:top w:w="90" w:type="dxa"/>
              <w:start w:w="100" w:type="dxa"/>
              <w:bottom w:w="90" w:type="dxa"/>
              <w:end w:w="100" w:type="dxa"/>
            </w:tcMar>
            <w:vAlign w:val="center"/>
            <w:shd w:fill="1F416A"/>
          </w:tcPr>
          <w:p>
            <w:pPr>
              <w:jc w:val="center"/>
            </w:pPr>
            <w:r>
              <w:rPr>
                <w:rFonts w:ascii="DejaVu Serif" w:hAnsi="DejaVu Serif" w:eastAsia="DejaVu Serif"/>
                <w:b/>
                <w:color w:val="FFFFFF"/>
                <w:sz w:val="15"/>
              </w:rPr>
              <w:t>Статус</w:t>
            </w:r>
          </w:p>
        </w:tc>
      </w:tr>
      <w:t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1</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Мир предшествует его записи, но знание мира требует среза и основания.</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HERM</w:t>
            </w:r>
          </w:p>
        </w:tc>
      </w:tr>
      <w:t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2</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Событие без состояния не имеет человеческой определённости.</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ARCH</w:t>
            </w:r>
          </w:p>
        </w:tc>
      </w:tr>
      <w:t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3</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Человек есть не центр ФОС, а локальная Складка восприятия, действия и памяти.</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MODEL</w:t>
            </w:r>
          </w:p>
        </w:tc>
      </w:tr>
      <w:t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4</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Reper удерживает реальность, идею, возможности и достаточное основание.</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DEF</w:t>
            </w:r>
          </w:p>
        </w:tc>
      </w:tr>
      <w:t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5</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Тело является первой системой координат человеческого мира.</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HERM</w:t>
            </w:r>
          </w:p>
        </w:tc>
      </w:tr>
      <w:t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6</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Свобода есть способность начинать причинную ветвь внутри Предела.</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MODEL</w:t>
            </w:r>
          </w:p>
        </w:tc>
      </w:tr>
      <w:t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7</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Разворот делает действие конечным и требует поддерживающих дел.</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MODEL</w:t>
            </w:r>
          </w:p>
        </w:tc>
      </w:tr>
      <w:t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8</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Память пересобирает Reper прошлого, не изменяя исходный источник.</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DEF</w:t>
            </w:r>
          </w:p>
        </w:tc>
      </w:tr>
      <w:t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9</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Язык переносит не только слова, но и основания их применимости.</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HERM</w:t>
            </w:r>
          </w:p>
        </w:tc>
      </w:tr>
      <w:t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10</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Локальные данные не определяют единственную глобальную реконструкцию.</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THM-BRIDGE</w:t>
            </w:r>
          </w:p>
        </w:tc>
      </w:tr>
      <w:t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11</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Интерсубъективность есть согласование modulo регулярного фона.</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MODEL</w:t>
            </w:r>
          </w:p>
        </w:tc>
      </w:tr>
      <w:t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12</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Исторические формы восприятия образуют атлас, а не лестницу ценности.</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HERM</w:t>
            </w:r>
          </w:p>
        </w:tc>
      </w:tr>
      <w:t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13</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Диалог культур требует переводить D, а не только термины.</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HERM</w:t>
            </w:r>
          </w:p>
        </w:tc>
      </w:tr>
      <w:t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14</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Кососимметричная связность описывает неполные сопряжения, а не доказывает духов.</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THM-FORMAL</w:t>
            </w:r>
          </w:p>
        </w:tc>
      </w:tr>
      <w:t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15</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След не является следствием, а неизвестность не является демоном.</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TYPE FIREWALL</w:t>
            </w:r>
          </w:p>
        </w:tc>
      </w:tr>
      <w:t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16</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Герменевтический образ не превращается в исторический или физический факт.</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STATUS</w:t>
            </w:r>
          </w:p>
        </w:tc>
      </w:tr>
      <w:t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17</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Видение порождает гипотезу; доказательство делает её публичной.</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HERM</w:t>
            </w:r>
          </w:p>
        </w:tc>
      </w:tr>
      <w:t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18</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foreign-D есть ошибка основания, но несогласие не всегда ошибка.</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DEF</w:t>
            </w:r>
          </w:p>
        </w:tc>
      </w:tr>
      <w:t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19</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AnthroCGI измеряет разрыв описания, а не ценность человека.</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TYPE FIREWALL</w:t>
            </w:r>
          </w:p>
        </w:tc>
      </w:tr>
      <w:t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20</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Документ сохраняет след, но не возвращает прожитое событие.</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THM-FORMAL</w:t>
            </w:r>
          </w:p>
        </w:tc>
      </w:tr>
      <w:t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21</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Машинная память не равна человеческой памяти и ответственности.</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THM/ETHICS</w:t>
            </w:r>
          </w:p>
        </w:tc>
      </w:tr>
      <w:t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22</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Междисциплинарность требует адаптеров, а не стирания предметных различий.</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DEF</w:t>
            </w:r>
          </w:p>
        </w:tc>
      </w:tr>
      <w:tr>
        <w:tc>
          <w:tcPr>
            <w:tcW w:type="dxa" w:w="648"/>
            <w:tcMar>
              <w:top w:w="90" w:type="dxa"/>
              <w:start w:w="100" w:type="dxa"/>
              <w:bottom w:w="90" w:type="dxa"/>
              <w:end w:w="100" w:type="dxa"/>
            </w:tcMar>
            <w:vAlign w:val="center"/>
            <w:shd w:fill="F4F6F9"/>
          </w:tcPr>
          <w:p>
            <w:pPr>
              <w:jc w:val="center"/>
            </w:pPr>
            <w:r>
              <w:rPr>
                <w:rFonts w:ascii="DejaVu Serif" w:hAnsi="DejaVu Serif" w:eastAsia="DejaVu Serif"/>
                <w:b w:val="0"/>
                <w:sz w:val="15"/>
              </w:rPr>
              <w:t>23</w:t>
            </w:r>
          </w:p>
        </w:tc>
        <w:tc>
          <w:tcPr>
            <w:tcW w:type="dxa" w:w="7848"/>
            <w:tcMar>
              <w:top w:w="90" w:type="dxa"/>
              <w:start w:w="100" w:type="dxa"/>
              <w:bottom w:w="90" w:type="dxa"/>
              <w:end w:w="100" w:type="dxa"/>
            </w:tcMar>
            <w:vAlign w:val="center"/>
            <w:shd w:fill="F4F6F9"/>
          </w:tcPr>
          <w:p>
            <w:pPr>
              <w:jc w:val="left"/>
            </w:pPr>
            <w:r>
              <w:rPr>
                <w:rFonts w:ascii="DejaVu Serif" w:hAnsi="DejaVu Serif" w:eastAsia="DejaVu Serif"/>
                <w:b w:val="0"/>
                <w:sz w:val="15"/>
              </w:rPr>
              <w:t>Естествознание есть цикл мира, метода, публичной критики и ответственного действия.</w:t>
            </w:r>
          </w:p>
        </w:tc>
        <w:tc>
          <w:tcPr>
            <w:tcW w:type="dxa" w:w="1368"/>
            <w:tcMar>
              <w:top w:w="90" w:type="dxa"/>
              <w:start w:w="100" w:type="dxa"/>
              <w:bottom w:w="90" w:type="dxa"/>
              <w:end w:w="100" w:type="dxa"/>
            </w:tcMar>
            <w:vAlign w:val="center"/>
            <w:shd w:fill="F4F6F9"/>
          </w:tcPr>
          <w:p>
            <w:pPr>
              <w:jc w:val="left"/>
            </w:pPr>
            <w:r>
              <w:rPr>
                <w:rFonts w:ascii="DejaVu Serif" w:hAnsi="DejaVu Serif" w:eastAsia="DejaVu Serif"/>
                <w:b w:val="0"/>
                <w:sz w:val="15"/>
              </w:rPr>
              <w:t>SYNTHESIS</w:t>
            </w:r>
          </w:p>
        </w:tc>
      </w:tr>
      <w:tr>
        <w:tc>
          <w:tcPr>
            <w:tcW w:type="dxa" w:w="648"/>
            <w:tcMar>
              <w:top w:w="90" w:type="dxa"/>
              <w:start w:w="100" w:type="dxa"/>
              <w:bottom w:w="90" w:type="dxa"/>
              <w:end w:w="100" w:type="dxa"/>
            </w:tcMar>
            <w:vAlign w:val="center"/>
          </w:tcPr>
          <w:p>
            <w:pPr>
              <w:jc w:val="center"/>
            </w:pPr>
            <w:r>
              <w:rPr>
                <w:rFonts w:ascii="DejaVu Serif" w:hAnsi="DejaVu Serif" w:eastAsia="DejaVu Serif"/>
                <w:b w:val="0"/>
                <w:sz w:val="15"/>
              </w:rPr>
              <w:t>24</w:t>
            </w:r>
          </w:p>
        </w:tc>
        <w:tc>
          <w:tcPr>
            <w:tcW w:type="dxa" w:w="7848"/>
            <w:tcMar>
              <w:top w:w="90" w:type="dxa"/>
              <w:start w:w="100" w:type="dxa"/>
              <w:bottom w:w="90" w:type="dxa"/>
              <w:end w:w="100" w:type="dxa"/>
            </w:tcMar>
            <w:vAlign w:val="center"/>
          </w:tcPr>
          <w:p>
            <w:pPr>
              <w:jc w:val="left"/>
            </w:pPr>
            <w:r>
              <w:rPr>
                <w:rFonts w:ascii="DejaVu Serif" w:hAnsi="DejaVu Serif" w:eastAsia="DejaVu Serif"/>
                <w:b w:val="0"/>
                <w:sz w:val="15"/>
              </w:rPr>
              <w:t>Полный KLT-вывод обязан уметь не только отвечать, но и обоснованно воздерживаться.</w:t>
            </w:r>
          </w:p>
        </w:tc>
        <w:tc>
          <w:tcPr>
            <w:tcW w:type="dxa" w:w="1368"/>
            <w:tcMar>
              <w:top w:w="90" w:type="dxa"/>
              <w:start w:w="100" w:type="dxa"/>
              <w:bottom w:w="90" w:type="dxa"/>
              <w:end w:w="100" w:type="dxa"/>
            </w:tcMar>
            <w:vAlign w:val="center"/>
          </w:tcPr>
          <w:p>
            <w:pPr>
              <w:jc w:val="left"/>
            </w:pPr>
            <w:r>
              <w:rPr>
                <w:rFonts w:ascii="DejaVu Serif" w:hAnsi="DejaVu Serif" w:eastAsia="DejaVu Serif"/>
                <w:b w:val="0"/>
                <w:sz w:val="15"/>
              </w:rPr>
              <w:t>AXIOM</w:t>
            </w:r>
          </w:p>
        </w:tc>
      </w:tr>
    </w:tbl>
    <w:p>
      <w:pPr>
        <w:pStyle w:val="Heading1"/>
      </w:pPr>
      <w:r>
        <w:t>Приложение V. Source-cards T4-SRC-026-T4-SRC-027 и точка отката T4-RA8</w:t>
      </w:r>
    </w:p>
    <w:p>
      <w:r>
        <w:rPr>
          <w:rFonts w:ascii="DejaVu Serif" w:hAnsi="DejaVu Serif" w:eastAsia="DejaVu Serif"/>
          <w:sz w:val="20"/>
        </w:rPr>
        <w:t>T4-SRC-026. Пользовательская директива: «Продолжаем работу по плану с максимально возможным усилением философии и Антропологии нашего проекта ЛОГИКА КУРПИШЕВА 2». Статус: первичный авторский редакционный источник; назначение: усиление философского пролога, завершение глав 23-24 и введение антропологического firewall.</w:t>
      </w:r>
    </w:p>
    <w:p>
      <w:r>
        <w:rPr>
          <w:rFonts w:ascii="DejaVu Serif" w:hAnsi="DejaVu Serif" w:eastAsia="DejaVu Serif"/>
          <w:sz w:val="20"/>
        </w:rPr>
        <w:t>T4-SRC-027. Итоговый авторский синтез v0.8: человек определяется как телесный и исторический Reper разворота, удерживающий вопрос, действие, память, отношение к Другому и ответственность. Естествознание определяется как status-preserving цикл, а KLT-RBD - как внешняя память доказательных путей, обязана хранить не только ответы, но и остатки редукции, возражения и причины ABSTAIN.</w:t>
      </w:r>
    </w:p>
    <w:p>
      <w:r>
        <w:rPr>
          <w:rFonts w:ascii="DejaVu Serif" w:hAnsi="DejaVu Serif" w:eastAsia="DejaVu Serif"/>
          <w:sz w:val="20"/>
        </w:rPr>
        <w:t>T4-RA8. Откат обязателен, если downstream-редакция: (1) сводит человека к единому рейтингу; (2) отождествляет запись с событием; (3) принимает model fit за объяснение; (4) скрывает residual ledger; (5) делегирует ответственность без явного институционального основания; (6) не допускает возражения; (7) повышает статус в заголовке или аннотации; (8) превращает философскую интерпретацию в доказанный физический, исторический или антропологический факт.</w:t>
      </w:r>
    </w:p>
    <w:p>
      <w:bookmarkStart w:id="116" w:name="release_card"/>
      <w:pPr>
        <w:pStyle w:val="Heading1"/>
        <w:keepNext/>
        <w:pageBreakBefore w:val="0"/>
        <w:widowControl/>
        <w:spacing w:before="200" w:after="100"/>
      </w:pPr>
      <w:r>
        <w:rPr>
          <w:rFonts w:ascii="DejaVu Sans" w:hAnsi="DejaVu Sans" w:eastAsia="DejaVu Sans"/>
          <w:b/>
          <w:color w:val="173A61"/>
          <w:sz w:val="35"/>
        </w:rPr>
        <w:t>Авторская карточка контрольной точки</w:t>
      </w:r>
      <w:bookmarkEnd w:id="116"/>
    </w:p>
    <w:tbl>
      <w:tblPr>
        <w:tblStyle w:val="TableGrid"/>
        <w:tblW w:type="auto" w:w="0"/>
        <w:jc w:val="center"/>
        <w:tblLayout w:type="fixed"/>
        <w:tblLook w:firstColumn="1" w:firstRow="1" w:lastColumn="0" w:lastRow="0" w:noHBand="0" w:noVBand="1" w:val="04A0"/>
      </w:tblPr>
      <w:tblGrid>
        <w:gridCol w:w="2381"/>
        <w:gridCol w:w="7257"/>
      </w:tblGrid>
      <w:tr>
        <w:trPr>
          <w:trHeight w:hRule="atLeast"/>
          <w:tblHeader w:val="true"/>
          <w:cantSplit/>
        </w:trPr>
        <w:tc>
          <w:tcPr>
            <w:tcW w:type="dxa" w:w="2232"/>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7"/>
              </w:rPr>
              <w:t>Поле</w:t>
            </w:r>
          </w:p>
        </w:tc>
        <w:tc>
          <w:tcPr>
            <w:tcW w:type="dxa" w:w="6912"/>
            <w:shd w:fill="173A61"/>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2" w:lineRule="auto"/>
              <w:jc w:val="center"/>
            </w:pPr>
            <w:r>
              <w:rPr>
                <w:rFonts w:ascii="DejaVu Sans" w:hAnsi="DejaVu Sans" w:eastAsia="DejaVu Sans"/>
                <w:b/>
                <w:color w:val="FFFFFF"/>
                <w:sz w:val="17"/>
              </w:rPr>
              <w:t>Значение</w:t>
            </w:r>
          </w:p>
        </w:tc>
      </w:tr>
      <w:tr>
        <w:trPr>
          <w:cantSplit/>
          <w:trHeight w:hRule="atLeast"/>
        </w:trPr>
        <w:tc>
          <w:tcPr>
            <w:tcW w:type="dxa" w:w="223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7"/>
              </w:rPr>
              <w:t>Название</w:t>
            </w:r>
          </w:p>
        </w:tc>
        <w:tc>
          <w:tcPr>
            <w:tcW w:type="dxa" w:w="69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7"/>
              </w:rPr>
              <w:t>Базовый проект KLT-RBD. Том IV. Антропология познания и Reper разворота.</w:t>
            </w:r>
          </w:p>
        </w:tc>
      </w:tr>
      <w:tr>
        <w:trPr>
          <w:cantSplit/>
          <w:trHeight w:hRule="atLeast"/>
        </w:trPr>
        <w:tc>
          <w:tcPr>
            <w:tcW w:type="dxa" w:w="223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7"/>
              </w:rPr>
              <w:t>Автор</w:t>
            </w:r>
          </w:p>
        </w:tc>
        <w:tc>
          <w:tcPr>
            <w:tcW w:type="dxa" w:w="69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7"/>
              </w:rPr>
              <w:t>Курпишев Иван Борисович</w:t>
            </w:r>
          </w:p>
        </w:tc>
      </w:tr>
      <w:tr>
        <w:trPr>
          <w:cantSplit/>
          <w:trHeight w:hRule="atLeast"/>
        </w:trPr>
        <w:tc>
          <w:tcPr>
            <w:tcW w:type="dxa" w:w="223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7"/>
              </w:rPr>
              <w:t>Версия</w:t>
            </w:r>
          </w:p>
        </w:tc>
        <w:tc>
          <w:tcPr>
            <w:tcW w:type="dxa" w:w="69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before="0" w:after="0" w:line="252" w:lineRule="auto"/>
              <w:jc w:val="left"/>
            </w:pPr>
            <w:r>
              <w:rPr>
                <w:rFonts w:ascii="DejaVu Serif" w:hAnsi="DejaVu Serif" w:eastAsia="DejaVu Serif"/>
                <w:sz w:val="18"/>
              </w:rPr>
              <w:t>T4-NATPHIL-v0.8</w:t>
            </w:r>
          </w:p>
        </w:tc>
      </w:tr>
      <w:tr>
        <w:trPr>
          <w:cantSplit/>
          <w:trHeight w:hRule="atLeast"/>
        </w:trPr>
        <w:tc>
          <w:tcPr>
            <w:tcW w:type="dxa" w:w="223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7"/>
              </w:rPr>
              <w:t>Дата</w:t>
            </w:r>
          </w:p>
        </w:tc>
        <w:tc>
          <w:tcPr>
            <w:tcW w:type="dxa" w:w="69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before="0" w:line="259" w:lineRule="auto"/>
            </w:pPr>
            <w:r>
              <w:rPr>
                <w:rFonts w:ascii="DejaVu Serif" w:hAnsi="DejaVu Serif" w:eastAsia="DejaVu Serif"/>
                <w:sz w:val="18"/>
              </w:rPr>
              <w:t>31 июля 2026 г.</w:t>
            </w:r>
          </w:p>
        </w:tc>
      </w:tr>
      <w:tr>
        <w:trPr>
          <w:cantSplit/>
          <w:trHeight w:hRule="atLeast"/>
        </w:trPr>
        <w:tc>
          <w:tcPr>
            <w:tcW w:type="dxa" w:w="223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7"/>
              </w:rPr>
              <w:t>Новое в версии</w:t>
            </w:r>
          </w:p>
        </w:tc>
        <w:tc>
          <w:tcPr>
            <w:tcW w:type="dxa" w:w="69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before="0" w:after="0" w:line="252" w:lineRule="auto"/>
              <w:jc w:val="left"/>
            </w:pPr>
            <w:r>
              <w:rPr>
                <w:rFonts w:ascii="DejaVu Serif" w:hAnsi="DejaVu Serif" w:eastAsia="DejaVu Serif"/>
                <w:sz w:val="18"/>
              </w:rPr>
              <w:t>Философский пролог «Человек как место, где мир становится вопросом»; семь антропологических констант; главы 23-24 о философии естествознания, end-to-end антропологическом операторе и publication gate; формулы T4-F201-T4-F240; приложения S-V; двадцать четыре философских тезиса; rollback T4-RA8.</w:t>
            </w:r>
          </w:p>
        </w:tc>
      </w:tr>
      <w:tr>
        <w:trPr>
          <w:cantSplit/>
          <w:trHeight w:hRule="atLeast"/>
        </w:trPr>
        <w:tc>
          <w:tcPr>
            <w:tcW w:type="dxa" w:w="223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7"/>
              </w:rPr>
              <w:t>Не доказано</w:t>
            </w:r>
          </w:p>
        </w:tc>
        <w:tc>
          <w:tcPr>
            <w:tcW w:type="dxa" w:w="69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before="0" w:after="0" w:line="252" w:lineRule="auto"/>
              <w:jc w:val="left"/>
            </w:pPr>
            <w:r>
              <w:rPr>
                <w:rFonts w:ascii="DejaVu Serif" w:hAnsi="DejaVu Serif" w:eastAsia="DejaVu Serif"/>
                <w:sz w:val="18"/>
              </w:rPr>
              <w:t>Физическая реализация полной мировой функции KLT; независимая эмпирическая операционализация антропологических и PIX/PEAKS-мостов; полнота и универсальность end-to-end оператора; программная реализация publication gate; независимый EXT-RUN; межтомный change-set для замороженных Томов I-III.</w:t>
            </w:r>
          </w:p>
        </w:tc>
      </w:tr>
      <w:tr>
        <w:trPr>
          <w:cantSplit/>
          <w:trHeight w:hRule="atLeast"/>
        </w:trPr>
        <w:tc>
          <w:tcPr>
            <w:tcW w:type="dxa" w:w="223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after="0" w:line="252" w:lineRule="auto" w:before="0"/>
              <w:jc w:val="left"/>
            </w:pPr>
            <w:r>
              <w:rPr>
                <w:rFonts w:ascii="DejaVu Serif" w:hAnsi="DejaVu Serif" w:eastAsia="DejaVu Serif"/>
                <w:b w:val="0"/>
                <w:color w:val="1A2433"/>
                <w:sz w:val="17"/>
              </w:rPr>
              <w:t>Rollback</w:t>
            </w:r>
          </w:p>
        </w:tc>
        <w:tc>
          <w:tcPr>
            <w:tcW w:type="dxa" w:w="6912"/>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shd w:fill="FFFFFF"/>
          </w:tcPr>
          <w:p>
            <w:pPr>
              <w:widowControl/>
              <w:spacing w:before="0" w:after="0" w:line="252" w:lineRule="auto"/>
              <w:jc w:val="left"/>
            </w:pPr>
            <w:r>
              <w:rPr>
                <w:rFonts w:ascii="DejaVu Serif" w:hAnsi="DejaVu Serif" w:eastAsia="DejaVu Serif"/>
                <w:sz w:val="18"/>
              </w:rPr>
              <w:t>T4-RA8</w:t>
            </w:r>
          </w:p>
        </w:tc>
      </w:tr>
      <w:tr>
        <w:trPr>
          <w:cantSplit/>
          <w:trHeight w:hRule="atLeast"/>
        </w:trPr>
        <w:tc>
          <w:tcPr>
            <w:tcW w:type="dxa" w:w="223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after="0" w:line="252" w:lineRule="auto" w:before="0"/>
              <w:jc w:val="left"/>
            </w:pPr>
            <w:r>
              <w:rPr>
                <w:rFonts w:ascii="DejaVu Serif" w:hAnsi="DejaVu Serif" w:eastAsia="DejaVu Serif"/>
                <w:b w:val="0"/>
                <w:color w:val="1A2433"/>
                <w:sz w:val="17"/>
              </w:rPr>
              <w:t>Следующая сборка</w:t>
            </w:r>
          </w:p>
        </w:tc>
        <w:tc>
          <w:tcPr>
            <w:tcW w:type="dxa" w:w="6912"/>
            <w:shd w:fill="F4F7FA"/>
            <w:tcMar>
              <w:top w:w="90" w:type="dxa"/>
              <w:start w:w="100" w:type="dxa"/>
              <w:bottom w:w="90" w:type="dxa"/>
              <w:end w:w="100" w:type="dxa"/>
            </w:tcMar>
            <w:vAlign w:val="center"/>
            <w:tcBorders>
              <w:top w:sz="8" w:val="single" w:color="9AA9B8"/>
              <w:left w:sz="8" w:val="single" w:color="9AA9B8"/>
              <w:bottom w:sz="8" w:val="single" w:color="9AA9B8"/>
              <w:right w:sz="8" w:val="single" w:color="9AA9B8"/>
            </w:tcBorders>
          </w:tcPr>
          <w:p>
            <w:pPr>
              <w:widowControl/>
              <w:spacing w:before="0" w:after="0" w:line="252" w:lineRule="auto"/>
              <w:jc w:val="left"/>
            </w:pPr>
            <w:r>
              <w:rPr>
                <w:rFonts w:ascii="DejaVu Serif" w:hAnsi="DejaVu Serif" w:eastAsia="DejaVu Serif"/>
                <w:sz w:val="18"/>
              </w:rPr>
              <w:t>T4-AUDIT-v0.9</w:t>
            </w:r>
          </w:p>
        </w:tc>
      </w:tr>
    </w:tbl>
    <w:p>
      <w:pPr>
        <w:widowControl/>
        <w:spacing w:after="20"/>
      </w:pPr>
    </w:p>
    <w:sectPr w:rsidR="00FC693F" w:rsidRPr="0006063C" w:rsidSect="00034616">
      <w:headerReference w:type="default" r:id="rId9"/>
      <w:footerReference w:type="default" r:id="rId10"/>
      <w:headerReference w:type="first" r:id="rId13"/>
      <w:footerReference w:type="first" r:id="rId14"/>
      <w:pgSz w:w="11906" w:h="16838"/>
      <w:pgMar w:top="1020" w:right="964" w:bottom="1020" w:left="1077" w:header="369"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DejaVu Serif" w:hAnsi="DejaVu Serif" w:eastAsia="DejaVu Serif"/>
        <w:color w:val="66707A"/>
        <w:sz w:val="16"/>
      </w:rPr>
      <w:t xml:space="preserve">Курпишев Иван Борисович · Калининград · 2026  |  </w:t>
    </w:r>
    <w:r>
      <w:fldChar w:fldCharType="begin"/>
      <w:instrText xml:space="preserve"> PAGE </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DejaVu Sans" w:hAnsi="DejaVu Sans" w:eastAsia="DejaVu Sans"/>
        <w:color w:val="1F416A"/>
        <w:sz w:val="18"/>
      </w:rPr>
      <w:t>БАЗОВЫЙ ПРОЕКТ KLT-RBD · ТОМ IV · T4-NATPHIL-v0.8</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80" w:line="269" w:lineRule="auto"/>
    </w:pPr>
    <w:rPr>
      <w:rFonts w:ascii="DejaVu Serif" w:hAnsi="DejaVu Serif"/>
      <w:color w:val="1A24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outlineLvl w:val="0"/>
    </w:pPr>
    <w:rPr>
      <w:rFonts w:asciiTheme="majorHAnsi" w:eastAsiaTheme="majorEastAsia" w:hAnsiTheme="majorHAnsi" w:cstheme="majorBidi" w:ascii="DejaVu Sans" w:hAnsi="DejaVu Sans"/>
      <w:b/>
      <w:bCs/>
      <w:color w:val="173A61"/>
      <w:sz w:val="35"/>
      <w:szCs w:val="28"/>
    </w:rPr>
  </w:style>
  <w:style w:type="paragraph" w:styleId="Heading2">
    <w:name w:val="heading 2"/>
    <w:basedOn w:val="Normal"/>
    <w:next w:val="Normal"/>
    <w:link w:val="Heading2Char"/>
    <w:uiPriority w:val="9"/>
    <w:unhideWhenUsed/>
    <w:qFormat/>
    <w:rsid w:val="00FC693F"/>
    <w:pPr>
      <w:keepNext/>
      <w:keepLines/>
      <w:spacing w:before="120" w:after="80"/>
      <w:outlineLvl w:val="1"/>
    </w:pPr>
    <w:rPr>
      <w:rFonts w:asciiTheme="majorHAnsi" w:eastAsiaTheme="majorEastAsia" w:hAnsiTheme="majorHAnsi" w:cstheme="majorBidi" w:ascii="DejaVu Sans" w:hAnsi="DejaVu Sans"/>
      <w:b/>
      <w:bCs/>
      <w:color w:val="214D7A"/>
      <w:sz w:val="26"/>
      <w:szCs w:val="26"/>
    </w:rPr>
  </w:style>
  <w:style w:type="paragraph" w:styleId="Heading3">
    <w:name w:val="heading 3"/>
    <w:basedOn w:val="Normal"/>
    <w:next w:val="Normal"/>
    <w:link w:val="Heading3Char"/>
    <w:uiPriority w:val="9"/>
    <w:unhideWhenUsed/>
    <w:qFormat/>
    <w:rsid w:val="00FC693F"/>
    <w:pPr>
      <w:keepNext/>
      <w:keepLines/>
      <w:spacing w:before="120" w:after="80"/>
      <w:outlineLvl w:val="2"/>
    </w:pPr>
    <w:rPr>
      <w:rFonts w:asciiTheme="majorHAnsi" w:eastAsiaTheme="majorEastAsia" w:hAnsiTheme="majorHAnsi" w:cstheme="majorBidi" w:ascii="DejaVu Sans" w:hAnsi="DejaVu Sans"/>
      <w:b/>
      <w:bCs/>
      <w:color w:val="53677D"/>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40" w:lineRule="auto" w:before="200"/>
      <w:contextualSpacing/>
    </w:pPr>
    <w:rPr>
      <w:rFonts w:asciiTheme="majorHAnsi" w:eastAsiaTheme="majorEastAsia" w:hAnsiTheme="majorHAnsi" w:cstheme="majorBidi" w:ascii="DejaVu Sans" w:hAnsi="DejaVu Sans"/>
      <w:b/>
      <w:color w:val="17345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ubtitleKLT">
    <w:name w:val="Subtitle KLT"/>
    <w:rPr>
      <w:rFonts w:ascii="DejaVu Serif" w:hAnsi="DejaVu Serif"/>
      <w:i/>
      <w:color w:val="53677D"/>
      <w:sz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header" Target="header2.xml"/><Relationship Id="rId14" Type="http://schemas.openxmlformats.org/officeDocument/2006/relationships/footer" Target="footer2.xml"/><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image" Target="media/image18.png"/><Relationship Id="rId31" Type="http://schemas.openxmlformats.org/officeDocument/2006/relationships/image" Target="media/image19.png"/><Relationship Id="rId32" Type="http://schemas.openxmlformats.org/officeDocument/2006/relationships/image" Target="media/image20.png"/><Relationship Id="rId33" Type="http://schemas.openxmlformats.org/officeDocument/2006/relationships/image" Target="media/image21.png"/><Relationship Id="rId34" Type="http://schemas.openxmlformats.org/officeDocument/2006/relationships/image" Target="media/image22.png"/><Relationship Id="rId35" Type="http://schemas.openxmlformats.org/officeDocument/2006/relationships/image" Target="media/image23.png"/><Relationship Id="rId36" Type="http://schemas.openxmlformats.org/officeDocument/2006/relationships/image" Target="media/image24.png"/><Relationship Id="rId37" Type="http://schemas.openxmlformats.org/officeDocument/2006/relationships/image" Target="media/image25.png"/><Relationship Id="rId38" Type="http://schemas.openxmlformats.org/officeDocument/2006/relationships/image" Target="media/image26.png"/><Relationship Id="rId39" Type="http://schemas.openxmlformats.org/officeDocument/2006/relationships/image" Target="media/image27.png"/><Relationship Id="rId40" Type="http://schemas.openxmlformats.org/officeDocument/2006/relationships/image" Target="media/image28.png"/><Relationship Id="rId41" Type="http://schemas.openxmlformats.org/officeDocument/2006/relationships/image" Target="media/image29.png"/><Relationship Id="rId42" Type="http://schemas.openxmlformats.org/officeDocument/2006/relationships/image" Target="media/image30.png"/><Relationship Id="rId43" Type="http://schemas.openxmlformats.org/officeDocument/2006/relationships/image" Target="media/image31.png"/><Relationship Id="rId44" Type="http://schemas.openxmlformats.org/officeDocument/2006/relationships/image" Target="media/image32.png"/><Relationship Id="rId45"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Базовый проект KLT-RBD. Том IV. Антропология познания и Reper разворота. T4-NATPHIL-v0.8</dc:title>
  <dc:subject>Философия естествознания KLT, end-to-end антропологический оператор, publication gate</dc:subject>
  <dc:creator>Курпишев Иван Борисович</dc:creator>
  <cp:keywords>KLT-RBD, антропология познания, философия естествознания, Reper, Human_R, publication gate, ABSTAIN</cp:keywords>
  <dc:description>truth_layer_promotion=0; philosophical and anthropological synthesis; no physical or empirical status promotion.</dc:description>
  <cp:lastModifiedBy/>
  <cp:revision>1</cp:revision>
  <dcterms:created xsi:type="dcterms:W3CDTF">2013-12-23T23:15:00Z</dcterms:created>
  <dcterms:modified xsi:type="dcterms:W3CDTF">2013-12-23T23:15:00Z</dcterms:modified>
  <cp:category/>
</cp:coreProperties>
</file>