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widowControl/>
      </w:pPr>
      <w:r>
        <w:rPr>
          <w:rFonts w:ascii="Liberation Sans" w:hAnsi="Liberation Sans"/>
          <w:b/>
          <w:color w:val="17365D"/>
          <w:sz w:val="36"/>
          <w:lang w:val="ru-RU"/>
        </w:rPr>
        <w:t>МОНОГРАФИЯ</w:t>
      </w:r>
    </w:p>
    <w:p>
      <w:pPr>
        <w:spacing w:after="80"/>
        <w:jc w:val="center"/>
        <w:widowControl/>
      </w:pPr>
      <w:r>
        <w:rPr>
          <w:rFonts w:ascii="Liberation Sans" w:hAnsi="Liberation Sans"/>
          <w:b/>
          <w:color w:val="17365D"/>
          <w:sz w:val="50"/>
          <w:lang w:val="ru-RU"/>
        </w:rPr>
        <w:t>БАЗОВЫЙ ПРОЕКТ KLT-RBD</w:t>
      </w:r>
    </w:p>
    <w:p>
      <w:pPr>
        <w:spacing w:after="60"/>
        <w:jc w:val="center"/>
        <w:widowControl/>
      </w:pPr>
      <w:r>
        <w:rPr>
          <w:rFonts w:ascii="Liberation Sans" w:hAnsi="Liberation Sans"/>
          <w:b/>
          <w:color w:val="9C6B18"/>
          <w:sz w:val="46"/>
          <w:lang w:val="ru-RU"/>
        </w:rPr>
        <w:t>ТОМ II</w:t>
      </w:r>
    </w:p>
    <w:p>
      <w:pPr>
        <w:spacing w:after="200"/>
        <w:jc w:val="center"/>
        <w:widowControl/>
      </w:pPr>
      <w:r>
        <w:rPr>
          <w:rFonts w:ascii="Liberation Sans" w:hAnsi="Liberation Sans"/>
          <w:b/>
          <w:color w:val="17365D"/>
          <w:sz w:val="34"/>
          <w:lang w:val="ru-RU"/>
        </w:rPr>
        <w:t>СТРОГАЯ НЕАССОЦИАТИВНАЯ ПАКЕТНАЯ</w:t>
        <w:br/>
        <w:t>РЕПЕРНАЯ ГЕОМЕТРИЯ NAPG 3.0</w:t>
      </w:r>
    </w:p>
    <w:p>
      <w:pPr>
        <w:jc w:val="center"/>
        <w:widowControl/>
      </w:pPr>
      <w:r>
        <w:rPr>
          <w:lang w:val="ru-RU"/>
        </w:rPr>
        <w:drawing>
          <wp:inline xmlns:a="http://schemas.openxmlformats.org/drawingml/2006/main" xmlns:pic="http://schemas.openxmlformats.org/drawingml/2006/picture">
            <wp:extent cx="1440000" cy="1440000"/>
            <wp:docPr id="1" name="Picture 1"/>
            <wp:cNvGraphicFramePr>
              <a:graphicFrameLocks noChangeAspect="1"/>
            </wp:cNvGraphicFramePr>
            <a:graphic>
              <a:graphicData uri="http://schemas.openxmlformats.org/drawingml/2006/picture">
                <pic:pic>
                  <pic:nvPicPr>
                    <pic:cNvPr id="0" name="ivan.jpg"/>
                    <pic:cNvPicPr/>
                  </pic:nvPicPr>
                  <pic:blipFill>
                    <a:blip r:embed="rId9"/>
                    <a:stretch>
                      <a:fillRect/>
                    </a:stretch>
                  </pic:blipFill>
                  <pic:spPr>
                    <a:xfrm>
                      <a:off x="0" y="0"/>
                      <a:ext cx="1440000" cy="1440000"/>
                    </a:xfrm>
                    <a:prstGeom prst="rect"/>
                  </pic:spPr>
                </pic:pic>
              </a:graphicData>
            </a:graphic>
          </wp:inline>
        </w:drawing>
      </w:r>
    </w:p>
    <w:p>
      <w:pPr>
        <w:spacing w:after="20"/>
        <w:jc w:val="center"/>
        <w:widowControl/>
      </w:pPr>
      <w:r>
        <w:rPr>
          <w:rFonts w:ascii="Liberation Sans" w:hAnsi="Liberation Sans"/>
          <w:b/>
          <w:color w:val="17365D"/>
          <w:sz w:val="30"/>
          <w:lang w:val="ru-RU"/>
        </w:rPr>
        <w:t>Курпишев Иван Борисович</w:t>
      </w:r>
    </w:p>
    <w:p>
      <w:pPr>
        <w:spacing w:after="120"/>
        <w:jc w:val="center"/>
        <w:widowControl/>
      </w:pPr>
      <w:r>
        <w:rPr>
          <w:rFonts w:ascii="Liberation Sans" w:hAnsi="Liberation Sans"/>
          <w:color w:val="5B6573"/>
          <w:sz w:val="21"/>
          <w:lang w:val="ru-RU"/>
        </w:rPr>
        <w:t>Независимый исследователь · Калининград · 2026</w:t>
      </w:r>
    </w:p>
    <w:tbl>
      <w:tblPr>
        <w:tblW w:type="auto" w:w="0"/>
        <w:jc w:val="center"/>
        <w:tblLayout w:type="fixed"/>
        <w:tblLook w:firstColumn="1" w:firstRow="1" w:lastColumn="0" w:lastRow="0" w:noHBand="0" w:noVBand="1" w:val="04A0"/>
      </w:tblPr>
      <w:tblGrid>
        <w:gridCol w:w="9411"/>
      </w:tblGrid>
      <w:tr>
        <w:tc>
          <w:tcPr>
            <w:tcW w:type="dxa" w:w="9752"/>
            <w:shd w:fill="F5EBD3"/>
            <w:tcMar>
              <w:top w:w="150" w:type="dxa"/>
              <w:start w:w="180" w:type="dxa"/>
              <w:bottom w:w="15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b/>
                <w:color w:val="9C6B18"/>
                <w:sz w:val="21"/>
              </w:rPr>
              <w:t>АВТОРСКАЯ АТРИБУЦИЯ</w:t>
            </w:r>
          </w:p>
          <w:p>
            <w:pPr>
              <w:spacing w:after="0" w:line="252" w:lineRule="auto"/>
            </w:pPr>
            <w:r>
              <w:rPr>
                <w:rFonts w:ascii="Liberation Serif" w:hAnsi="Liberation Serif" w:eastAsia="Liberation Serif"/>
                <w:sz w:val="18"/>
              </w:rPr>
              <w:t>Автор проекта KLT-RBD и NAPG; авторская конструкция теоремы Дезарга–Курпишева; математический принцип неопределённости ПН.2 в зафиксированной модельной формулировке; компьютерные алгоритмы KLT; архитектура реперной базы данных. Классические составляющие и prior art атрибутируются их авторам.</w:t>
            </w:r>
          </w:p>
        </w:tc>
      </w:tr>
    </w:tbl>
    <w:p>
      <w:pPr>
        <w:spacing w:after="0"/>
        <w:widowControl/>
      </w:pPr>
    </w:p>
    <w:p>
      <w:pPr>
        <w:jc w:val="center"/>
        <w:widowControl/>
      </w:pPr>
      <w:r>
        <w:rPr>
          <w:rFonts w:ascii="Liberation Serif" w:hAnsi="Liberation Serif" w:eastAsia="Liberation Serif"/>
          <w:sz w:val="21"/>
        </w:rPr>
        <w:t>Контрольная точка T2-RP-v0.8 · выпуск tom2_v0_8</w:t>
      </w:r>
    </w:p>
    <w:p>
      <w:pPr>
        <w:jc w:val="center"/>
        <w:widowControl/>
      </w:pPr>
      <w:r>
        <w:rPr>
          <w:rFonts w:ascii="Liberation Sans" w:hAnsi="Liberation Sans"/>
          <w:color w:val="5B6573"/>
          <w:sz w:val="18"/>
          <w:lang w:val="ru-RU"/>
        </w:rPr>
        <w:t>Каноническая нулевая точка: замороженный Том I v197 RU</w:t>
      </w:r>
    </w:p>
    <w:p>
      <w:pPr>
        <w:jc w:val="center"/>
        <w:widowControl/>
      </w:pPr>
      <w:r>
        <w:rPr>
          <w:rFonts w:ascii="Liberation Sans" w:hAnsi="Liberation Sans"/>
          <w:b/>
          <w:color w:val="9C0006"/>
          <w:sz w:val="17"/>
          <w:lang w:val="ru-RU"/>
        </w:rPr>
        <w:t>Доказательная и юридическая граница: truth_layer_promotion=0</w:t>
      </w:r>
    </w:p>
    <w:p>
      <w:pPr>
        <w:widowControl/>
      </w:pPr>
      <w:r>
        <w:rPr>
          <w:lang w:val="ru-RU"/>
        </w:rPr>
        <w:br w:type="page"/>
      </w:r>
    </w:p>
    <w:p>
      <w:pPr>
        <w:pStyle w:val="Heading1"/>
        <w:widowControl/>
        <w:keepNext/>
      </w:pPr>
      <w:r>
        <w:rPr>
          <w:rFonts w:ascii="Liberation Serif" w:hAnsi="Liberation Serif" w:eastAsia="Liberation Serif"/>
          <w:sz w:val="21"/>
        </w:rPr>
        <w:t>Паспорт выпуска tom2_v0_8</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Контрольная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erif" w:hAnsi="Liberation Serif" w:eastAsia="Liberation Serif"/>
                <w:sz w:val="19"/>
              </w:rPr>
              <w:t>T2-RP-v0.8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erif" w:hAnsi="Liberation Serif" w:eastAsia="Liberation Serif"/>
                <w:sz w:val="19"/>
              </w:rPr>
              <w:t>Кумулятивная рабочая редакция: v0.1-v0.7 сохранены; глава 10 углублена до строгого differential-forms/precomplex/Hodge package v0.8.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Каноническая нулевая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tom1_v197.docx + tom1_v197_ru.pdf; Том I не редактируется и не пересобирается.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Обязательный регламент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tom2_chat_guide_v1.docx, SHA-256 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Состав выпуска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erif" w:hAnsi="Liberation Serif" w:eastAsia="Liberation Serif"/>
                <w:sz w:val="19"/>
              </w:rPr>
              <w:t>Карта источников и правовое досье; master-skeleton 24 глав; Definition Core; ассоциаторный, duality, atlas, tangent, holonomy и differential-calculus слои; обновлённая матрица PO.</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Форматы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Нативно редактируемый DOCX и поисковый PDF. ZIP/CSV/JSON/HTML не формируются.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Статус-замок</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erif" w:hAnsi="Liberation Serif"/>
                <w:b w:val="0"/>
                <w:sz w:val="19"/>
              </w:rPr>
              <w:t>COND, MODEL, COMP, CONJ и PHY-HYP не повышаются без нового доказательства или независимого свидетельства.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after="0"/>
            </w:pPr>
            <w:r>
              <w:rPr>
                <w:rFonts w:ascii="Liberation Sans" w:hAnsi="Liberation Sans"/>
                <w:b/>
                <w:sz w:val="18"/>
              </w:rPr>
              <w:t>Следующая точка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erif" w:hAnsi="Liberation Serif" w:eastAsia="Liberation Serif"/>
                <w:sz w:val="19"/>
              </w:rPr>
              <w:t>tom2_v0_9: глава 11 - внутренний минимальный комплекс, когомологии и obstruction functor.</w:t>
            </w:r>
          </w:p>
        </w:tc>
      </w:tr>
    </w:tbl>
    <w:p>
      <w:pPr>
        <w:pStyle w:val="Heading2"/>
        <w:widowControl/>
        <w:keepNext/>
      </w:pPr>
      <w:r>
        <w:rPr>
          <w:rFonts w:ascii="Liberation Sans" w:hAnsi="Liberation Sans" w:eastAsia="Liberation Sans"/>
          <w:b/>
          <w:color w:val="2F5597"/>
          <w:sz w:val="26"/>
          <w:lang w:val="ru-RU"/>
        </w:rPr>
        <w:t>Аннотация выпуска</w:t>
      </w:r>
    </w:p>
    <w:p>
      <w:pPr>
        <w:pStyle w:val="Lead"/>
        <w:widowControl/>
      </w:pPr>
      <w:r>
        <w:rPr>
          <w:rFonts w:ascii="Liberation Serif" w:hAnsi="Liberation Serif" w:eastAsia="Liberation Serif"/>
          <w:sz w:val="22"/>
        </w:rPr>
        <w:t>Выпуск tom2_v0_8 является кумулятивным продолжением v0.7 и развивает главу 10 Тома II: типизированные дифференциальные формы NAPG, graded Leibniz calculus, локальность и склейку, различение внутреннего d_N, внешнего δ_E и Hodge-кодифференциала, а также строгий запрет автоматического предположения d²=0. Введены differential-curvature, mixed bridge defect, дифференциальный переходный горизонт и blocker-safe отрицательная теорема прогноза. Условные и физические мосты статуса не меняют.</w:t>
      </w: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СТАТУС-ЗАМОК</w:t>
            </w:r>
          </w:p>
          <w:p>
            <w:pPr>
              <w:spacing w:after="0" w:line="252" w:lineRule="auto"/>
            </w:pPr>
            <w:r>
              <w:rPr>
                <w:rFonts w:ascii="Liberation Serif" w:hAnsi="Liberation Serif" w:eastAsia="Liberation Serif"/>
                <w:sz w:val="18"/>
              </w:rPr>
              <w:t>ПН.2 сохраняется как математическая минимаксная теорема внутри явно заданной модели скрытой структурной альтернативы. F-1–F-14 и физические мосты не получают нового статуса. Теорема Дезарга–Курпишева применяется только в перечисленных проективных, полярных и доменных гипотезах. Государственная регистрация программ и баз данных не интерпретируется как подтверждение истинности математических или физических утверждений.</w:t>
            </w:r>
          </w:p>
        </w:tc>
      </w:tr>
    </w:tbl>
    <w:p>
      <w:pPr>
        <w:spacing w:after="0"/>
        <w:widowControl/>
      </w:pPr>
    </w:p>
    <w:p>
      <w:pPr>
        <w:pStyle w:val="Heading1"/>
        <w:widowControl/>
        <w:keepNext/>
      </w:pPr>
      <w:r>
        <w:rPr>
          <w:rFonts w:ascii="Liberation Sans" w:hAnsi="Liberation Sans" w:eastAsia="Liberation Sans"/>
          <w:b/>
          <w:color w:val="17365D"/>
          <w:sz w:val="36"/>
          <w:lang w:val="ru-RU"/>
        </w:rPr>
        <w:t>Содержание и маршрут сборки</w:t>
      </w:r>
    </w:p>
    <w:p>
      <w:pPr>
        <w:ind w:left="340" w:right="227"/>
        <w:widowControl/>
      </w:pPr>
      <w:r>
        <w:t>1. Паспорт и источниковая база v0.1 (сохранённая точка отката)</w:t>
      </w:r>
    </w:p>
    <w:p>
      <w:pPr>
        <w:ind w:left="340" w:right="227"/>
        <w:widowControl/>
      </w:pPr>
      <w:r>
        <w:rPr>
          <w:rFonts w:ascii="Liberation Sans" w:hAnsi="Liberation Sans"/>
          <w:b/>
          <w:color w:val="17365D"/>
          <w:sz w:val="20"/>
          <w:lang w:val="ru-RU"/>
        </w:rPr>
        <w:t>2. Карта источников и исходный аудит</w:t>
      </w:r>
    </w:p>
    <w:p>
      <w:pPr>
        <w:ind w:left="340" w:right="227"/>
        <w:widowControl/>
      </w:pPr>
      <w:r>
        <w:rPr>
          <w:rFonts w:ascii="Liberation Sans" w:hAnsi="Liberation Sans"/>
          <w:b/>
          <w:color w:val="17365D"/>
          <w:sz w:val="20"/>
          <w:lang w:val="ru-RU"/>
        </w:rPr>
        <w:t>3. Правовое досье</w:t>
      </w:r>
    </w:p>
    <w:p>
      <w:pPr>
        <w:ind w:left="340" w:right="227"/>
        <w:widowControl/>
      </w:pPr>
      <w:r>
        <w:rPr>
          <w:rFonts w:ascii="Liberation Sans" w:hAnsi="Liberation Sans"/>
          <w:b/>
          <w:color w:val="17365D"/>
          <w:sz w:val="20"/>
          <w:lang w:val="ru-RU"/>
        </w:rPr>
        <w:t>4. Master-skeleton: 24 главы</w:t>
      </w:r>
    </w:p>
    <w:p>
      <w:pPr>
        <w:ind w:left="340" w:right="227"/>
        <w:widowControl/>
      </w:pPr>
      <w:r>
        <w:rPr>
          <w:rFonts w:ascii="Liberation Sans" w:hAnsi="Liberation Sans"/>
          <w:b/>
          <w:color w:val="17365D"/>
          <w:sz w:val="20"/>
          <w:lang w:val="ru-RU"/>
        </w:rPr>
        <w:t>5. Карта зависимостей</w:t>
      </w:r>
    </w:p>
    <w:p>
      <w:pPr>
        <w:ind w:left="340" w:right="227"/>
        <w:widowControl/>
      </w:pPr>
      <w:r>
        <w:rPr>
          <w:rFonts w:ascii="Liberation Sans" w:hAnsi="Liberation Sans"/>
          <w:b/>
          <w:color w:val="17365D"/>
          <w:sz w:val="20"/>
          <w:lang w:val="ru-RU"/>
        </w:rPr>
        <w:t>6. Главы 1–24: паспорта сборки</w:t>
      </w:r>
    </w:p>
    <w:p>
      <w:pPr>
        <w:ind w:left="340" w:right="227"/>
        <w:widowControl/>
      </w:pPr>
      <w:r>
        <w:rPr>
          <w:rFonts w:ascii="Liberation Sans" w:hAnsi="Liberation Sans"/>
          <w:b/>
          <w:color w:val="17365D"/>
          <w:sz w:val="20"/>
          <w:lang w:val="ru-RU"/>
        </w:rPr>
        <w:t>7. Первичная матрица доказательных обязательств</w:t>
      </w:r>
    </w:p>
    <w:p>
      <w:pPr>
        <w:ind w:left="340" w:right="227"/>
        <w:widowControl/>
      </w:pPr>
      <w:r>
        <w:rPr>
          <w:rFonts w:ascii="Liberation Serif" w:hAnsi="Liberation Serif" w:eastAsia="Liberation Serif"/>
          <w:sz w:val="22"/>
        </w:rPr>
        <w:t>8. Контрольная точка T2-RP-v0.1; 9-17. Математическое углубление v0.2; 18-23. Ассоциаторная геометрия v0.3; 24-34. Пакетно-реперная алгебро-геометрическая двойственность v0.4; 35-45. Атласы, расслоения и препятствия глобализации v0.5; 46-57. Касательные и кокасательные объекты, гладкость и интегрируемость v0.6; 58-69. Связности, кривизна, голономия и ассоциаторный мост v0.7; 70-82. Дифференциальные формы, precomplex и Hodge-слой v0.8.</w:t>
      </w:r>
    </w:p>
    <w:p>
      <w:pPr>
        <w:pStyle w:val="Small"/>
        <w:widowControl/>
      </w:pPr>
      <w:r>
        <w:rPr>
          <w:rFonts w:ascii="Liberation Serif" w:hAnsi="Liberation Serif" w:eastAsia="Liberation Serif"/>
          <w:color w:val="5B6573"/>
          <w:sz w:val="19"/>
        </w:rPr>
        <w:t>Примечание: выпуск v0.8 является кумулятивным. Материалы v0.1-v0.7 сохранены как точки отката. Новый строгий текст расположен в части «Дифференциальные формы NAPG и типизированные дифференциалы». Он продолжает connection/holonomy-слой, но не отождествляет exterior differential, covariant differential, E-coboundary и Hodge-codifferential.</w:t>
      </w:r>
    </w:p>
    <w:p>
      <w:pPr>
        <w:pStyle w:val="Heading1"/>
        <w:widowControl/>
        <w:keepNext/>
      </w:pPr>
      <w:r>
        <w:rPr>
          <w:rFonts w:ascii="Liberation Sans" w:hAnsi="Liberation Sans" w:eastAsia="Liberation Sans"/>
          <w:b/>
          <w:color w:val="17365D"/>
          <w:sz w:val="36"/>
          <w:lang w:val="ru-RU"/>
        </w:rPr>
        <w:t>Карта источников и исходный аудит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Источник в Томе II понимается как объект с происхождением, версией и пределом применимости. Новая геометрия не может опираться на бесформенную папку файлов, где свежая дата копирования притворяется научной актуальностью.</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Иерархия P0–P5 задаёт порядок разрешения конфликтов. Чем выше источник, тем меньшую свободу имеет редактор: P0 импортируется, P1 цитируется буквально, P5 всегда маркируется как реконструкция.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Карта источников позволяет читателю видеть не только цитату, но и маршрут от документа к формуле, от формулы к главе и от главы к доказательному обязательству.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Ни один внутренний файл не становится первичным историческим источником для классической математики. Ни один внешний источник не подменяет авторскую историю проекта.</w:t>
            </w:r>
          </w:p>
        </w:tc>
      </w:tr>
    </w:tbl>
    <w:p>
      <w:pPr>
        <w:spacing w:after="0"/>
        <w:widowControl/>
      </w:pPr>
    </w:p>
    <w:p>
      <w:pPr>
        <w:jc w:val="center"/>
        <w:widowControl/>
      </w:pPr>
      <w:r>
        <w:rPr>
          <w:lang w:val="ru-RU"/>
        </w:rPr>
        <w:drawing>
          <wp:inline xmlns:a="http://schemas.openxmlformats.org/drawingml/2006/main" xmlns:pic="http://schemas.openxmlformats.org/drawingml/2006/picture">
            <wp:extent cx="5940000" cy="870170"/>
            <wp:docPr id="2" name="Picture 2"/>
            <wp:cNvGraphicFramePr>
              <a:graphicFrameLocks noChangeAspect="1"/>
            </wp:cNvGraphicFramePr>
            <a:graphic>
              <a:graphicData uri="http://schemas.openxmlformats.org/drawingml/2006/picture">
                <pic:pic>
                  <pic:nvPicPr>
                    <pic:cNvPr id="0" name="sources.png"/>
                    <pic:cNvPicPr/>
                  </pic:nvPicPr>
                  <pic:blipFill>
                    <a:blip r:embed="rId10"/>
                    <a:stretch>
                      <a:fillRect/>
                    </a:stretch>
                  </pic:blipFill>
                  <pic:spPr>
                    <a:xfrm>
                      <a:off x="0" y="0"/>
                      <a:ext cx="5940000" cy="870170"/>
                    </a:xfrm>
                    <a:prstGeom prst="rect"/>
                  </pic:spPr>
                </pic:pic>
              </a:graphicData>
            </a:graphic>
          </wp:inline>
        </w:drawing>
      </w:r>
    </w:p>
    <w:p>
      <w:pPr>
        <w:pStyle w:val="Caption"/>
        <w:jc w:val="center"/>
        <w:widowControl/>
      </w:pPr>
      <w:r>
        <w:rPr>
          <w:i/>
          <w:color w:val="5B6573"/>
          <w:lang w:val="ru-RU"/>
        </w:rPr>
        <w:t>Рисунок 1. Иерархия источников P0–P5 и правило разрешения конфликтов.</w:t>
      </w:r>
    </w:p>
    <w:p>
      <w:pPr>
        <w:pStyle w:val="Heading2"/>
        <w:widowControl/>
        <w:keepNext/>
      </w:pPr>
      <w:r>
        <w:rPr>
          <w:rFonts w:ascii="Liberation Sans" w:hAnsi="Liberation Sans" w:eastAsia="Liberation Sans"/>
          <w:b/>
          <w:color w:val="2F5597"/>
          <w:sz w:val="26"/>
          <w:lang w:val="ru-RU"/>
        </w:rPr>
        <w:t>P0: проверка канонической пары Тома I</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DOCX</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tom1_v197.docx · 50 777 116 байт · SHA-256 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PDF</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tom1_v197_ru.pdf · 264 страницы · SHA-256 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Структурная сверка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Контрольная конверсия DOCX дала 264 страницы, что совпадает с PDF.</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Редакционный дефект источника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Базовый 235-страничный корпус DOCX содержит встроенные страничные изображения; PDF имеет поисковый текст. Том II строится нативным текстом и не наследует этот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Правило импорта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Определения и формулы адресуются по стабильным ID/исходным страницам v197; расхождения фиксируются в change ledger.</w:t>
            </w:r>
          </w:p>
        </w:tc>
      </w:tr>
    </w:tbl>
    <w:p>
      <w:pPr>
        <w:pStyle w:val="Heading2"/>
        <w:widowControl/>
        <w:keepNext/>
      </w:pPr>
      <w:r>
        <w:rPr>
          <w:rFonts w:ascii="Liberation Sans" w:hAnsi="Liberation Sans" w:eastAsia="Liberation Sans"/>
          <w:b/>
          <w:color w:val="2F5597"/>
          <w:sz w:val="26"/>
          <w:lang w:val="ru-RU"/>
        </w:rPr>
        <w:t>Реестр внутренних источников первого круга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P</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Файл/корпус</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Роль</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Статус</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5"/>
              </w:rPr>
              <w:t>Контроль</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tom1_v197.docx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Канонический редактируемый интерфейс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a6b3e26d…</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tom1_v197_ru.pdf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Контрольный оттиск, 264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5a2021c0…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P0</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tom2_chat_guide_v1.docx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Обязательный регламент T2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Принят</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98fab8ce…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rbd22.pdf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Свидетельство БД KLT-RBD v2.2</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evmcert.pdf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Свидетельство программы KLT</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локальная копия</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P1</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6612237_540.xml</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Фактически карта сайта, не регистрационный XML</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Переклассифицирован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f94b89e3…</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main_SIGMA_freeze.tex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Каноническая журнальная NAPG-линия</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К изучению</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e321aab8…</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SIGMA submission bundle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Публикационный корпус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d6f9a550…</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monographiaNAPG.docx</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Ранний редактируемый корпус NAPG</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ba675fba…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axiomatic packet geometry</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Аксиоматический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de2aadde…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Desargues–Kurpishev source</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Теоремный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b7a03cc4…</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PILOT01_PREPRINT_RU_FINAL.pdf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FCOC/Fano barrier, 10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9e1606df…</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monograph5_0_ru.pdf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Исторический слой NAPG/KLT, 113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ea84bab1…</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P3</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v32_v196cc.pdf</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Большой исторический корпус, 4718 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Навигационный</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15307676…</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KLT_4_14_CHECKED_BUILD.zip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Программный свидетельный 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5d48e7ce…</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KLT5_1_FLUTTER_SDK_PACKAGE.zip</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SDK-пакет</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d373e55b…</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interdisciplinary atlas v2.1</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Реперный атлас</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5"/>
              </w:rPr>
              <w:t>4e4c032a…</w:t>
            </w:r>
          </w:p>
        </w:tc>
      </w:tr>
      <w:tr>
        <w:tc>
          <w:tcPr>
            <w:tcW w:type="dxa" w:w="45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5"/>
              </w:rPr>
              <w:t>P2</w:t>
            </w:r>
          </w:p>
        </w:tc>
        <w:tc>
          <w:tcPr>
            <w:tcW w:type="dxa" w:w="266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RBD schema extension</w:t>
            </w:r>
          </w:p>
        </w:tc>
        <w:tc>
          <w:tcPr>
            <w:tcW w:type="dxa" w:w="300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Схема импорта реальных данных</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Архив проверен</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5"/>
              </w:rPr>
              <w:t>406632a1…</w:t>
            </w:r>
          </w:p>
        </w:tc>
      </w:tr>
    </w:tbl>
    <w:p>
      <w:pPr>
        <w:pStyle w:val="Heading2"/>
        <w:widowControl/>
        <w:keepNext/>
      </w:pPr>
      <w:r>
        <w:rPr>
          <w:rFonts w:ascii="Liberation Sans" w:hAnsi="Liberation Sans" w:eastAsia="Liberation Sans"/>
          <w:b/>
          <w:color w:val="2F5597"/>
          <w:sz w:val="26"/>
          <w:lang w:val="ru-RU"/>
        </w:rPr>
        <w:t>Внешние первичные источники: стартовая карта</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Источник</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Работа</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Доступ</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Роль в Томе II</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4"/>
              </w:rPr>
              <w:t>Идентификатор</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Дезарг, 1639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Brouillon project d’une atteinte aux événements des rencontres du cône avec un plan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Gallica, факсимиле</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Классическая проективная конфигурация; изображение не копируется без необходимости.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https://gallica.bnf.fr/ark:/12148/bpt6k105096b</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Гильберт, 1899/1902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Foundations of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 Gutenberg / public domain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Аксиомы инцидентности, порядка, конгруэнтности, параллельности, непрерывности.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https://www.gutenberg.org/ebooks/17384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Клейн, Erlangen Program</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Vergleichende Betrachtungen…</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Project Gutenberg / Springer record</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Геометрия как теория инвариантов группы преобразований.</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https://www.gutenberg.org/ebooks/11207</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Veblen–Young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Projective Geometry</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University of Michigan / public domain scan</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аксиоматика проективной геометрии.</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https://quod.lib.umich.edu/u/umhistmath/ACV3235.0001.001</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Eilenberg–Mac Lane, 1945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General Theory of Natural Equivalences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Transactions AMS;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Категории, функторы, естественные преобразования.</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https://doi.org/10.1090/S0002-9947-1945-0013131-6</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Gerstenhaber, 1964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Deformation of Rings and Algebras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Annals of Mathematics / JSTOR</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Классическая теория деформаций алгебр.</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https://www.jstor.org/stable/1970484</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Akivis, 1976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Local algebras of a multidimensional three-web</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Siberian Math. Journal;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Akivis-алгебры и неассоциативные локальные структуры.</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https://doi.org/10.1007/BF00969285</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Sabinin, 1999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Smooth Quasigroups and Loops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Springer;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Неассоциативная геометрия гладких квазигрупп и луп.</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https://doi.org/10.1007/978-94-011-4491-9</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4"/>
              </w:rPr>
              <w:t>Hodge, 1941/1952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The Theory and Applications of Harmonic Integrals</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Cambridge University Press</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Hodge-теория; используется через определения и цитирование, без копирования рисунков.</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4"/>
              </w:rPr>
              <w:t>https://www.cambridge.org/core/books/the-theory-and-applications-of-harmonic-integrals/</w:t>
            </w:r>
          </w:p>
        </w:tc>
      </w:tr>
      <w:tr>
        <w:tc>
          <w:tcPr>
            <w:tcW w:type="dxa" w:w="15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4"/>
              </w:rPr>
              <w:t>Yau, 1978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On the Ricci curvature of a compact Kähler manifold…</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Communications on Pure and Applied Mathematics; DOI</w:t>
            </w:r>
          </w:p>
        </w:tc>
        <w:tc>
          <w:tcPr>
            <w:tcW w:type="dxa" w:w="260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Calabi conjecture / CY-ветвь при точных гипотезах.</w:t>
            </w:r>
          </w:p>
        </w:tc>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4"/>
              </w:rPr>
              <w:t>https://doi.org/10.1002/cpa.3160310304</w:t>
            </w:r>
          </w:p>
        </w:tc>
      </w:tr>
    </w:tbl>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ЛИЦЕНЗИОННАЯ ДИСЦИПЛИНА</w:t>
            </w:r>
          </w:p>
          <w:p>
            <w:pPr>
              <w:spacing w:after="0" w:line="252" w:lineRule="auto"/>
            </w:pPr>
            <w:r>
              <w:rPr>
                <w:rFonts w:ascii="Liberation Serif" w:hAnsi="Liberation Serif" w:eastAsia="Liberation Serif"/>
                <w:sz w:val="18"/>
              </w:rPr>
              <w:t>В выпуске v0.1 используются оригинальные схемы, построенные для монографии, и факсимиле правовых документов, относящихся к автору проекта. Рисунки из современных монографий и статей не копируются. Для классических public-domain источников допускается будущая репродукция после фиксации точной лицензии и библиографической подписи.</w:t>
            </w:r>
          </w:p>
        </w:tc>
      </w:tr>
    </w:tbl>
    <w:p>
      <w:pPr>
        <w:spacing w:after="0"/>
        <w:widowControl/>
      </w:pPr>
    </w:p>
    <w:p>
      <w:pPr>
        <w:pStyle w:val="Heading1"/>
        <w:widowControl/>
        <w:keepNext/>
      </w:pPr>
      <w:r>
        <w:rPr>
          <w:rFonts w:ascii="Liberation Sans" w:hAnsi="Liberation Sans" w:eastAsia="Liberation Sans"/>
          <w:b/>
          <w:color w:val="17365D"/>
          <w:sz w:val="36"/>
          <w:lang w:val="ru-RU"/>
        </w:rPr>
        <w:t>Правовое досье: подтверждённые объекты и границы вывода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Правовой документ существует в собственной онтологии: он удостоверяет запись об объекте охраны, авторе и правообладателе, но не превращается в математическое доказательство.</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Юридическое знание извлекается только из официального свидетельства, выписки или реестровой карточки. Пересказ по памяти исключён, потому что человеческая память особенно смела именно там, где нужен номер заявления.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Факсимиле позволяет читателю проверить реквизиты визуально, а текстовая карточка делает их доступными для поиска и цитирования.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Формулы «Роспатент доказал теорему» и «регистрация подтверждает физическую фундаментальность» не используются.</w:t>
            </w:r>
          </w:p>
        </w:tc>
      </w:tr>
    </w:tbl>
    <w:p>
      <w:pPr>
        <w:spacing w:after="0"/>
        <w:widowControl/>
      </w:pPr>
    </w:p>
    <w:tbl>
      <w:tblPr>
        <w:tblW w:type="auto" w:w="0"/>
        <w:jc w:val="center"/>
        <w:tblLayout w:type="fixed"/>
        <w:tblLook w:firstColumn="1" w:firstRow="1" w:lastColumn="0" w:lastRow="0" w:noHBand="0" w:noVBand="1" w:val="04A0"/>
      </w:tblPr>
      <w:tblGrid>
        <w:gridCol w:w="1219"/>
        <w:gridCol w:w="1219"/>
        <w:gridCol w:w="1219"/>
        <w:gridCol w:w="1219"/>
        <w:gridCol w:w="1219"/>
        <w:gridCol w:w="1219"/>
        <w:gridCol w:w="1219"/>
        <w:gridCol w:w="1219"/>
      </w:tblGrid>
      <w:tr>
        <w:trPr>
          <w:tblHeader w:val="true"/>
        </w:trP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Объект</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Точное название</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Вид</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Номер</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Даты/заявка</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Автор/правообладатель</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Статус</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База данных</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«Реперная база данных KLT-RBD v2.2»</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База данных</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 2026622733</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Заявка № 2026622532; поступление 22.05.2026; гос. регистрация 10.06.2026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rbd22.pdf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Программа для ЭВМ</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«Способ структурного и содержательного анализа информации и баз данных методом Курпишева: приведением к проективно-гармоническому кросс-соотношению с использованием реперной базы данных»</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Программа для ЭВМ</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 2026665126</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Заявка № 2026664029; поступление 07.05.2026; гос. регистрация 21.05.2026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Зарегистрировано</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evmcert.pdf</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Текстовое произведение</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«KLT-RBD KURPISHEV LAMBDA-TRUTH»</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Регистрация в RCIS</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0104-231-812</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Дата регистрации 26.05.2026</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Отдельная система регистрации; не свидетельство Роспатента</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карточка RCIS</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NAPG</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Неассоциативная пакетная реперная геометрия</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Научная авторская конструкция</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Отдельный подтверждающий документ госрегистрации в текущем корпусе не найден</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атрибуция; юридический статус не расширяется</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LEGAL-01</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Теорема Дезарга–Курпишева</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Авторская конструкция и теоремный пакет</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Научный результат</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Не отождествляется с зарегистрированной программой или БД</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Статус зависит от доказательной редакции и гипотез</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OPEN LEGAL-02</w:t>
            </w:r>
          </w:p>
        </w:tc>
      </w:tr>
      <w:tr>
        <w:tc>
          <w:tcPr>
            <w:tcW w:type="dxa" w:w="90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ПН.2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принцип неопределённости Курпишева</w:t>
            </w:r>
          </w:p>
        </w:tc>
        <w:tc>
          <w:tcPr>
            <w:tcW w:type="dxa" w:w="96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Математическая модель/теорема</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Физические гипотезы требуют независимой проверки</w:t>
            </w:r>
          </w:p>
        </w:tc>
        <w:tc>
          <w:tcPr>
            <w:tcW w:type="dxa" w:w="14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Иван Борисович</w:t>
            </w:r>
          </w:p>
        </w:tc>
        <w:tc>
          <w:tcPr>
            <w:tcW w:type="dxa" w:w="158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Математический статус по канону; не юридическое удостоверение истинности</w:t>
            </w:r>
          </w:p>
        </w:tc>
        <w:tc>
          <w:tcPr>
            <w:tcW w:type="dxa" w:w="107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OPEN LEGAL-03</w:t>
            </w:r>
          </w:p>
        </w:tc>
      </w:tr>
    </w:tbl>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КОРРЕКЦИЯ ИСТОЧНИКА 6612237_540.xml</w:t>
            </w:r>
          </w:p>
          <w:p>
            <w:pPr>
              <w:spacing w:after="0" w:line="252" w:lineRule="auto"/>
            </w:pPr>
            <w:r>
              <w:rPr>
                <w:rFonts w:ascii="Liberation Serif" w:hAnsi="Liberation Serif" w:eastAsia="Liberation Serif"/>
                <w:sz w:val="18"/>
              </w:rPr>
              <w:t>Файл 6612237_540.xml разобран как XML-карта сайта &lt;urlset&gt; с URL-адресами kurpishev.com. Он не содержит карточки государственного реестра и не используется для заполнения регистрационных реквизитов. До получения официального регистрационного XML данная позиция остаётся blocker LEGAL-XML-01.</w:t>
            </w:r>
          </w:p>
        </w:tc>
      </w:tr>
    </w:tbl>
    <w:p>
      <w:pPr>
        <w:spacing w:after="0"/>
        <w:widowControl/>
      </w:pPr>
    </w:p>
    <w:p>
      <w:pPr>
        <w:jc w:val="center"/>
        <w:widowControl/>
      </w:pPr>
      <w:r>
        <w:rPr>
          <w:lang w:val="ru-RU"/>
        </w:rPr>
        <w:drawing>
          <wp:inline xmlns:a="http://schemas.openxmlformats.org/drawingml/2006/main" xmlns:pic="http://schemas.openxmlformats.org/drawingml/2006/picture">
            <wp:extent cx="5472000" cy="7746483"/>
            <wp:docPr id="3" name="Picture 3"/>
            <wp:cNvGraphicFramePr>
              <a:graphicFrameLocks noChangeAspect="1"/>
            </wp:cNvGraphicFramePr>
            <a:graphic>
              <a:graphicData uri="http://schemas.openxmlformats.org/drawingml/2006/picture">
                <pic:pic>
                  <pic:nvPicPr>
                    <pic:cNvPr id="0" name="rbd22.png"/>
                    <pic:cNvPicPr/>
                  </pic:nvPicPr>
                  <pic:blipFill>
                    <a:blip r:embed="rId11"/>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2. Факсимиле свидетельства о государственной регистрации базы данных № 2026622733.</w:t>
      </w:r>
    </w:p>
    <w:p>
      <w:pPr>
        <w:jc w:val="center"/>
        <w:widowControl/>
      </w:pPr>
      <w:r>
        <w:rPr>
          <w:lang w:val="ru-RU"/>
        </w:rPr>
        <w:drawing>
          <wp:inline xmlns:a="http://schemas.openxmlformats.org/drawingml/2006/main" xmlns:pic="http://schemas.openxmlformats.org/drawingml/2006/picture">
            <wp:extent cx="5472000" cy="7746483"/>
            <wp:docPr id="4" name="Picture 4"/>
            <wp:cNvGraphicFramePr>
              <a:graphicFrameLocks noChangeAspect="1"/>
            </wp:cNvGraphicFramePr>
            <a:graphic>
              <a:graphicData uri="http://schemas.openxmlformats.org/drawingml/2006/picture">
                <pic:pic>
                  <pic:nvPicPr>
                    <pic:cNvPr id="0" name="evmcert.png"/>
                    <pic:cNvPicPr/>
                  </pic:nvPicPr>
                  <pic:blipFill>
                    <a:blip r:embed="rId12"/>
                    <a:stretch>
                      <a:fillRect/>
                    </a:stretch>
                  </pic:blipFill>
                  <pic:spPr>
                    <a:xfrm>
                      <a:off x="0" y="0"/>
                      <a:ext cx="5472000" cy="7746483"/>
                    </a:xfrm>
                    <a:prstGeom prst="rect"/>
                  </pic:spPr>
                </pic:pic>
              </a:graphicData>
            </a:graphic>
          </wp:inline>
        </w:drawing>
      </w:r>
    </w:p>
    <w:p>
      <w:pPr>
        <w:pStyle w:val="Caption"/>
        <w:jc w:val="center"/>
        <w:widowControl/>
      </w:pPr>
      <w:r>
        <w:rPr>
          <w:i/>
          <w:color w:val="5B6573"/>
          <w:lang w:val="ru-RU"/>
        </w:rPr>
        <w:t>Рисунок 3. Факсимиле свидетельства о государственной регистрации программы для ЭВМ № 2026665126.</w:t>
      </w:r>
    </w:p>
    <w:p>
      <w:pPr>
        <w:pStyle w:val="Heading1"/>
        <w:widowControl/>
        <w:keepNext/>
      </w:pPr>
      <w:r>
        <w:rPr>
          <w:rFonts w:ascii="Liberation Sans" w:hAnsi="Liberation Sans" w:eastAsia="Liberation Sans"/>
          <w:b/>
          <w:color w:val="17365D"/>
          <w:sz w:val="36"/>
          <w:lang w:val="ru-RU"/>
        </w:rPr>
        <w:t>Master-skeleton Тома II: 24 главы</w:t>
      </w:r>
    </w:p>
    <w:tbl>
      <w:tblPr>
        <w:tblW w:type="auto" w:w="0"/>
        <w:jc w:val="center"/>
        <w:tblLayout w:type="fixed"/>
        <w:tblLook w:firstColumn="1" w:firstRow="1" w:lastColumn="0" w:lastRow="0" w:noHBand="0" w:noVBand="1" w:val="04A0"/>
      </w:tblPr>
      <w:tblGrid>
        <w:gridCol w:w="9411"/>
      </w:tblGrid>
      <w:tr>
        <w:tc>
          <w:tcPr>
            <w:tcW w:type="dxa" w:w="9752"/>
            <w:shd w:fill="EEF3F8"/>
            <w:tcMar>
              <w:top w:w="150" w:type="dxa"/>
              <w:start w:w="180" w:type="dxa"/>
              <w:bottom w:w="150" w:type="dxa"/>
              <w:end w:w="180" w:type="dxa"/>
            </w:tcMar>
            <w:tcBorders>
              <w:top w:val="single" w:sz="10" w:color="2F5597"/>
              <w:left w:val="single" w:sz="10" w:color="2F5597"/>
              <w:bottom w:val="single" w:sz="10" w:color="2F5597"/>
              <w:right w:val="single" w:sz="10" w:color="2F5597"/>
            </w:tcBorders>
          </w:tcPr>
          <w:p>
            <w:pPr>
              <w:spacing w:after="80"/>
            </w:pPr>
            <w:r>
              <w:rPr>
                <w:rFonts w:ascii="Liberation Sans" w:hAnsi="Liberation Sans"/>
                <w:b/>
                <w:color w:val="2F5597"/>
                <w:sz w:val="21"/>
              </w:rPr>
              <w:t>АРХИТЕКТУРА ВЫПУСКА</w:t>
            </w:r>
          </w:p>
          <w:p>
            <w:pPr>
              <w:spacing w:after="0" w:line="252" w:lineRule="auto"/>
            </w:pPr>
            <w:r>
              <w:rPr>
                <w:rFonts w:ascii="Liberation Serif" w:hAnsi="Liberation Serif" w:eastAsia="Liberation Serif"/>
                <w:sz w:val="18"/>
              </w:rPr>
              <w:t>Нумерация глав фиксирована мастер-инструкцией. Выпуск v0.1 создаёт для каждой главы паспорт сборки, а не имитирует окончательный текст. В каждом паспорте определены цель, формальный выход, канонические входы, зависимости и первые доказательные обязательства.</w:t>
            </w:r>
          </w:p>
        </w:tc>
      </w:tr>
    </w:tbl>
    <w:p>
      <w:pPr>
        <w:spacing w:after="0"/>
        <w:widowControl/>
      </w:pP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Гл.</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Название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Минимальный результат v1.0</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Канонические входы</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PO</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Зависимости</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Интерфейс с Томом I и границы предмета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Карта импорта, интерфейсные определения, таблица «включено/исключено», журнал расхождений.</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P0: Том I v197 RU; мастер-инструкция T2-START-v0.1.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T2-PO-001, T2-PO-002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 3, 12, 13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Замороженный реестр обозначений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NOTATION LEDGER, типовой словарь Dom/Cod, регламент добавления символов.</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 §§26.36, 52.9–52.18 Тома I.</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T2-PO-003, T2-PO-004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Все главы</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Категория NAPG, объекты, морфизмы и области определения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Определения объектов и стрелок, тождества, композиция, контрмодели типовых ошибок.</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 Definition Core NAPG.</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T2-PO-005, T2-PO-006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4–9, 12–16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Градуированная алгебра (𝕂, 𝒜•, ⊙, 𝔊)</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Аксиоматика, области операции, непрерывность/линейность по выбранной модели.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T2-PO-007, T2-PO-008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5–6, 10–16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Ассоциатор, R⋆R, ядра, центры и инварианты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Ass_⊙, R⋆R, nucleus/centers, явные тройки, структурные координаты.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4; Том I, гл. 26–27.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T2-PO-009, T2-PO-010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6, 9, 14, 16,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Пакетно-реперная алгебро-геометрическая двойственность</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Пара функторов/псевдофункторов, единицы/коединицы или точная более слабая структура.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3–5.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T2-PO-011, T2-PO-012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Атласы, расслоения и пакетные многообразия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Атлас, cocycle-условия, стратификация, пакетное расслоение,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T2-PO-013, T2-PO-014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8–11, 17–18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Касательные и кокасательные объекты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Деривации, касательные модули/конусы, дуальные объекты, предел гладкости.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 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T2-PO-015, T2-PO-016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9–11, 15–16</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Связности, кривизна, голономия и ассоциаторная кривизна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Связность, транспорт, кривизна, голономия; условный мост к Ass_⊙ с обязательствами.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5, 7–8.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T2-PO-017, T2-PO-018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10–11, 14,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Дифференциальные формы и типизированные дифференциалы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Ω•_NAPG, d/δ по каждому слою, правила знаков и композиции.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T2-PO-019, T2-PO-020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11–16, 18</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Hodge-слой, δ_Hdg и Δ_Hdg</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⋆_Hdg, δ_Hdg, Δ_Hdg, граничные условия, теоремы/условные результаты.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7–10.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T2-PO-021, T2-PO-022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13,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Внутренний минимальный комплекс C_min•, δ_min и Θ_min</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Трёхчленный комплекс, вычисление H³, каноничность и естественность.</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2–5, 10; Том I §§52.9–52.18.</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T2-PO-023, T2-PO-024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13–16,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Внешний E-слой и отображение Π_E</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B1–B8, J²/J³, H³(J), Π_E, условия детекции и независимости выбора.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10–12.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T2-PO-025, T2-PO-026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14–16,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Пространства препятствий и проектирование</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Диаграмма факторизации, ядра/образы, критерии потери информации, контрпримеры.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5, 9, 12–13.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T2-PO-027, T2-PO-028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15–16, 19–20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15</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Относительные и редуцированные когомологии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H²_red, O³_red, functoriality, relation to internal carrier.</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3–4, 10, 12–14.</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T2-PO-029, T2-PO-030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16, 18, 20</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16</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Деформации, модульные пространства и препятствия</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Тангенциальный класс, уравнение Маурера–Картана или его NAPG-аналог, первичные/высшие препятствия.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4–5, 12–15.</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T2-PO-031, T2-PO-032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18, 20–22</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17</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Редукции Гильберта и Клейна</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Теоремы редукции, группы преобразований, инварианты, обратные ограничения.</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3, 6–7.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T2-PO-033, T2-PO-034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18–20, 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18</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Комплексная, кэлерова и Calabi–Yau-ветви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J, ω, g, Ω, integrability, Hodge/Laplacian bridges; точные Dom.</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7–11, 13, 16–17.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T2-PO-035, T2-PO-036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19</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Fano barrier и конечные проективные носители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P(O_B), identification axioms, условная Fano carrier theorem, отрицательные примеры.</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12–15, 17.</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T2-PO-037, T2-PO-038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20–23</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20</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Модели, контрпримеры и вычислительные сертификаты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Ассоциативные/неассоциативные модели, точные вычисления, сертификаты и граничные случаи.</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4–19.</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T2-PO-039, T2-PO-040</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21–24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21</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Реестр теорем и граф зависимостей</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Theorem ledger, dependency DAG, stable IDs, backward trace to sources.</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1–20.</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T2-PO-041, T2-PO-042</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22–24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22</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Доказательные обязательства и открытые задачи</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PO matrix, blockers, next actions, gates, критерии закрытия и отката.</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1–21.</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T2-PO-043, T2-PO-044</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23–24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3"/>
              </w:rPr>
              <w:t>23</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Prior art и граница авторской новизны</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Source map, attribution matrix, novelty claims with evidence level, legal boundary.</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1–22; внешние первичные источники.</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T2-PO-045, T2-PO-046</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Гл. 24</w:t>
            </w:r>
          </w:p>
        </w:tc>
      </w:tr>
      <w:tr>
        <w:tc>
          <w:tcPr>
            <w:tcW w:type="dxa" w:w="3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3"/>
              </w:rPr>
              <w:t>24</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Приложения и воспроизводимый доказательный пакет</w:t>
            </w:r>
          </w:p>
        </w:tc>
        <w:tc>
          <w:tcPr>
            <w:tcW w:type="dxa" w:w="283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Словарь, кодовые сертификаты, контрольные хеши, протокол сборки, индекс рисунков/формул.</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Гл. 1–23.</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T2-PO-047, T2-PO-048</w:t>
            </w:r>
          </w:p>
        </w:tc>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Финальная сборка v1.0 RU</w:t>
            </w:r>
          </w:p>
        </w:tc>
      </w:tr>
    </w:tbl>
    <w:p>
      <w:pPr>
        <w:pStyle w:val="Heading1"/>
        <w:widowControl/>
        <w:keepNext/>
      </w:pPr>
      <w:r>
        <w:rPr>
          <w:rFonts w:ascii="Liberation Sans" w:hAnsi="Liberation Sans" w:eastAsia="Liberation Sans"/>
          <w:b/>
          <w:color w:val="17365D"/>
          <w:sz w:val="36"/>
          <w:lang w:val="ru-RU"/>
        </w:rPr>
        <w:t>Карта зависимостей</w:t>
      </w:r>
    </w:p>
    <w:p>
      <w:pPr>
        <w:pStyle w:val="Lead"/>
        <w:widowControl/>
      </w:pPr>
      <w:r>
        <w:rPr>
          <w:lang w:val="ru-RU"/>
        </w:rPr>
        <w:t>Граф читается слева направо: фундамент типов и категории предшествует алгебре и геометрии; внутренний минимальный комплекс предшествует внешнему E-мосту; модели и контрпримеры предшествуют реестру теорем и закрытию proof obligations. Обратные стрелки допускаются только как явно зарегистрированные циклы пересмотра, а не как средство доказать утверждение через само себя.</w:t>
      </w:r>
    </w:p>
    <w:p>
      <w:pPr>
        <w:jc w:val="center"/>
        <w:widowControl/>
      </w:pPr>
      <w:r>
        <w:rPr>
          <w:lang w:val="ru-RU"/>
        </w:rPr>
        <w:drawing>
          <wp:inline xmlns:a="http://schemas.openxmlformats.org/drawingml/2006/main" xmlns:pic="http://schemas.openxmlformats.org/drawingml/2006/picture">
            <wp:extent cx="6120000" cy="2012532"/>
            <wp:docPr id="5" name="Picture 5"/>
            <wp:cNvGraphicFramePr>
              <a:graphicFrameLocks noChangeAspect="1"/>
            </wp:cNvGraphicFramePr>
            <a:graphic>
              <a:graphicData uri="http://schemas.openxmlformats.org/drawingml/2006/picture">
                <pic:pic>
                  <pic:nvPicPr>
                    <pic:cNvPr id="0" name="deps.png"/>
                    <pic:cNvPicPr/>
                  </pic:nvPicPr>
                  <pic:blipFill>
                    <a:blip r:embed="rId13"/>
                    <a:stretch>
                      <a:fillRect/>
                    </a:stretch>
                  </pic:blipFill>
                  <pic:spPr>
                    <a:xfrm>
                      <a:off x="0" y="0"/>
                      <a:ext cx="6120000" cy="2012532"/>
                    </a:xfrm>
                    <a:prstGeom prst="rect"/>
                  </pic:spPr>
                </pic:pic>
              </a:graphicData>
            </a:graphic>
          </wp:inline>
        </w:drawing>
      </w:r>
    </w:p>
    <w:p>
      <w:pPr>
        <w:pStyle w:val="Caption"/>
        <w:jc w:val="center"/>
        <w:widowControl/>
      </w:pPr>
      <w:r>
        <w:rPr>
          <w:i/>
          <w:color w:val="5B6573"/>
          <w:lang w:val="ru-RU"/>
        </w:rPr>
        <w:t>Рисунок 4. Направленный граф зависимостей двадцати четырёх глав Тома II.</w:t>
      </w:r>
    </w:p>
    <w:p>
      <w:pPr>
        <w:jc w:val="center"/>
        <w:widowControl/>
      </w:pPr>
      <w:r>
        <w:rPr>
          <w:lang w:val="ru-RU"/>
        </w:rPr>
        <w:drawing>
          <wp:inline xmlns:a="http://schemas.openxmlformats.org/drawingml/2006/main" xmlns:pic="http://schemas.openxmlformats.org/drawingml/2006/picture">
            <wp:extent cx="6048000" cy="1299823"/>
            <wp:docPr id="6" name="Picture 6"/>
            <wp:cNvGraphicFramePr>
              <a:graphicFrameLocks noChangeAspect="1"/>
            </wp:cNvGraphicFramePr>
            <a:graphic>
              <a:graphicData uri="http://schemas.openxmlformats.org/drawingml/2006/picture">
                <pic:pic>
                  <pic:nvPicPr>
                    <pic:cNvPr id="0" name="status.png"/>
                    <pic:cNvPicPr/>
                  </pic:nvPicPr>
                  <pic:blipFill>
                    <a:blip r:embed="rId14"/>
                    <a:stretch>
                      <a:fillRect/>
                    </a:stretch>
                  </pic:blipFill>
                  <pic:spPr>
                    <a:xfrm>
                      <a:off x="0" y="0"/>
                      <a:ext cx="6048000" cy="1299823"/>
                    </a:xfrm>
                    <a:prstGeom prst="rect"/>
                  </pic:spPr>
                </pic:pic>
              </a:graphicData>
            </a:graphic>
          </wp:inline>
        </w:drawing>
      </w:r>
    </w:p>
    <w:p>
      <w:pPr>
        <w:pStyle w:val="Caption"/>
        <w:jc w:val="center"/>
        <w:widowControl/>
      </w:pPr>
      <w:r>
        <w:rPr>
          <w:i/>
          <w:color w:val="5B6573"/>
          <w:lang w:val="ru-RU"/>
        </w:rPr>
        <w:t>Рисунок 5. Шлюз доказательных статусов: повышение допускается только через доказательство или независимое свидетельство.</w:t>
      </w:r>
    </w:p>
    <w:p>
      <w:pPr>
        <w:pStyle w:val="Heading1"/>
        <w:widowControl/>
        <w:keepNext/>
      </w:pPr>
      <w:r>
        <w:rPr>
          <w:rFonts w:ascii="Liberation Sans" w:hAnsi="Liberation Sans" w:eastAsia="Liberation Sans"/>
          <w:b/>
          <w:color w:val="17365D"/>
          <w:sz w:val="36"/>
          <w:lang w:val="ru-RU"/>
        </w:rPr>
        <w:t>Глава 1. Интерфейс с Томом I и границы предмета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Том II существует не как второй контейнер текста, а как новый уровень объекта: Том I задаёт язык и доказательные замки, тогда как NAPG 3.0 должна стать геометрией, построенной на этом языке. Онтологически импорт означает сохранение идентичности исходного объекта при смене исследовательского масштаба.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здесь начинается с контроля происхождения. Любое определение обязано иметь адрес в замороженном корпусе или явную метку новой реконструкции. Поэтому ссылка на Том I является не украшением, а частью доказательной цепи.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пережить переход от общего языка реперной логики к пространству геометрических конструкций без ощущения, что ему незаметно заменили предмет. Карта интерфейса делает этот переход наблюдаемым.</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Физика V*P, космология и F-1–F-14 не разворачиваются в данном томе. Они остаются будущими мостами Тома III; редакционная близость не повышает их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канон v197 без редактирования Тома I; определить предмет Тома II и исключить физику Тома III.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Карта импорта, интерфейсные определения, таблица «включено/исключено», журнал расхождений.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P0: Том I v197 RU; мастер-инструкция T2-START-v0.1.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T2-PO-001, T2-PO-002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 3, 12, 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Обозначение есть минимальная форма устойчивости объекта в тексте. Когда один знак начинает означать и Hodge-двойственность, и ассоциатор, геометрия теряет предмет раньше, чем возникает первая ошибка в доказательстве.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обозначений задаёт условия узнавания: тип, область определения, область значений и разрешённые композиции. Это эпистемический фильтр против красивых, но нетипизированных формул.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нотация должна быть привычной настолько, чтобы не заслонять конструкцию, и строгой настолько, чтобы не позволять ей расплыться. Различение ⋆_Hdg и R⋆R является образцом такой дисциплины.</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Новое обозначение не вводится ради удобства автора. Оно допускается только после проверки коллизий и занесения в NOTATION LEDGER.</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Зафиксировать типы и исключить коллизии ⊙, ⋆, Hodge, δ, δ_Hdg, R⋆R.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NOTATION LEDGER, типовой словарь Dom/Cod, регламент добавления символов.</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 §§26.36, 52.9–52.18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T2-PO-003, T2-PO-004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Все главы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Замороженное ядро обозначений</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Обозначение</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Замок</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(𝕂, 𝒜•, ⊙, 𝔊)</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Базовая градуированная пакетная алгебра и структурные данные.</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Ass_⊙</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Ассоциатор; типы трёх аргументов и результата задаются явно.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R⋆R</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Авторский объект ассоциаторного слоя; ⋆ не является Hodge star.</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⋆_Hdg / Hodge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Оператор Ходжа при метрических и ориентационных гипотезах.</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𝒳_adm^(2)</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Допустимый сектор второго уровня с Dom.</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𝒪_B</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Внутренний носитель препятствий; не отождествляется с внешним H³.</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Π_E: 𝒪_B → H³(E•)</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Условный внешний мост.</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δ; δ_Hdg; Δ_Hdg</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Разные операторы разных слоёв; смешение запрещено.</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C_min•, δ_min, Θ_min</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Внутренняя минимальная конструкция Тома I.</w:t>
            </w:r>
          </w:p>
        </w:tc>
      </w:tr>
      <w:tr>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λ, δ_truth, D/Dom, CGI</w:t>
            </w:r>
          </w:p>
        </w:tc>
        <w:tc>
          <w:tcPr>
            <w:tcW w:type="dxa" w:w="714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Диагностика; не замена доказательства.</w:t>
            </w:r>
          </w:p>
        </w:tc>
      </w:tr>
    </w:tbl>
    <w:p>
      <w:pPr>
        <w:pStyle w:val="Heading1"/>
        <w:widowControl/>
        <w:keepNext/>
      </w:pPr>
      <w:r>
        <w:rPr>
          <w:rFonts w:ascii="Liberation Sans" w:hAnsi="Liberation Sans" w:eastAsia="Liberation Sans"/>
          <w:b/>
          <w:color w:val="17365D"/>
          <w:sz w:val="36"/>
          <w:lang w:val="ru-RU"/>
        </w:rPr>
        <w:t>Глава 3. Категория NAPG, объекты, морфизмы и области определения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Категория фиксирует, что объект существует не только сам по себе, но и через допустимые отношения. NAPG становится геометрией лишь тогда, когда композиция морфизмов сохраняет заявленную структуру.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об объекте переносимо только по стрелкам, для которых доказана совместимость. Четыре условия морфизма служат механизмом контроля такого переноса.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категория превращает набор локальных конструкций в путь: читатель видит, какие преобразования допустимы и где движение останавливается.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Стрелка без Dom/Cod или без проверки композиции остаётся редакционной схемой, а не морфизмом NAPG.</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категориальную оболочку NAPG с допустимостью и четырьмя совместимостями.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Определения объектов и стрелок, тождества, композиция, контрмодели типовых ошибок.</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 Definition Core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T2-PO-005, T2-PO-006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4–9, 12–16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4. Градуированная алгебра (𝕂, 𝒜•, ⊙, 𝔊)</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Алгебраическая операция не должна предшествовать носителю. Сначала задаются поле или кольцо, градуировка и допустимые элементы; только затем возникает ⊙ как событие взаимодействия внутри структуры.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Проверка замкнутости и непрерывности отделяет формулу от операции. Эпистемически это переход от записи к воспроизводимому правилу.</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где именно произведение существует, как меняет степень и что происходит на границе допустимого сектора.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Свойства ассоциативности, коммутативности или билинейности не предполагаются по привычке; каждое из них получает отдельный статус.</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носитель, основание, градуировку и бинарную операцию с проверкой замкнутости.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Аксиоматика, области операции, непрерывность/линейность по выбранной модели.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T2-PO-007, T2-PO-008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5–6, 10–16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5. Ассоциатор, R⋆R, ядра, центры и инварианты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Ассоциатор регистрирует не дефект вообще, а различие путей сборки тройки. R⋆R является авторским объектом ассоциаторного слоя и не совпадает с оператором Ходжа.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Чтобы измерять неассоциативность, нужно сначала доказать, что сравниваемые композиции типизированы и лежат в одном codomain. Иначе «дефект» сравнивает несравнимое.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ассоциатор делает видимым то, что обычная скобочная конвенция скрывает: порядок сборки участвует в состоянии результата.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Наличие ненулевого ассоциатора не даёт автоматически кривизну, физический эффект или класс в H³. Для каждого моста нужна отдельная карта.</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типизированный ассоциаторный слой и отделить его от Hodge-оператора.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Ass_⊙, R⋆R, nucleus/centers, явные тройки, структурные координаты.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Том I, гл. 26–27.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T2-PO-009, T2-PO-010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6, 9, 14, 16,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6. Пакетно-реперная алгебро-геометрическая двойственность</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Двойственность должна связывать алгебраическую и геометрическую стороны без объявления их тождественными. Она является отношением перевода, а не отменой различий.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Эпистемическая ценность двойственности определяется обратимостью или точным описанием потерь. Функторы без единиц, коединиц либо контролируемых дефектов не дают эквивалентности.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одну структуру в двух режимах: как правило композиции и как геометрическое расположение. Совпадение инвариантов становится опытом перевода.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До доказательства полноты и существенной сюръективности используется термин «соответствие» или «условная двойственность», но не «эквивалентность категорий».</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функториальные соответствия и условия обратимости.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Пара функторов/псевдофункторов, единицы/коединицы или точная более слабая структура.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T2-PO-011, T2-PO-012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7. Атласы, расслоения и пакетные многообразия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Многообразие возникает из согласования локальных карт, а не из красивого рисунка гладкой поверхности. Пакетность добавляет к локальности структурный слой перехода между реперными данными.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Переходные функции и cocycle-условия являются доказательством того, что локальные описания говорят об одном объекте.</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Атлас позволяет читателю пережить целое через конечное множество локальных перспектив, сохраняя память о способе их склейки.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cocycle нарушен или переход определён не на пересечении областей, имеется набор карт, но не пакетное многообразие.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локальные карты, переходы и реперные расслоения.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Атлас, cocycle-условия, стратификация, пакетное расслоение,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T2-PO-013, T2-PO-014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8–11, 17–18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8. Касательные и кокасательные объекты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Касательный объект есть не «малое пространство рядом», а выбранный способ линейзовать допустимые изменения. В сингулярном секторе он может быть конусом или модулем, а не векторным пространством.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локальной вариации зависит от класса кривых, дериваций или идеалов, через которые она определяется. Разные определения нельзя отождествлять без теоремы сравнения.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касательное пространство выражает ближайшие возможные направления продолжения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Дуальность tangent/cotangent требует конечной проектности или иных гипотез. На сингулярных слоях она не принимается автоматически.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Определить локальную линейзацию в гладких и сингулярных секторах.</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Деривации, касательные модули/конусы, дуальные объекты, предел гладкости.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 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T2-PO-015, T2-PO-016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9–11, 15–16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Связность задаёт правило сравнения разнесённых состояний, кривизна измеряет зависимость результата от пути, а голономия хранит память замкнутого переноса. Ассоциаторная кривизна может быть лишь точно построенным мостом между этими слоями.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Hol_D ценен, когда определены транспорт, контур, домен и инвариантность относительно выбора. Иначе число голономии является меткой вычисления, не геометрическим фактом.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как локальный порядок композиции может проявиться в глобальной памяти обхода, но только через доказанную диаграмму.</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Формула «Hol_D = Ass» запрещена до построения и проверки соответствующей естественной карты.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классическую кривизну, Hol_D и ассоциаторный дефект.</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Связность, транспорт, кривизна, голономия; условный мост к Ass_⊙ с обязательствами.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7–8.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T2-PO-017, T2-PO-018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10–11, 14,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10. Дифференциальные формы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Дифференциал превращает локальную величину в закон изменения, но только внутри заданного комплекса. Один символ δ не должен перемещаться между внутренним, внешним и Hodge-слоем без смены типа.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Условие d²=0 является не типографской традицией, а основанием когомологии. Его проверка предшествует любому фактору ker/im.</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дифференциальная форма описывает то, что можно интегрировать по ориентированному носителю и сравнивать при деформации.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Если квадрат дифференциала не нулевой, соответствующая когомология не определена; допустим иной объект, но не прежнее название.</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Ввести формы и дифференциалы с явными комплексами и областями.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Ω•_NAPG, d/δ по каждому слою, правила знаков и композиции.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T2-PO-019, T2-PO-020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11–16, 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11. Hodge-слой, δ_Hdg и Δ_Hdg</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Hodge-двойственность связывает степень формы с геометрией метрики и ориентации. Она не является универсальным символом инверсии.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Знание о δ_Hdg и Δ_Hdg зависит от скалярного произведения, плотности, граничных условий и аналитического класса операторов.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Hodge-слой превращает форму в её метрически дополнительный образ, позволяя увидеть гармоническую часть как устойчивый остаток.</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Hodge-теоремы импортируются только при выполнении их аналитических гипотез; в общей NAPG они остаются условным мостом.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Построить Hodge-оператор только при наличии метрики, ориентации и конечного ранга.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⋆_Hdg, δ_Hdg, Δ_Hdg, граничные условия, теоремы/условные результаты.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T2-PO-021, T2-PO-022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12. Внутренний минимальный комплекс C_min•, δ_min и Θ_min</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Минимальный комплекс существует как внутренняя память самой квадратичной конструкции. Он не требует внешней физики, метрики или заранее выбранного пространства E.</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Каноничность достигается тем, что C_min², C_min³, δ_min и Θ_min строятся непосредственно из F²_N, X²_N и Ψ²_N. Это даёт проверяемое тождество O_B ≅ H³(C_min•).</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препятствие становится не внешним запретом, а третьей степенью минимального пути, где неснятая часть конструкции остаётся видимой.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Эта когомология является формально внутренней. Она не создаёт автоматически топологический, аналитический или физический смысл.</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Импортировать и углубить каноническую внутреннюю конструкцию Тома I.</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Трёхчленный комплекс, вычисление H³, каноничность и естественность.</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2–5, 10; Том I §§52.9–52.18.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T2-PO-023, T2-PO-024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13–16,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Канонический импорт из §§52.9–52.18 Тома I</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C_minⁿ(N) = F²_N  при n = 2;  X²_N  при n = 3;  0  иначе.</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δ_min² = Ψ²_N,   δ_minⁿ = 0  при n ≠ 2.</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(T2.12.2)</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Θ_min,N = id_{X²_N}.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(T2.12.3)</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H³(C_min•(N)) = X²_N / Im Ψ²_N = 𝒪_B(N).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(T2.12.4)</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ИМПОРТИРОВАННЫЙ ДОКАЗАТЕЛЬНЫЙ СТАТУС</w:t>
            </w:r>
          </w:p>
          <w:p>
            <w:pPr>
              <w:spacing w:after="0" w:line="252" w:lineRule="auto"/>
            </w:pPr>
            <w:r>
              <w:rPr>
                <w:rFonts w:ascii="Liberation Serif" w:hAnsi="Liberation Serif" w:eastAsia="Liberation Serif"/>
                <w:sz w:val="18"/>
              </w:rPr>
              <w:t>В Том I v197 RU внутреннее отождествление 𝒪_B(N) ≅ H³(C_min•(N)) зафиксировано как каноническое и естественное при морфизмах, совместимых с Ψ². Том II должен воспроизвести полное доказательство, проверить типы и расширить модельный класс, не приписывая конструкции внешнего аналитического смысла.</w:t>
            </w:r>
          </w:p>
        </w:tc>
      </w:tr>
    </w:tbl>
    <w:p>
      <w:pPr>
        <w:spacing w:after="0"/>
        <w:widowControl/>
      </w:pPr>
    </w:p>
    <w:p>
      <w:pPr>
        <w:pStyle w:val="Heading1"/>
        <w:widowControl/>
        <w:keepNext/>
      </w:pPr>
      <w:r>
        <w:rPr>
          <w:rFonts w:ascii="Liberation Sans" w:hAnsi="Liberation Sans" w:eastAsia="Liberation Sans"/>
          <w:b/>
          <w:color w:val="17365D"/>
          <w:sz w:val="36"/>
          <w:lang w:val="ru-RU"/>
        </w:rPr>
        <w:t>Глава 13. Внешний E-слой и отображение Π_E</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Внешний E-слой является попыткой встроить внутреннее препятствие в более богатую когомологическую среду. Он существует только вместе с мостом, а не по сходству обозначений.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B1–B8 задают эпистемический контракт: комплекс, цепная карта, естественность, инъективность для обратной детекции и отдельный ассоциаторный канал.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расширение горизонта: внутренний класс может получить внешнюю интерпретацию, но путь к ней отмечен всеми условиями.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Π_E остаётся условным до построения E• и J. Ненулевой внешний класс не считается ассоциатором или физическим наблюдаемым без дополнительных карт.</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Сформулировать мост в H³(E•) без превращения условного слоя в доказанный.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B1–B8, J²/J³, H³(J), Π_E, условия детекции и независимости выбора.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10–12.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T2-PO-025, T2-PO-026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14–16,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Каркас условного E-моста</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d_E² ∘ J²_N = J³_N ∘ Ψ²_N,     d_E³ ∘ J³_N = 0.</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(T2.13.1)</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Π_E,N := H³(J_N) ∘ κ_N : 𝒪_B(N) → H³(E•(N)).</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(T2.13.2)</w:t>
            </w:r>
          </w:p>
        </w:tc>
      </w:tr>
    </w:tbl>
    <w:p>
      <w:pPr>
        <w:spacing w:after="0"/>
        <w:widowControl/>
      </w:pPr>
    </w:p>
    <w:p>
      <w:pPr>
        <w:pStyle w:val="ListBullet"/>
        <w:widowControl/>
      </w:pPr>
      <w:r>
        <w:rPr>
          <w:lang w:val="ru-RU"/>
        </w:rPr>
        <w:t>B1–B2: E• является комплексом и J является цепной картой.</w:t>
      </w:r>
    </w:p>
    <w:p>
      <w:pPr>
        <w:pStyle w:val="ListBullet"/>
        <w:widowControl/>
      </w:pPr>
      <w:r>
        <w:rPr>
          <w:lang w:val="ru-RU"/>
        </w:rPr>
        <w:t>B3–B5: конструкции естественны относительно морфизмов NAPG.</w:t>
      </w:r>
    </w:p>
    <w:p>
      <w:pPr>
        <w:pStyle w:val="ListBullet"/>
        <w:widowControl/>
      </w:pPr>
      <w:r>
        <w:rPr>
          <w:lang w:val="ru-RU"/>
        </w:rPr>
        <w:t>B6: инъективность нужна для обратной детекции ненулевого препятствия.</w:t>
      </w:r>
    </w:p>
    <w:p>
      <w:pPr>
        <w:pStyle w:val="ListBullet"/>
        <w:widowControl/>
      </w:pPr>
      <w:r>
        <w:rPr>
          <w:lang w:val="ru-RU"/>
        </w:rPr>
        <w:t>B7: ассоциаторный канал β_Ass строится отдельно.</w:t>
      </w:r>
    </w:p>
    <w:p>
      <w:pPr>
        <w:pStyle w:val="ListBullet"/>
        <w:widowControl/>
      </w:pPr>
      <w:r>
        <w:rPr>
          <w:lang w:val="ru-RU"/>
        </w:rPr>
        <w:t>B8: физическая или аналитическая интерпретация требует отдельной редукции и данных.</w:t>
      </w:r>
    </w:p>
    <w:p>
      <w:pPr>
        <w:pStyle w:val="Heading1"/>
        <w:widowControl/>
        <w:keepNext/>
      </w:pPr>
      <w:r>
        <w:rPr>
          <w:rFonts w:ascii="Liberation Sans" w:hAnsi="Liberation Sans" w:eastAsia="Liberation Sans"/>
          <w:b/>
          <w:color w:val="17365D"/>
          <w:sz w:val="36"/>
          <w:lang w:val="ru-RU"/>
        </w:rPr>
        <w:t>Глава 14. Пространства препятствий и проектирование</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Препятствие есть остаток, который нельзя снять разрешённым преобразованием. Его носитель определяется факторизацией, а не названием «обструкция».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Различение X²_N, O_B, H³(C_min) и H³(E) предотвращает ложные отождествления. Карты между ними должны иметь вычислимые ядра и образы.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фактор-пространство показывает, какие различия исчезают после разрешённых поправок и какие продолжают сопротивляться.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Проективизация P(O_B) требует ненулевого векторного носителя; конечная размерность и поле указываются явно.</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Различить X²_N, O_B, H³(C_min), внешний H³(E•) и ассоциаторный канал.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Диаграмма факторизации, ядра/образы, критерии потери информации, контрпримеры.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5, 9, 12–13.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T2-PO-027, T2-PO-028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15–16, 19–20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15. Относительные и редуцированные когомологии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Редуцированная когомология фиксирует не все вариации, а вариации, совместимые с выбранной архитектурой и группой эквивалентностей.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Тангенциальный класс имеет смысл после отделения тривиальных деформаций im d¹ от допустимых ker d². Эта операция и есть доказательная дисциплина модульного пространства.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наблюдает различие между реальным изменением структуры и сменой координат описания.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H²_red и O³_red не объявляются стандартными когомологиями без явного комплекса и проверки d²=0; связь с O_B требует отдельной теоремы.</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относительные комплексы и редуцированные группы для допустимых деформаций.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H²_red, O³_red, functoriality, relation to internal carrier.</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3–4, 10, 12–14.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T2-PO-029, T2-PO-030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16, 18, 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16. Деформации, модульные пространства и препятствия</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Деформация исследует, как объект может стать другим, не теряя прослеживаемость происхождения. Модульное пространство является геометрией таких допустимых становлений.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Уравнение деформации и препятствия по порядкам дают знание не о произвольной близости, а о продолжимости формального пути.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параметрическая семья показывает структуру в движении, а препятствие отмечает момент, когда локальное намерение не продолжается глобально.</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Формальная деформация не равна аналитической сходимости. Локальная модель не даёт глобального модульного пространства без дополнительных теорем.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Развить формальную/локальную теорию деформаций NAPG.</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Тангенциальный класс, уравнение Маурера–Картана или его NAPG-аналог, первичные/высшие препятствия.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4–5, 12–15.</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T2-PO-031, T2-PO-032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 20–22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17. Редукции Гильберта и Клейна</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Классические геометрии не должны исчезать в NAPG; они должны возникать как контролируемые редукции при отключении или стабилизации дополнительных слоёв.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редукции объясняет, какие аксиомы NAPG нужны для восстановления инцидентности Гильберта и программы инвариантов Клейна.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получает знакомую геометрию как сечение более широкой структуры, сохраняя возможность вернуться к условиям редукции.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Исторические теоремы принадлежат prior art. Авторская новизна относится к механизму пакетно-реперной сборки и доказанным новым связям, а не к самим классическим аксиомам.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Показать, при каких гипотезах классические геометрии являются редукциями.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Теоремы редукции, группы преобразований, инварианты, обратные ограничения.</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3, 6–7.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T2-PO-033, T2-PO-034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18–20, 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18. Комплексная, кэлерова и Calabi–Yau-ветви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Комплексная и кэлерова геометрия требуют согласования J, ω и g; Calabi–Yau-структура добавляет интегрируемость и ненулевую голоморфную форму. Набор символов без совместимостей не образует ветвь геометрии.</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Эпистемически каждая ступень сильнее предыдущей и требует новых гипотез. Лестница условий должна быть видимой, чтобы следствие не использовало ещё не доказанную ступень.</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комплексная структура задаёт внутренний поворот, симплектическая форма — измерение ориентированных пар, а метрика — длину; их согласование создаёт единый режим опыта.</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CY- и Laplace-утверждения не экспортируются в физику и космологию в Томе II. Они остаются математическими или условно-аналитическими.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Локализовать условия комплексной, симплектической, кэлеровой и CY-структур.</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J, ω, g, Ω, integrability, Hodge/Laplacian bridges; точные Dom.</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7–11, 13, 16–17.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T2-PO-035, T2-PO-036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19. Fano barrier и конечные проективные носители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Плоскость Фано служит барьером между семью локальными метками и одним глобальным проективным носителем. Численное совпадение семи точек не является склейкой.</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Необходимы явные identification maps, совместимые на пересечениях и с инцидентностью. Только тогда P(O_id) может быть сопоставлено P²(F₂).</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барьер показывает, как локально понятные фрагменты могут не образовать единого мира без общего закона отождествления.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Fano carrier theorem остаётся условной вне зафиксированной трёхмерной F₂-модели и identification axiom.</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Разделить локальные носители препятствий и глобальную плоскость Фано.</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P(O_B), identification axioms, условная Fano carrier theorem, отрицательные примеры.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12–15, 17.</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T2-PO-037, T2-PO-038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20–23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Проективный барьер</w:t>
      </w:r>
    </w:p>
    <w:tbl>
      <w:tblPr>
        <w:tblW w:type="auto" w:w="0"/>
        <w:jc w:val="center"/>
        <w:tblLayout w:type="fixed"/>
        <w:tblLook w:firstColumn="1" w:firstRow="1" w:lastColumn="0" w:lastRow="0" w:noHBand="0" w:noVBand="1" w:val="04A0"/>
      </w:tblPr>
      <w:tblGrid>
        <w:gridCol w:w="4876"/>
        <w:gridCol w:w="4876"/>
      </w:tblGrid>
      <w:tr>
        <w:tc>
          <w:tcPr>
            <w:tcW w:type="dxa" w:w="8391"/>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center"/>
            </w:pPr>
            <w:r>
              <w:rPr>
                <w:rFonts w:ascii="Cambria Math" w:hAnsi="Cambria Math" w:eastAsia="Cambria Math"/>
                <w:sz w:val="20"/>
              </w:rPr>
              <w:t>dim_{𝔽₂} 𝒪_B = 3  ⇒  P(𝒪_B) ≅ P²(𝔽₂),  после выбора базиса.</w:t>
            </w:r>
          </w:p>
        </w:tc>
        <w:tc>
          <w:tcPr>
            <w:tcW w:type="dxa" w:w="1020"/>
            <w:shd w:fill="F4F4F4"/>
            <w:tcMar>
              <w:top w:w="90" w:type="dxa"/>
              <w:start w:w="130" w:type="dxa"/>
              <w:bottom w:w="90" w:type="dxa"/>
              <w:end w:w="130" w:type="dxa"/>
            </w:tcMar>
            <w:tcBorders>
              <w:top w:val="single" w:sz="4" w:color="D9D9D9"/>
              <w:left w:val="single" w:sz="4" w:color="D9D9D9"/>
              <w:bottom w:val="single" w:sz="4" w:color="D9D9D9"/>
              <w:right w:val="single" w:sz="4" w:color="D9D9D9"/>
            </w:tcBorders>
          </w:tcPr>
          <w:p>
            <w:pPr>
              <w:jc w:val="right"/>
            </w:pPr>
            <w:r>
              <w:rPr>
                <w:rFonts w:ascii="Liberation Serif" w:hAnsi="Liberation Serif"/>
                <w:sz w:val="18"/>
              </w:rPr>
              <w:t>(T2.19.1)</w:t>
            </w:r>
          </w:p>
        </w:tc>
      </w:tr>
    </w:tbl>
    <w:p>
      <w:pPr>
        <w:spacing w:after="0"/>
        <w:widowControl/>
      </w:pPr>
    </w:p>
    <w:tbl>
      <w:tblPr>
        <w:tblW w:type="auto" w:w="0"/>
        <w:jc w:val="center"/>
        <w:tblLayout w:type="fixed"/>
        <w:tblLook w:firstColumn="1" w:firstRow="1" w:lastColumn="0" w:lastRow="0" w:noHBand="0" w:noVBand="1" w:val="04A0"/>
      </w:tblPr>
      <w:tblGrid>
        <w:gridCol w:w="9411"/>
      </w:tblGrid>
      <w:tr>
        <w:tc>
          <w:tcPr>
            <w:tcW w:type="dxa" w:w="9752"/>
            <w:shd w:fill="FCE4D6"/>
            <w:tcMar>
              <w:top w:w="150" w:type="dxa"/>
              <w:start w:w="180" w:type="dxa"/>
              <w:bottom w:w="15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b/>
                <w:color w:val="9C0006"/>
                <w:sz w:val="21"/>
              </w:rPr>
              <w:t>ОГРАНИЧЕНИЕ</w:t>
            </w:r>
          </w:p>
          <w:p>
            <w:pPr>
              <w:spacing w:after="0" w:line="252" w:lineRule="auto"/>
            </w:pPr>
            <w:r>
              <w:rPr>
                <w:rFonts w:ascii="Liberation Serif" w:hAnsi="Liberation Serif" w:eastAsia="Liberation Serif"/>
                <w:sz w:val="18"/>
              </w:rPr>
              <w:t>Семь локальных объектов не образуют плоскость Фано только потому, что их семь. Требуются согласованные карты идентификации и доказательство сохранения инцидентности.</w:t>
            </w:r>
          </w:p>
        </w:tc>
      </w:tr>
    </w:tbl>
    <w:p>
      <w:pPr>
        <w:spacing w:after="0"/>
        <w:widowControl/>
      </w:pPr>
    </w:p>
    <w:p>
      <w:pPr>
        <w:pStyle w:val="Heading1"/>
        <w:widowControl/>
        <w:keepNext/>
      </w:pPr>
      <w:r>
        <w:rPr>
          <w:rFonts w:ascii="Liberation Sans" w:hAnsi="Liberation Sans" w:eastAsia="Liberation Sans"/>
          <w:b/>
          <w:color w:val="17365D"/>
          <w:sz w:val="36"/>
          <w:lang w:val="ru-RU"/>
        </w:rPr>
        <w:t>Глава 20. Модели, контрпримеры и вычислительные сертификаты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Модель является местом, где определение встречается с вычислением. Контрпример столь же конструктивен, как пример: он очерчивает реальную область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Вычислительный сертификат подтверждает конкретные равенства, тесты и реализацию, но не заменяет общий квантор теоремы.</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иметь возможность повторить вычисление, изменить вход и увидеть, где ломается мост.</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Статус COMP не повышается до THM. Численный результат не считается независимым экспериментальным свидетельством.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Собрать тестовый зоопарк, способный опровергать неверные мосты.</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Ассоциативные/неассоциативные модели, точные вычисления, сертификаты и граничные случаи.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4–19.</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T2-PO-039, T2-PO-040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21–24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21. Реестр теорем и граф зависимостей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Теорема существует в системе зависимостей: её гипотезы, леммы, определения и контрпримеры образуют направленный граф. Отрыв утверждения от графа уничтожает его доказательный смысл.</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Stable ID и обратная трассировка позволяют проверить не только текст доказательства, но и происхождение каждого использованного объекта.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граф превращает монографию из линейной книги в обозримую архитектуру, где можно следовать различными маршрутами.</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Реестр не доказывает теоремы. Он отражает текущий статус и обязан показывать пропуски, а не скрывать их пустыми ссылками.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Сделать доказательные зависимости видимыми и проверяемыми.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Theorem ledger, dependency DAG, stable IDs, backward trace to sources.</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1–20.</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T2-PO-041, T2-PO-042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22–24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22. Доказательные обязательства и открытые задачи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Открытое обязательство является положительным объектом исследования: оно фиксирует точное место, где структура ещё не замкнута.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Blocker и next action превращают незнание в проверяемую программу. Это защищает проект от риторического повышения статуса.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видит не только готовый фасад, но и строительные швы, сроки и критерии завершения.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Закрытие PO требует доказательства, контрпримера или документированного отказа от утверждения; редакционная переформулировка сама по себе не является закрытием.</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Поддерживать blocker-safe режим: неизвестное не маскируется редактурой.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PO matrix, blockers, next actions, gates, критерии закрытия и отката.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1–21.</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T2-PO-043, T2-PO-044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23–24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1"/>
        <w:widowControl/>
        <w:keepNext/>
      </w:pPr>
      <w:r>
        <w:rPr>
          <w:rFonts w:ascii="Liberation Sans" w:hAnsi="Liberation Sans" w:eastAsia="Liberation Sans"/>
          <w:b/>
          <w:color w:val="17365D"/>
          <w:sz w:val="36"/>
          <w:lang w:val="ru-RU"/>
        </w:rPr>
        <w:t>Глава 23. Prior art и граница авторской новизны</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Новизна существует на границе с уже известным. Чем точнее описан prior art, тем яснее становится реальный авторский вклад.</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Первичные источники используются для классических фактов; внутренние документы — для истории проекта; правовые документы — только для юридических реквизитов.</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Читатель должен видеть классическую линию Дезарга, Гильберта, Клейна, Hodge и теории деформаций рядом с архитектурой Курпишева, но не смешанной с ней.</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Регистрация программы или базы данных не удостоверяет истинность теоремы. Авторство и научный статус устанавливаются разными доказательными каналами.</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Развести классические результаты и авторскую архитектуру Курпишева.</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Source map, attribution matrix, novelty claims with evidence level, legal boundary.</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1–22; внешние первичные источники.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T2-PO-045, T2-PO-046</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24</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pStyle w:val="Heading2"/>
        <w:widowControl/>
        <w:keepNext/>
      </w:pPr>
      <w:r>
        <w:rPr>
          <w:rFonts w:ascii="Liberation Sans" w:hAnsi="Liberation Sans" w:eastAsia="Liberation Sans"/>
          <w:b/>
          <w:color w:val="2F5597"/>
          <w:sz w:val="26"/>
          <w:lang w:val="ru-RU"/>
        </w:rPr>
        <w:t>Матрица границ авторства</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Слой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Атрибуция</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3"/>
              </w:rPr>
              <w:t>Источник/правило</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Проективное кросс-соотношение, гармоническая четвёрка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Desargues; классическая проективная геометрия</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Аксиоматическая геометрия и группы преобразований</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Hilbert; Klein; Veblen–Young</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Категории и естественность</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Eilenberg–Mac Lane</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Hodge-теория, Kähler/CY</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Hodge; Yau и последующая литература</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Теория деформаций алгебр</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Классический prior art</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Gerstenhaber; Akivis; Sabinin</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Пакетно-реперное соединение, C@C, Reper(R,I,U;D), NAPG, KLT-RBD</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Авторская архитектура</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3"/>
              </w:rPr>
              <w:t>Курпишев И.Б.; статус каждого нового результата по theorem ledger</w:t>
            </w:r>
          </w:p>
        </w:tc>
      </w:tr>
      <w:tr>
        <w:tc>
          <w:tcPr>
            <w:tcW w:type="dxa" w:w="351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ПН.2 и теорема Дезарга–Курпишева</w:t>
            </w:r>
          </w:p>
        </w:tc>
        <w:tc>
          <w:tcPr>
            <w:tcW w:type="dxa" w:w="204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Авторские конструкции</w:t>
            </w:r>
          </w:p>
        </w:tc>
        <w:tc>
          <w:tcPr>
            <w:tcW w:type="dxa" w:w="385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3"/>
              </w:rPr>
              <w:t>Формулировки и доказательные статусы ограничены каноническими документами</w:t>
            </w:r>
          </w:p>
        </w:tc>
      </w:tr>
    </w:tbl>
    <w:p>
      <w:pPr>
        <w:pStyle w:val="Heading1"/>
        <w:widowControl/>
        <w:keepNext/>
      </w:pPr>
      <w:r>
        <w:rPr>
          <w:rFonts w:ascii="Liberation Sans" w:hAnsi="Liberation Sans" w:eastAsia="Liberation Sans"/>
          <w:b/>
          <w:color w:val="17365D"/>
          <w:sz w:val="36"/>
          <w:lang w:val="ru-RU"/>
        </w:rPr>
        <w:t>Глава 24. Приложения и воспроизводимый доказательный пакет</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Воспроизводимость является формой продолжения объекта за пределами авторского компьютера. Пакет доказательства должен сохранять не только результат, но и путь его получения.</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Хеши, версии, инструкции и тесты создают проверяемую цепь идентичности. Однако файл остаётся носителем доказательства, а не самим доказательством.</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Феноменологически воспроизведение превращает чтение в повторное действие: другой исследователь проходит тот же маршрут и сравнивает состояния.</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Публикационный пакет не включает недоказанные данные и не повышает статусы. Внешний EXT-RUN отделяется от внутреннего QA.</w:t>
            </w:r>
          </w:p>
        </w:tc>
      </w:tr>
    </w:tbl>
    <w:p>
      <w:pPr>
        <w:spacing w:after="0"/>
        <w:widowControl/>
      </w:pP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Статус главы в v0.1</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SKELETON · OPEN. Паспорт сборки зафиксирован; полный научный текст и доказательства относятся к последующим выпускам.</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Цель</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Задать воспроизводимую публикационную инфраструктуру без подмены доказательств файлами.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Формальный выход</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Словарь, кодовые сертификаты, контрольные хеши, протокол сборки, индекс рисунков/формул.</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Канонические входы</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Гл. 1–23.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Первичные PO</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T2-PO-047, T2-PO-048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Зависимости / потребители</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Финальная сборка v1.0 RU</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Граница вывода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Утверждения действуют только в явно перечисленных Dom и при своих гипотезах; физический статус не импортируется.</w:t>
            </w:r>
          </w:p>
        </w:tc>
      </w:tr>
    </w:tbl>
    <w:p>
      <w:pPr>
        <w:pStyle w:val="Heading2"/>
        <w:widowControl/>
        <w:keepNext/>
      </w:pPr>
      <w:r>
        <w:rPr>
          <w:rFonts w:ascii="Liberation Sans" w:hAnsi="Liberation Sans" w:eastAsia="Liberation Sans"/>
          <w:b/>
          <w:color w:val="2F5597"/>
          <w:sz w:val="26"/>
          <w:lang w:val="ru-RU"/>
        </w:rPr>
        <w:t>Рабочая декомпозиция</w:t>
      </w:r>
    </w:p>
    <w:p>
      <w:pPr>
        <w:pStyle w:val="ListBullet"/>
        <w:widowControl/>
      </w:pPr>
      <w:r>
        <w:rPr>
          <w:lang w:val="ru-RU"/>
        </w:rPr>
        <w:t>Definition Core: определить носители, типы, области определения и значений.</w:t>
      </w:r>
    </w:p>
    <w:p>
      <w:pPr>
        <w:pStyle w:val="ListBullet"/>
        <w:widowControl/>
      </w:pPr>
      <w:r>
        <w:rPr>
          <w:lang w:val="ru-RU"/>
        </w:rPr>
        <w:t>Existence layer: доказать существование хотя бы одной нетривиальной модели либо зафиксировать blocker.</w:t>
      </w:r>
    </w:p>
    <w:p>
      <w:pPr>
        <w:pStyle w:val="ListBullet"/>
        <w:widowControl/>
      </w:pPr>
      <w:r>
        <w:rPr>
          <w:lang w:val="ru-RU"/>
        </w:rPr>
        <w:t>Invariance layer: установить независимость от допустимых выборов или перечислить зависимые параметры.</w:t>
      </w:r>
    </w:p>
    <w:p>
      <w:pPr>
        <w:pStyle w:val="ListBullet"/>
        <w:widowControl/>
      </w:pPr>
      <w:r>
        <w:rPr>
          <w:lang w:val="ru-RU"/>
        </w:rPr>
        <w:t>Negative layer: построить контрпример к наиболее сильной естественной, но недоказанной формулировке.</w:t>
      </w:r>
    </w:p>
    <w:p>
      <w:pPr>
        <w:pStyle w:val="ListBullet"/>
        <w:widowControl/>
      </w:pPr>
      <w:r>
        <w:rPr>
          <w:lang w:val="ru-RU"/>
        </w:rPr>
        <w:t>Dependency layer: связать все утверждения со стабильными ID источников и proof objects.</w:t>
      </w:r>
    </w:p>
    <w:p>
      <w:pPr>
        <w:sectPr>
          <w:headerReference w:type="default" r:id="rId15"/>
          <w:footerReference w:type="default" r:id="rId16"/>
          <w:headerReference w:type="first" r:id="rId17"/>
          <w:footerReference w:type="first" r:id="rId18"/>
          <w:pgSz w:w="11906" w:h="16838"/>
          <w:pgMar w:top="964" w:right="1020" w:bottom="935" w:left="113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Первичная матрица доказательных обязательств</w:t>
      </w:r>
    </w:p>
    <w:tbl>
      <w:tblPr>
        <w:tblW w:type="auto" w:w="0"/>
        <w:jc w:val="center"/>
        <w:tblLayout w:type="fixed"/>
        <w:tblLook w:firstColumn="1" w:firstRow="1" w:lastColumn="0" w:lastRow="0" w:noHBand="0" w:noVBand="1" w:val="04A0"/>
      </w:tblPr>
      <w:tblGrid>
        <w:gridCol w:w="7625"/>
        <w:gridCol w:w="7625"/>
      </w:tblGrid>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ОНТОЛОГИЯ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Proof obligation существует как самостоятельный объект, связывающий утверждение, его статус, ожидаемый proof object и конкретный blocker.</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ГНОСЕОЛОГИЯ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Матрица запрещает знанию появляться задним числом. Каждое повышение статуса должно иметь адрес доказательства, вычислительного сертификата или независимого свидетельства.</w:t>
            </w:r>
          </w:p>
        </w:tc>
      </w:tr>
      <w:tr>
        <w:trPr>
          <w:cantSplit/>
        </w:trPr>
        <w:tc>
          <w:tcPr>
            <w:tcW w:type="dxa" w:w="1757"/>
            <w:shd w:fill="17365D"/>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ФЕНОМЕНОЛОГИЯ</w:t>
            </w:r>
          </w:p>
        </w:tc>
        <w:tc>
          <w:tcPr>
            <w:tcW w:type="dxa" w:w="7654"/>
            <w:shd w:fill="EEF3F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Для читателя открытая строка PO является указателем будущего действия, а не признаком редакционного провала. Наука без открытых строк обычно просто хорошо спрятала их.</w:t>
            </w:r>
          </w:p>
        </w:tc>
      </w:tr>
      <w:tr>
        <w:trPr>
          <w:cantSplit/>
        </w:trPr>
        <w:tc>
          <w:tcPr>
            <w:tcW w:type="dxa" w:w="1757"/>
            <w:shd w:fill="9C6B18"/>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jc w:val="center"/>
            </w:pPr>
            <w:r>
              <w:rPr>
                <w:rFonts w:ascii="Liberation Sans" w:hAnsi="Liberation Sans"/>
                <w:b/>
                <w:color w:val="FFFFFF"/>
                <w:sz w:val="17"/>
              </w:rPr>
              <w:t>ГРАНИЦА</w:t>
            </w:r>
          </w:p>
        </w:tc>
        <w:tc>
          <w:tcPr>
            <w:tcW w:type="dxa" w:w="7654"/>
            <w:shd w:fill="F5EBD3"/>
            <w:tcMar>
              <w:top w:w="100" w:type="dxa"/>
              <w:start w:w="130" w:type="dxa"/>
              <w:bottom w:w="100" w:type="dxa"/>
              <w:end w:w="130" w:type="dxa"/>
            </w:tcMar>
            <w:tcBorders>
              <w:top w:val="single" w:sz="4" w:color="C5D4E6"/>
              <w:left w:val="single" w:sz="4" w:color="C5D4E6"/>
              <w:bottom w:val="single" w:sz="4" w:color="C5D4E6"/>
              <w:right w:val="single" w:sz="4" w:color="C5D4E6"/>
            </w:tcBorders>
            <w:vAlign w:val="center"/>
          </w:tcPr>
          <w:p>
            <w:pPr>
              <w:spacing w:line="252" w:lineRule="auto"/>
            </w:pPr>
            <w:r>
              <w:rPr>
                <w:rFonts w:ascii="Liberation Serif" w:hAnsi="Liberation Serif"/>
                <w:sz w:val="17"/>
              </w:rPr>
              <w:t>В v0.1 все содержательные PO остаются OPEN; COMP используется только для выполненных процедур сборки и QA, а не для общих теорем.</w:t>
            </w:r>
          </w:p>
        </w:tc>
      </w:tr>
    </w:tbl>
    <w:p>
      <w:pPr>
        <w:spacing w:after="0"/>
        <w:widowControl/>
      </w:pPr>
    </w:p>
    <w:tbl>
      <w:tblPr>
        <w:tblW w:type="auto" w:w="0"/>
        <w:jc w:val="center"/>
        <w:tblLayout w:type="fixed"/>
        <w:tblLook w:firstColumn="1" w:firstRow="1" w:lastColumn="0" w:lastRow="0" w:noHBand="0" w:noVBand="1" w:val="04A0"/>
      </w:tblPr>
      <w:tblGrid>
        <w:gridCol w:w="2179"/>
        <w:gridCol w:w="2179"/>
        <w:gridCol w:w="2179"/>
        <w:gridCol w:w="2179"/>
        <w:gridCol w:w="2179"/>
        <w:gridCol w:w="2179"/>
        <w:gridCol w:w="2179"/>
      </w:tblGrid>
      <w:tr>
        <w:trPr>
          <w:tblHeader w:val="true"/>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ID</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Гл.</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Обязательство</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Статус</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Ожидаемый proof object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Blocker / следующее действие</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2"/>
              </w:rPr>
              <w:t>Зависимости</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T2-PO-008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T2-PO-009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T2-PO-018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T2-PO-019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T2-PO-028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T2-PO-029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15</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15</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16</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16</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17</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17</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18</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18</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T2-PO-038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19</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19</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T2-PO-039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20</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20</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21</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21</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T2-PO-043</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T2-PO-044</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22</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22</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T2-PO-045</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T2-PO-046</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23</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23</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T2-PO-047</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Определения/объекты главы заданы типизированно и снабжены Dom/Cod.</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Definition/typing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Собрать канонические входы; проверить коллизии.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T2-PO-048</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24</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Главный переход главы доказан либо явно оставлен условным с контрпримером.</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Proof or countermodel dossier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Построить доказательство, отрицательную модель и критерий закрытия.</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T2-PO-049</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Синхронность tom2_v0_1.docx и tom2_v0_1.pdf.</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QA report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Сравнить пагинацию, таблицы, подписи, поисковый слой.</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Все</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T2-PO-050</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Юридические реквизиты подтверждены официальным документом, а не памятью.</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OPEN</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Legal provenance ledger</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Независимо сверить открытые реестры; сохранить карточки/хеши.</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Гл. 1, 23–24</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2"/>
              </w:rPr>
              <w:t>T2-PO-051</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Авторская фотография воспроизводится из утверждённого файла без стилизации.</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Cover QA</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Заменить на более высокое разрешение при поступлении утверждённого оригинала.</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2"/>
              </w:rPr>
              <w:t>Титул</w:t>
            </w:r>
          </w:p>
        </w:tc>
      </w:tr>
      <w:t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2"/>
              </w:rPr>
              <w:t>T2-PO-052</w:t>
            </w:r>
          </w:p>
        </w:tc>
        <w:tc>
          <w:tcPr>
            <w:tcW w:type="dxa" w:w="51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X</w:t>
            </w:r>
          </w:p>
        </w:tc>
        <w:tc>
          <w:tcPr>
            <w:tcW w:type="dxa" w:w="4252"/>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Ни один PHY-HYP, COND или COMP не повышен до THM.</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COMP</w:t>
            </w:r>
          </w:p>
        </w:tc>
        <w:tc>
          <w:tcPr>
            <w:tcW w:type="dxa" w:w="226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Status audit</w:t>
            </w:r>
          </w:p>
        </w:tc>
        <w:tc>
          <w:tcPr>
            <w:tcW w:type="dxa" w:w="419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Повторять аудит на каждом выпуске; truth_layer_promotion=0.</w:t>
            </w:r>
          </w:p>
        </w:tc>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2"/>
              </w:rPr>
              <w:t>Все</w:t>
            </w:r>
          </w:p>
        </w:tc>
      </w:tr>
    </w:tbl>
    <w:p>
      <w:pPr>
        <w:sectPr>
          <w:pgSz w:w="16838" w:h="11906" w:orient="landscape"/>
          <w:pgMar w:top="850" w:right="794" w:bottom="850" w:left="794" w:header="397" w:footer="397" w:gutter="0"/>
          <w:cols w:space="720"/>
          <w:titlePg/>
          <w:docGrid w:linePitch="360"/>
        </w:sectPr>
        <w:widowControl/>
      </w:pPr>
    </w:p>
    <w:p>
      <w:pPr>
        <w:pStyle w:val="Heading1"/>
        <w:widowControl/>
        <w:keepNext/>
      </w:pPr>
      <w:r>
        <w:rPr>
          <w:rFonts w:ascii="Liberation Sans" w:hAnsi="Liberation Sans" w:eastAsia="Liberation Sans"/>
          <w:b/>
          <w:color w:val="17365D"/>
          <w:sz w:val="36"/>
          <w:lang w:val="ru-RU"/>
        </w:rPr>
        <w:t>Контрольная точка T2-RP-v0.1</w:t>
      </w:r>
    </w:p>
    <w:tbl>
      <w:tblPr>
        <w:tblW w:type="auto" w:w="0"/>
        <w:jc w:val="center"/>
        <w:tblLayout w:type="fixed"/>
        <w:tblLook w:firstColumn="1" w:firstRow="1" w:lastColumn="0" w:lastRow="0" w:noHBand="0" w:noVBand="1" w:val="04A0"/>
      </w:tblPr>
      <w:tblGrid>
        <w:gridCol w:w="9411"/>
      </w:tblGrid>
      <w:tr>
        <w:tc>
          <w:tcPr>
            <w:tcW w:type="dxa" w:w="9752"/>
            <w:shd w:fill="E2F0D9"/>
            <w:tcMar>
              <w:top w:w="150" w:type="dxa"/>
              <w:start w:w="180" w:type="dxa"/>
              <w:bottom w:w="150" w:type="dxa"/>
              <w:end w:w="180" w:type="dxa"/>
            </w:tcMar>
            <w:tcBorders>
              <w:top w:val="single" w:sz="10" w:color="548235"/>
              <w:left w:val="single" w:sz="10" w:color="548235"/>
              <w:bottom w:val="single" w:sz="10" w:color="548235"/>
              <w:right w:val="single" w:sz="10" w:color="548235"/>
            </w:tcBorders>
          </w:tcPr>
          <w:p>
            <w:pPr>
              <w:spacing w:after="80"/>
            </w:pPr>
            <w:r>
              <w:rPr>
                <w:rFonts w:ascii="Liberation Sans" w:hAnsi="Liberation Sans"/>
                <w:b/>
                <w:color w:val="548235"/>
                <w:sz w:val="21"/>
              </w:rPr>
              <w:t>ВЫПОЛНЕНО</w:t>
            </w:r>
          </w:p>
          <w:p>
            <w:pPr>
              <w:spacing w:after="0" w:line="252" w:lineRule="auto"/>
            </w:pPr>
            <w:r>
              <w:rPr>
                <w:rFonts w:ascii="Liberation Serif" w:hAnsi="Liberation Serif" w:eastAsia="Liberation Serif"/>
                <w:sz w:val="18"/>
              </w:rPr>
              <w:t>Собраны: (1) карта источников P0–P5; (2) аудит канонической пары Тома I; (3) правовое досье с точными подтверждёнными реквизитами и факсимиле; (4) master-skeleton 24 глав; (5) граф зависимостей; (6) первичная матрица T2-PO-001–T2-PO-052; (7) доказательный status lock.</w:t>
            </w:r>
          </w:p>
        </w:tc>
      </w:tr>
    </w:tbl>
    <w:p>
      <w:pPr>
        <w:spacing w:after="0"/>
        <w:widowControl/>
      </w:pPr>
    </w:p>
    <w:p>
      <w:pPr>
        <w:pStyle w:val="Heading2"/>
        <w:widowControl/>
        <w:keepNext/>
      </w:pPr>
      <w:r>
        <w:rPr>
          <w:rFonts w:ascii="Liberation Sans" w:hAnsi="Liberation Sans" w:eastAsia="Liberation Sans"/>
          <w:b/>
          <w:color w:val="2F5597"/>
          <w:sz w:val="26"/>
          <w:lang w:val="ru-RU"/>
        </w:rPr>
        <w:t>Открытые блокеры</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Blocker</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color w:val="FFFFFF"/>
                <w:sz w:val="16"/>
              </w:rPr>
              <w:t>Следующий проверяемый шаг</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LEGAL-XML-01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Получить официальный регистрационный XML/выписку; 6612237_540.xml является картой сайта.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P0-NATIVE-01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Постепенно восстановить нативные формулы/текст нужных фрагментов из изображения-ориентированного DOCX Тома I, сверяя с поисковым PDF.</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PHOTO-HIRES-01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При поступлении утверждённого оригинала заменить каноническую 320×320 фотографию на версию ≥900 пикселей без изменения композиции титула.</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NAPG-DEF-01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Синхронизировать Definition Core по P0/P2 и создать полный типовой словарь.</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BRIDGE-E-01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Построить или локализовать внешний E-комплекс и карты J; до этого Π_E остаётся COND.</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ASS-BRIDGE-01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Построить β_Ass и доказать область, естественность и предел детекции.</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b/>
                <w:sz w:val="16"/>
              </w:rPr>
              <w:t>HOL-ASS-01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tcPr>
          <w:p>
            <w:pPr>
              <w:spacing w:before="0" w:after="0" w:line="240" w:lineRule="auto"/>
            </w:pPr>
            <w:r>
              <w:rPr>
                <w:rFonts w:ascii="Liberation Sans" w:hAnsi="Liberation Sans" w:eastAsia="Liberation Sans"/>
                <w:sz w:val="16"/>
              </w:rPr>
              <w:t>Сформулировать точный мост Hol_D ↔ ассоциаторная кривизна или сохранить как OPEN.</w:t>
            </w:r>
          </w:p>
        </w:tc>
      </w:tr>
      <w:tr>
        <w:tc>
          <w:tcPr>
            <w:tcW w:type="dxa" w:w="181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sz w:val="16"/>
              </w:rPr>
              <w:t>EXT-RUN-01</w:t>
            </w:r>
          </w:p>
        </w:tc>
        <w:tc>
          <w:tcPr>
            <w:tcW w:type="dxa" w:w="759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sz w:val="16"/>
              </w:rPr>
              <w:t>Независимая внешняя проверка не выполнена; F-1–F-14 не относятся к доказанному содержанию Тома II.</w:t>
            </w:r>
          </w:p>
        </w:tc>
      </w:tr>
    </w:tbl>
    <w:p>
      <w:pPr>
        <w:pStyle w:val="Heading2"/>
        <w:widowControl/>
        <w:keepNext/>
      </w:pPr>
      <w:r>
        <w:rPr>
          <w:rFonts w:ascii="Liberation Sans" w:hAnsi="Liberation Sans" w:eastAsia="Liberation Sans"/>
          <w:b/>
          <w:color w:val="2F5597"/>
          <w:sz w:val="26"/>
          <w:lang w:val="ru-RU"/>
        </w:rPr>
        <w:t>Следующий выпуск</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Версия</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tom2_v0_2</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Название этапа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Notation lock and Definition Core</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Основная задача</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Собрать окончательный NOTATION LEDGER; типизированные определения категории NAPG, объекта N=(𝕂,𝒜•,⊙,𝔊,ℛ;F²_N,X²_N,Ψ²_N), морфизмов и четырёх совместимостей.</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Обязательное доказательное действие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Закрыть T2-PO-003–T2-PO-008 либо разделить их на более узкие PO с контрмоделями.</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8"/>
              </w:rPr>
              <w:t>Запрет</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8"/>
              </w:rPr>
              <w:t>Не переходить к внешнему E-мосту, Hodge-теоремам и физическим интерпретациям до завершения типизации внутреннего ядра.</w:t>
            </w:r>
          </w:p>
        </w:tc>
      </w:tr>
    </w:tbl>
    <w:p>
      <w:pPr>
        <w:pStyle w:val="Heading2"/>
        <w:widowControl/>
        <w:keepNext/>
      </w:pPr>
      <w:r>
        <w:rPr>
          <w:rFonts w:ascii="Liberation Sans" w:hAnsi="Liberation Sans" w:eastAsia="Liberation Sans"/>
          <w:b/>
          <w:color w:val="2F5597"/>
          <w:sz w:val="26"/>
          <w:lang w:val="ru-RU"/>
        </w:rPr>
        <w:t>Декларация непрерывности и отсутствия повышения статуса</w:t>
      </w:r>
    </w:p>
    <w:p>
      <w:pPr>
        <w:pStyle w:val="Lead"/>
        <w:widowControl/>
      </w:pPr>
      <w:r>
        <w:rPr>
          <w:lang w:val="ru-RU"/>
        </w:rPr>
        <w:t>Настоящий выпуск принят как точка отката T2-RP-v0.1. Он наследует нулевую точку Тома I v197 RU, но не изменяет её. Все новые формулировки, не являющиеся дословным импортом или классическим фактом с источником, имеют статус DEF-A, OPEN, COND или MODEL до отдельного доказательства. ПН.2, F-1–F-14, физические мосты, внешняя детекция и ассоциаторный канал не повышены. truth_layer_promotion=0.</w:t>
      </w:r>
    </w:p>
    <w:p>
      <w:pPr>
        <w:pStyle w:val="Heading2"/>
        <w:widowControl/>
        <w:keepNext/>
      </w:pPr>
      <w:r>
        <w:rPr>
          <w:rFonts w:ascii="Liberation Sans" w:hAnsi="Liberation Sans" w:eastAsia="Liberation Sans"/>
          <w:b/>
          <w:color w:val="2F5597"/>
          <w:sz w:val="26"/>
          <w:lang w:val="ru-RU"/>
        </w:rPr>
        <w:t>Контрольные идентификаторы источников</w:t>
      </w:r>
    </w:p>
    <w:tbl>
      <w:tblPr>
        <w:tblW w:type="auto" w:w="0"/>
        <w:jc w:val="center"/>
        <w:tblLayout w:type="fixed"/>
        <w:tblLook w:firstColumn="1" w:firstRow="1" w:lastColumn="0" w:lastRow="0" w:noHBand="0" w:noVBand="1" w:val="04A0"/>
      </w:tblPr>
      <w:tblGrid>
        <w:gridCol w:w="4876"/>
        <w:gridCol w:w="4876"/>
      </w:tblGrid>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T2-GUIDE-SHA256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98fab8ceafe9088a385e2cc807bbeda6563c669273f4bd0b64577fb19a2c32ea</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T1-DOCX-SHA256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a6b3e26daca35a7ffca14b5baa87d6c47711c167606904bb04b02841062a3518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T1-PDF-SHA256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5a2021c02428e3e395fe81e029c46cd26b4a0e06ceb7dbfc89befddffd84a7d8</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XML-SHA256</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f94b89e33dde32c9810cac9225d8009b91176a8031adc60f4ea0f8709cd95113</w:t>
            </w:r>
          </w:p>
        </w:tc>
      </w:tr>
      <w:tr>
        <w:trPr>
          <w:cantSplit/>
        </w:trPr>
        <w:tc>
          <w:tcPr>
            <w:tcW w:type="dxa" w:w="2381"/>
            <w:shd w:fill="DCE6F1"/>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b/>
                <w:color w:val="17365D"/>
                <w:sz w:val="16"/>
              </w:rPr>
              <w:t>Примечание</w:t>
            </w:r>
          </w:p>
        </w:tc>
        <w:tc>
          <w:tcPr>
            <w:tcW w:type="dxa" w:w="7030"/>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r>
              <w:rPr>
                <w:rFonts w:ascii="Liberation Sans" w:hAnsi="Liberation Sans"/>
                <w:sz w:val="16"/>
              </w:rPr>
              <w:t>Хеши итоговых DOCX/PDF фиксируются во внешнем журнале выдачи после завершения файлов; самореферентное включение хеша в тот же файл невозможно без изменения хеша.</w:t>
            </w:r>
          </w:p>
        </w:tc>
      </w:tr>
    </w:tbl>
    <w:p>
      <w:pPr>
        <w:pStyle w:val="Heading1"/>
        <w:widowControl/>
        <w:keepNext/>
      </w:pPr>
      <w:r>
        <w:rPr>
          <w:rFonts w:ascii="Liberation Sans" w:hAnsi="Liberation Sans" w:eastAsia="Liberation Sans"/>
          <w:b/>
          <w:color w:val="17365D"/>
          <w:sz w:val="36"/>
          <w:lang w:val="ru-RU"/>
        </w:rPr>
        <w:t>Библиографическая стартовая полка</w:t>
      </w:r>
    </w:p>
    <w:p>
      <w:pPr>
        <w:ind w:hanging="340" w:left="340"/>
        <w:widowControl/>
      </w:pPr>
      <w:r>
        <w:rPr>
          <w:sz w:val="18"/>
          <w:lang w:val="ru-RU"/>
        </w:rPr>
        <w:t>[1] Desargues, G. Brouillon project d’une atteinte aux événements des rencontres du cône avec un plan. 1639. Факсимиле: Bibliothèque nationale de France, Gallica.</w:t>
      </w:r>
    </w:p>
    <w:p>
      <w:pPr>
        <w:ind w:hanging="340" w:left="340"/>
        <w:widowControl/>
      </w:pPr>
      <w:r>
        <w:rPr>
          <w:sz w:val="18"/>
          <w:lang w:val="ru-RU"/>
        </w:rPr>
        <w:t>[2] Hilbert, D. The Foundations of Geometry. Authorized translation. Project Gutenberg edition.</w:t>
      </w:r>
    </w:p>
    <w:p>
      <w:pPr>
        <w:ind w:hanging="340" w:left="340"/>
        <w:widowControl/>
      </w:pPr>
      <w:r>
        <w:rPr>
          <w:sz w:val="18"/>
          <w:lang w:val="ru-RU"/>
        </w:rPr>
        <w:t>[3] Klein, F. Vergleichende Betrachtungen über neuere geometrische Forschungen (Erlangen Program). 1872.</w:t>
      </w:r>
    </w:p>
    <w:p>
      <w:pPr>
        <w:ind w:hanging="340" w:left="340"/>
        <w:widowControl/>
      </w:pPr>
      <w:r>
        <w:rPr>
          <w:sz w:val="18"/>
          <w:lang w:val="ru-RU"/>
        </w:rPr>
        <w:t>[4] Veblen, O.; Young, J. W. Projective Geometry. Vol. I–II.</w:t>
      </w:r>
    </w:p>
    <w:p>
      <w:pPr>
        <w:ind w:hanging="340" w:left="340"/>
        <w:widowControl/>
      </w:pPr>
      <w:r>
        <w:rPr>
          <w:sz w:val="18"/>
          <w:lang w:val="ru-RU"/>
        </w:rPr>
        <w:t>[5] Eilenberg, S.; Mac Lane, S. General Theory of Natural Equivalences. Transactions of the American Mathematical Society 58 (1945), 231–294. DOI: 10.1090/S0002-9947-1945-0013131-6.</w:t>
      </w:r>
    </w:p>
    <w:p>
      <w:pPr>
        <w:ind w:hanging="340" w:left="340"/>
        <w:widowControl/>
      </w:pPr>
      <w:r>
        <w:rPr>
          <w:sz w:val="18"/>
          <w:lang w:val="ru-RU"/>
        </w:rPr>
        <w:t>[6] Gerstenhaber, M. On the Deformation of Rings and Algebras. Annals of Mathematics 79 (1964), 59–103.</w:t>
      </w:r>
    </w:p>
    <w:p>
      <w:pPr>
        <w:ind w:hanging="340" w:left="340"/>
        <w:widowControl/>
      </w:pPr>
      <w:r>
        <w:rPr>
          <w:sz w:val="18"/>
          <w:lang w:val="ru-RU"/>
        </w:rPr>
        <w:t>[7] Akivis, M. A. Local algebras of a multidimensional three-web. Siberian Mathematical Journal 17 (1976). DOI: 10.1007/BF00969285.</w:t>
      </w:r>
    </w:p>
    <w:p>
      <w:pPr>
        <w:ind w:hanging="340" w:left="340"/>
        <w:widowControl/>
      </w:pPr>
      <w:r>
        <w:rPr>
          <w:sz w:val="18"/>
          <w:lang w:val="ru-RU"/>
        </w:rPr>
        <w:t>[8] Sabinin, L. V. Smooth Quasigroups and Loops. Kluwer/Springer, 1999. DOI: 10.1007/978-94-011-4491-9.</w:t>
      </w:r>
    </w:p>
    <w:p>
      <w:pPr>
        <w:ind w:hanging="340" w:left="340"/>
        <w:widowControl/>
      </w:pPr>
      <w:r>
        <w:rPr>
          <w:sz w:val="18"/>
          <w:lang w:val="ru-RU"/>
        </w:rPr>
        <w:t>[9] Hodge, W. V. D. The Theory and Applications of Harmonic Integrals. Cambridge University Press.</w:t>
      </w:r>
    </w:p>
    <w:p>
      <w:pPr>
        <w:ind w:hanging="340" w:left="340"/>
        <w:widowControl/>
      </w:pPr>
      <w:r>
        <w:rPr>
          <w:sz w:val="18"/>
          <w:lang w:val="ru-RU"/>
        </w:rPr>
        <w:t>[10] Yau, S.-T. On the Ricci curvature of a compact Kähler manifold and the complex Monge–Ampère equation. Communications on Pure and Applied Mathematics 31 (1978), 339–411. DOI: 10.1002/cpa.3160310304.</w:t>
      </w:r>
    </w:p>
    <w:p>
      <w:pPr>
        <w:ind w:hanging="340" w:left="340"/>
        <w:widowControl/>
      </w:pPr>
      <w:r>
        <w:rPr>
          <w:sz w:val="18"/>
          <w:lang w:val="ru-RU"/>
        </w:rPr>
        <w:t>[11] Kurpishev, I. B. Монография «Базовый проект KLT-RBD». Том I. Редакция v197 RU. 2026.</w:t>
      </w:r>
    </w:p>
    <w:p>
      <w:pPr>
        <w:ind w:hanging="340" w:left="340"/>
        <w:widowControl/>
      </w:pPr>
      <w:r>
        <w:rPr>
          <w:sz w:val="18"/>
          <w:lang w:val="ru-RU"/>
        </w:rPr>
        <w:t>[12] Kurpishev, I. B. Реперно-проективная архитектура формульных цепочек: PILOT-01. 2026.</w:t>
      </w:r>
    </w:p>
    <w:p>
      <w:pPr>
        <w:ind w:hanging="340" w:left="340"/>
        <w:widowControl/>
      </w:pPr>
      <w:r>
        <w:rPr>
          <w:sz w:val="18"/>
          <w:lang w:val="ru-RU"/>
        </w:rPr>
        <w:t>[13] Kurpishev, I. B. Авторские корпуса NAPG, KLT-RBD, теоремы Дезарга–Курпишева и ПН.2, согласно источниковому реестру проекта.</w:t>
      </w:r>
    </w:p>
    <w:p>
      <w:pPr>
        <w:widowControl/>
      </w:pPr>
      <w:r>
        <w:br w:type="page"/>
      </w:r>
    </w:p>
    <w:p>
      <w:bookmarkStart w:id="900" w:name="T2_V02_CORE"/>
      <w:pPr>
        <w:pStyle w:val="Heading1"/>
        <w:widowControl/>
        <w:keepNext/>
      </w:pPr>
      <w:r>
        <w:rPr>
          <w:rFonts w:ascii="Liberation Sans" w:hAnsi="Liberation Sans" w:eastAsia="Liberation Sans"/>
          <w:b/>
          <w:color w:val="17365D"/>
          <w:sz w:val="36"/>
        </w:rPr>
        <w:t>ЧАСТЬ II. МАТЕМАТИЧЕСКОЕ УГЛУБЛЕНИЕ v0.2</w:t>
      </w:r>
      <w:bookmarkEnd w:id="900"/>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СТАТУС ВЫПУСКА T2-RP-v0.2</w:t>
            </w:r>
          </w:p>
          <w:p>
            <w:pPr>
              <w:spacing w:line="252" w:lineRule="auto" w:after="0"/>
              <w:jc w:val="both"/>
            </w:pPr>
            <w:r>
              <w:rPr>
                <w:rFonts w:ascii="Liberation Serif" w:hAnsi="Liberation Serif" w:eastAsia="Liberation Serif"/>
                <w:b w:val="0"/>
                <w:i w:val="0"/>
                <w:sz w:val="18"/>
              </w:rPr>
              <w:t>Этап: Notation lock and Definition Core. Закрываемая область: T2-PO-003–T2-PO-008 с разделением аналитических и внешних обязательств. Канонический импорт: Том I v197 RU, §§26.5 и 52.9–52.18. Внешний E-мост, Hodge-слой, ассоциаторная когомология и физические интерпретации в настоящий выпуск не включаются как доказанные результаты. truth_layer_promotion=0.</w:t>
            </w:r>
          </w:p>
        </w:tc>
      </w:tr>
    </w:tbl>
    <w:p>
      <w:pPr>
        <w:widowControl/>
        <w:spacing w:after="0"/>
      </w:pPr>
    </w:p>
    <w:p>
      <w:pPr>
        <w:pStyle w:val="Heading2"/>
        <w:widowControl/>
        <w:keepNext/>
      </w:pPr>
      <w:r>
        <w:rPr>
          <w:rFonts w:ascii="Liberation Sans" w:hAnsi="Liberation Sans" w:eastAsia="Liberation Sans"/>
          <w:b/>
          <w:color w:val="2F5597"/>
          <w:sz w:val="26"/>
        </w:rPr>
        <w:t>9. Паспорт математического углубления v0.2</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Определяющее ядро NAPG рассматривается как самостоятельный математический объект: оно состоит не из метафорических «пакетов», а из носителей, операций, областей допустимости, формального языка, вычислительных карт и фактор-объектов.</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Право на утверждение возникает только после типизации каждой стрелки, проверки независимости от представителя и фиксации того, какие данные входят в объект, а какие являются внешним выбором.</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вычислении ядро проявляется как цепочка «формальное выражение → вычислимый квадратичный элемент → класс обструкции». Ошибка становится видимой там, где стрелка не определена или не спускается на фактор.</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не отождествляет O_B с ассоциатором, Hodge-когомологией, кривизной, физическим полем или эмпирической истинностью. Эти мосты требуют отдельных объектов и доказательств.</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1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Значение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 контрольная точка 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Главный результат</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Строгая алгебраическая категория NAPG_q и проектive-гармонический структурный селектор.</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Закрываемые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T2-PO-003, 004, 005, 006, 007; T2-PO-008A и 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Разделяемые PO</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T2-PO-008B: аналитическая непрерывность и завершения; переносится в главы 10–13.</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Импорт P0</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Том I v197 RU: определения 26.16–26.19, 52.2–52.8; теоремы 52.2, 52.4, 52.6 и контрпримеры 52.1–52.6.</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Новый авторский слой</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Anchored sufficient foundation; строгий структурный селектор; теорема двойной инвариантности; локальная устойчивость λ-селектора; интервальная дисциплина воздержания.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Статус-замок</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COND/MODEL/PHY-HYP не повышены; внешний E-слой не считается построенным.</w:t>
            </w:r>
          </w:p>
        </w:tc>
      </w:tr>
    </w:tbl>
    <w:p>
      <w:pPr>
        <w:widowControl/>
        <w:spacing w:after="20"/>
      </w:pPr>
    </w:p>
    <w:p>
      <w:pPr>
        <w:pStyle w:val="Heading1"/>
        <w:widowControl/>
        <w:keepNext/>
      </w:pPr>
      <w:r>
        <w:rPr>
          <w:rFonts w:ascii="Liberation Sans" w:hAnsi="Liberation Sans" w:eastAsia="Liberation Sans"/>
          <w:b/>
          <w:color w:val="17365D"/>
          <w:sz w:val="36"/>
        </w:rPr>
        <w:t>10. Глава 2. Замороженный реестр обозначений</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Обозначение является частью математического объекта: оно фиксирует тип, степень и роль символа. Смена знака без журнала коллизий способна незаметно заменить одну теорию другой.</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Познание формулы начинается с ответа на четыре вопроса: где живут её аргументы, куда попадает значение, на какой области определена операция и какие выборы влияют на результат.</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Нотационная коллизия обнаруживается как невозможность однозначно прочитать диаграмму или композицию. Поэтому ⋆ ассоциаторного слоя и ⋆_Hdg никогда не считаются одним оператором.</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Реестр не доказывает существование объектов. Он запрещает использовать символ раньше определения и не допускает переноса свойств между внутренним δ_min, внешним δ и δ_Hdg.</w:t>
            </w:r>
          </w:p>
        </w:tc>
      </w:tr>
    </w:tbl>
    <w:p>
      <w:pPr>
        <w:widowControl/>
        <w:spacing w:after="0"/>
      </w:pPr>
    </w:p>
    <w:p>
      <w:pPr>
        <w:pStyle w:val="Heading2"/>
        <w:widowControl/>
        <w:keepNext/>
      </w:pPr>
      <w:r>
        <w:rPr>
          <w:rFonts w:ascii="Liberation Sans" w:hAnsi="Liberation Sans" w:eastAsia="Liberation Sans"/>
          <w:b/>
          <w:color w:val="2F5597"/>
          <w:sz w:val="26"/>
        </w:rPr>
        <w:t>10.1. Базовые сортировки и типы</w:t>
      </w:r>
    </w:p>
    <w:p>
      <w:pPr>
        <w:widowControl/>
        <w:spacing w:after="100" w:line="259" w:lineRule="auto"/>
        <w:ind w:firstLine="397"/>
        <w:jc w:val="both"/>
      </w:pPr>
      <w:r>
        <w:rPr>
          <w:rFonts w:ascii="Liberation Serif" w:hAnsi="Liberation Serif" w:eastAsia="Liberation Serif"/>
          <w:b w:val="0"/>
          <w:i w:val="0"/>
          <w:sz w:val="20"/>
        </w:rPr>
        <w:t>Фиксируется коммутативное поле 𝕂. Если не оговорено иное, алгебраическое ядро строится в категории 𝕂-векторных пространств. Аналитические нормы, топологии, полнота и непрерывность не включаются автоматически: они образуют дополнительный слой данных. Множество степеней обозначается Γ; в базовом варианте Γ=ℤ, однако доказательства категории NAPG_q используют лишь наличие функции степени и совместимого закона вывода степени произведения.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𝒜• = ⨁_{p∈Γ} 𝒜ᵖ,     |x|=p  для  x∈𝒜ᵖ.</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(T2-F001)</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Структурные данные 𝔊 включают допустимые генераторы, синтаксические операции, доменные ограничения, закон степеней χ и, при необходимости, метки Reper, D/Dom и происхождения. Тем самым область операции не прячется в редакционном комментарии, а является частью объекта.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24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Символ</w:t>
            </w:r>
          </w:p>
        </w:tc>
        <w:tc>
          <w:tcPr>
            <w:tcW w:type="dxa" w:w="311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Зафиксированное значение</w:t>
            </w:r>
          </w:p>
        </w:tc>
        <w:tc>
          <w:tcPr>
            <w:tcW w:type="dxa" w:w="1757"/>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Тип</w:t>
            </w:r>
          </w:p>
        </w:tc>
        <w:tc>
          <w:tcPr>
            <w:tcW w:type="dxa" w:w="323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Предохранитель</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коммутативное поле основания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 данных</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заменяется ℝ без явного ограничения.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множество/полугруппа степеней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индекс градуировки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 базовой модели Γ=ℤ.</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𝒜•</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Γ-градуированное 𝕂-пространство</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носитель</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Прямая сумма, не неразмеченное множество.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билинейная операция на указанном Dom_⊙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операция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Вообще неассоциативна; не Hodge star.</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Ass_⊙</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(x⊙y)⊙z−x⊙(y⊙z)</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трёхлинейный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Определён только при существовании обеих ветвей.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R⋆R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авторский объект ассоциаторно-пакетного слоя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объект/нотация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Знак ⋆ не используется для Hodge.</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⋆_Hdg</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оператор Ходжа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аналитико-геометрический оператор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Требует метрики, ориентации и регулярности.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допустимый реперный 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подпространство/класс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Условия замкнутости указываются явно.</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F²_N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формальный язык степени ≤2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векторное пространство синтаксиса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 вычисления; не подмножество X² автоматически.</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тестируемый квадратичный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подпространство 𝒜• или T_N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Квадратичный, 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F²_N→X²_N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линейная карта вычисления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Cod фиксирован заранее.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X²_N/Im Ψ²_N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фактор обструкции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Зависит от выбранного языка F²_N.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Π_N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X²_N→O_B(N)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каноническая проекция</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внешний E-мост.</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C_min•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коцепной комплекс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Сосредоточен в степенях 2 и 3.</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δ_min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δ_min²=Ψ², δ_min³=0</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внутренний дифференциал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смешивается с внешним δ.</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Θ_min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id_{X²_N}:X²_N→C_min³(N)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канонический внутренний мост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Тождество, не физическая гипотеза.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cr(U,I;R,D̲)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координата</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Определена вне полюсов и вырождений.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|λ+1|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диагностический дефект</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Только при выбранной абсолютной величине/норме.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D/Dom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 и область допустимости</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валидирующий 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λ≈−1 не заменяет D/Dom.</w:t>
            </w:r>
          </w:p>
        </w:tc>
      </w:tr>
    </w:tbl>
    <w:p>
      <w:pPr>
        <w:widowControl/>
        <w:spacing w:after="20"/>
      </w:pPr>
    </w:p>
    <w:p>
      <w:pPr>
        <w:pStyle w:val="Heading2"/>
        <w:widowControl/>
        <w:keepNext/>
      </w:pPr>
      <w:r>
        <w:rPr>
          <w:rFonts w:ascii="Liberation Sans" w:hAnsi="Liberation Sans" w:eastAsia="Liberation Sans"/>
          <w:b/>
          <w:color w:val="2F5597"/>
          <w:sz w:val="26"/>
        </w:rPr>
        <w:t>10.2. Закон степеней и допустимые композиции</w:t>
      </w:r>
    </w:p>
    <w:p>
      <w:pPr>
        <w:widowControl/>
        <w:spacing w:after="100" w:line="259" w:lineRule="auto"/>
        <w:ind w:firstLine="397"/>
        <w:jc w:val="both"/>
      </w:pPr>
      <w:r>
        <w:rPr>
          <w:rFonts w:ascii="Liberation Serif" w:hAnsi="Liberation Serif" w:eastAsia="Liberation Serif"/>
          <w:b w:val="0"/>
          <w:i w:val="0"/>
          <w:sz w:val="20"/>
        </w:rPr>
        <w:t>Для однородных элементов вводится частичный закон степеней χ:Dom(χ)⊆Γ×Γ→Γ. Если (p,q)∈Dom(χ), то допустимое произведение 𝒜ᵖ⊗𝒜ᑫ переводится в 𝒜^{χ(p,q)}. Стандартный случай χ(p,q)=p+q+s включает операцию фиксированной степени s. Частичность χ позволяет фиксировать невозможные композиции без искусственного присвоения им нуля.</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⊙_{p,q}: Dom_{p,q}⊆𝒜ᵖ⊗𝒜ᑫ → 𝒜^{χ(p,q)}.</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СМЫСЛ ТРУДНОГО ПЕРЕХОДА: нуль и неопределённость</w:t>
            </w:r>
          </w:p>
          <w:p>
            <w:pPr>
              <w:spacing w:line="252" w:lineRule="auto" w:after="0"/>
              <w:jc w:val="both"/>
            </w:pPr>
            <w:r>
              <w:rPr>
                <w:rFonts w:ascii="Liberation Serif" w:hAnsi="Liberation Serif" w:eastAsia="Liberation Serif"/>
                <w:b w:val="0"/>
                <w:i w:val="0"/>
                <w:sz w:val="18"/>
              </w:rPr>
              <w:t>Если произведение запрещено доменом, оно не равно нулю. Нулевой элемент является значением определённой операции; неопределённость означает отсутствие стрелки. Смешение этих случаев уничтожает различие между структурным запретом и фактическим взаимным погашением. В предсказательном методе это различие отвечает за честное воздержание: кандидат вне Dom не получает «плохой балл», а исключается как нетипизированный.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2.1. Тип ассоциатора  [THM]</w:t>
            </w:r>
          </w:p>
          <w:p>
            <w:pPr>
              <w:spacing w:line="252" w:lineRule="auto"/>
              <w:jc w:val="both"/>
            </w:pPr>
            <w:r>
              <w:rPr>
                <w:rFonts w:ascii="Liberation Serif" w:hAnsi="Liberation Serif" w:eastAsia="Liberation Serif"/>
                <w:b w:val="0"/>
                <w:i w:val="0"/>
                <w:sz w:val="18"/>
              </w:rPr>
              <w:t>Пусть x∈𝒜ᵖ, y∈𝒜ᑫ, z∈𝒜ʳ и обе скобочные ветви определены. Если χ(χ(p,q),r)=χ(p,χ(q,r))=s, то Ass_⊙(x,y,z)∈𝒜ˢ. Если степени ветвей различаются, их разность не является однородным ассоциатором и требует перехода в прямую сумму либо запрета теста.</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принадлежит компоненте, вычисляемой последовательным применением χ. Разность двух векторов определена в одном однородном компоненте при совпадении степеней; при различии компонентов она принадлежит их прямой сумме, но не имеет единой степени s. Это и даёт заявленную типовую границу. □</w:t>
      </w:r>
    </w:p>
    <w:p>
      <w:pPr>
        <w:pStyle w:val="Heading2"/>
        <w:widowControl/>
        <w:keepNext/>
      </w:pPr>
      <w:r>
        <w:rPr>
          <w:rFonts w:ascii="Liberation Sans" w:hAnsi="Liberation Sans" w:eastAsia="Liberation Sans"/>
          <w:b/>
          <w:color w:val="2F5597"/>
          <w:sz w:val="26"/>
        </w:rPr>
        <w:t>10.3. Протокол расширения NOTATION LEDGER</w:t>
      </w:r>
    </w:p>
    <w:p>
      <w:pPr>
        <w:pStyle w:val="ListNumber"/>
        <w:widowControl/>
        <w:spacing w:after="40"/>
      </w:pPr>
      <w:r>
        <w:rPr>
          <w:rFonts w:ascii="Liberation Serif" w:hAnsi="Liberation Serif" w:eastAsia="Liberation Serif"/>
          <w:b w:val="0"/>
          <w:i w:val="0"/>
          <w:sz w:val="19"/>
        </w:rPr>
        <w:t>Новое обозначение получает уникальный идентификатор NTL-xxx, Dom, Cod, степень, источник, статус и список коллизий.</w:t>
      </w:r>
    </w:p>
    <w:p>
      <w:pPr>
        <w:pStyle w:val="ListNumber"/>
        <w:widowControl/>
        <w:spacing w:after="40"/>
      </w:pPr>
      <w:r>
        <w:rPr>
          <w:rFonts w:ascii="Liberation Serif" w:hAnsi="Liberation Serif" w:eastAsia="Liberation Serif"/>
          <w:b w:val="0"/>
          <w:i w:val="0"/>
          <w:sz w:val="19"/>
        </w:rPr>
        <w:t>Символ, уже занятый в P0, не переопределяется; допускается только индексированная версия с явной картой к канону.</w:t>
      </w:r>
    </w:p>
    <w:p>
      <w:pPr>
        <w:pStyle w:val="ListNumber"/>
        <w:widowControl/>
        <w:spacing w:after="40"/>
      </w:pPr>
      <w:r>
        <w:rPr>
          <w:rFonts w:ascii="Liberation Serif" w:hAnsi="Liberation Serif" w:eastAsia="Liberation Serif"/>
          <w:b w:val="0"/>
          <w:i w:val="0"/>
          <w:sz w:val="19"/>
        </w:rPr>
        <w:t>Временное обозначение помечается TMP и не входит в теоремный пакет до снятия метки.</w:t>
      </w:r>
    </w:p>
    <w:p>
      <w:pPr>
        <w:pStyle w:val="ListNumber"/>
        <w:widowControl/>
        <w:spacing w:after="40"/>
      </w:pPr>
      <w:r>
        <w:rPr>
          <w:rFonts w:ascii="Liberation Serif" w:hAnsi="Liberation Serif" w:eastAsia="Liberation Serif"/>
          <w:b w:val="0"/>
          <w:i w:val="0"/>
          <w:sz w:val="19"/>
        </w:rPr>
        <w:t>Любой переход от алгебраического к топологическому, аналитическому или физическому смыслу фиксируется отдельным мостовым символом.</w:t>
      </w:r>
    </w:p>
    <w:p>
      <w:pPr>
        <w:pStyle w:val="ListNumber"/>
        <w:widowControl/>
        <w:spacing w:after="40"/>
      </w:pPr>
      <w:r>
        <w:rPr>
          <w:rFonts w:ascii="Liberation Serif" w:hAnsi="Liberation Serif" w:eastAsia="Liberation Serif"/>
          <w:b w:val="0"/>
          <w:i w:val="0"/>
          <w:sz w:val="19"/>
        </w:rPr>
        <w:t>В формулах прогноза слово «истина» не используется как числовая переменная; λ и δ_truth являются диагностическими координатами, а не заменой доказательства.</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2.1. Коллизия δ</w:t>
            </w:r>
          </w:p>
          <w:p>
            <w:pPr>
              <w:spacing w:line="252" w:lineRule="auto" w:after="0"/>
              <w:jc w:val="both"/>
            </w:pPr>
            <w:r>
              <w:rPr>
                <w:rFonts w:ascii="Liberation Serif" w:hAnsi="Liberation Serif" w:eastAsia="Liberation Serif"/>
                <w:b w:val="0"/>
                <w:i w:val="0"/>
                <w:sz w:val="18"/>
              </w:rPr>
              <w:t>Пусть δ_min²=Ψ² во внутреннем двухступенчатом комплексе, а δ_Hdg обозначает кодифференциал на формах. Из δ_min³δ_min²=0 нельзя заключить δ_Hdg²=0 или наоборот: области, степени и определения различны. Одинаковая буква без индекса создаёт ложный мост.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2.2. Неоднородный ассоциатор</w:t>
            </w:r>
          </w:p>
          <w:p>
            <w:pPr>
              <w:spacing w:line="252" w:lineRule="auto" w:after="0"/>
              <w:jc w:val="both"/>
            </w:pPr>
            <w:r>
              <w:rPr>
                <w:rFonts w:ascii="Liberation Serif" w:hAnsi="Liberation Serif" w:eastAsia="Liberation Serif"/>
                <w:b w:val="0"/>
                <w:i w:val="0"/>
                <w:sz w:val="18"/>
              </w:rPr>
              <w:t>Если χ(χ(p,q),r)≠χ(p,χ(q,r)), то ветви лежат в разных компонентах. Запись Ass_⊙∈𝒜ˢ с одним s не типизирована, даже если обе ветви вычислимы.</w:t>
            </w:r>
          </w:p>
        </w:tc>
      </w:tr>
    </w:tbl>
    <w:p>
      <w:pPr>
        <w:widowControl/>
        <w:spacing w:after="0"/>
      </w:pPr>
    </w:p>
    <w:p>
      <w:pPr>
        <w:pStyle w:val="Heading1"/>
        <w:pageBreakBefore w:val="0"/>
        <w:widowControl/>
        <w:keepNext/>
      </w:pPr>
      <w:r>
        <w:rPr>
          <w:rFonts w:ascii="Liberation Sans" w:hAnsi="Liberation Sans" w:eastAsia="Liberation Sans"/>
          <w:b/>
          <w:color w:val="17365D"/>
          <w:sz w:val="36"/>
        </w:rPr>
        <w:t>11. Глава 3. Категория NAPG_q: объекты, морфизмы и области</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Категория NAPG_q существует как мир строго сопоставимых квадратичных кадров. Объектом является не одна операция, а пакет данных, достаточный для построения формального языка, вычисления и фактора обструкции.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Объекты познаются через морфизмы: если класс обструкции меняется от допустимой перенумерации или изоморфизма, он не является структурным инвариантом выбранной категории.</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Коммутативные диаграммы проявляют корректность переноса. Несовпадение двух путей показывает не философскую «неполноту», а конкретную ошибку типизации или естественности.</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NAPG_q является внутренней алгебраической категорией. Она не содержит автоматически многообразий, Hodge-операторов, связностей, динамики и измерительных процедур.</w:t>
            </w:r>
          </w:p>
        </w:tc>
      </w:tr>
    </w:tbl>
    <w:p>
      <w:pPr>
        <w:widowControl/>
        <w:spacing w:after="0"/>
      </w:pPr>
    </w:p>
    <w:p>
      <w:pPr>
        <w:pStyle w:val="Heading2"/>
        <w:widowControl/>
        <w:keepNext/>
      </w:pPr>
      <w:r>
        <w:rPr>
          <w:rFonts w:ascii="Liberation Sans" w:hAnsi="Liberation Sans" w:eastAsia="Liberation Sans"/>
          <w:b/>
          <w:color w:val="2F5597"/>
          <w:sz w:val="26"/>
        </w:rPr>
        <w:t>11.1. Объект категории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3.1. Типизированный квадратичный кадр NAPG  [DEF-A]</w:t>
            </w:r>
          </w:p>
          <w:p>
            <w:pPr>
              <w:spacing w:line="252" w:lineRule="auto"/>
              <w:jc w:val="both"/>
            </w:pPr>
            <w:r>
              <w:rPr>
                <w:rFonts w:ascii="Liberation Serif" w:hAnsi="Liberation Serif" w:eastAsia="Liberation Serif"/>
                <w:b w:val="0"/>
                <w:i w:val="0"/>
                <w:sz w:val="18"/>
              </w:rPr>
              <w:t>Объектом NAPG_q называется кортеж N=(𝕂,𝒜•,⊙,𝔊,ℛ;F²_N,X²_N,Ψ²_N), где: 𝕂 — коммутативное поле; 𝒜• — градуированное пространство; ⊙ — билинейная операция на заданных в 𝔊 областях; ℛ⊆𝒜• — допустимый класс; F²_N — векторное пространство допустимых формальных выражений степени не выше двух; X²_N — тестируемый квадратичный слой; Ψ²_N:F²_N→X²_N — линейная карта вычисления. Требуется Im Ψ²_N⊆X²_N, что встроено в кодомен.</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X²_N = Span_𝕂{ R⊙R, R⊙S+S⊙R : R,S,R+S∈ℛ и все произведения определены }.</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(T2-F003)</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O_B(N)=X²_N/Im Ψ²_N,     Π_N:X²_N→O_B(N).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(T2-F004)</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Формальный язык F²_N должен быть отделён от вычисленного слоя X²_N. Для строгой реализации удобно брать свободное 𝕂-пространство на типизированных синтаксических деревьях высоты не более двух и затем факторизовать его по линейным синтаксическим отношениям. Ψ²_N вычисляет дерево в 𝒜•. Разные языки могут иметь одинаковую алгебру и разные O_B; поэтому O_B измеряет полноту выбранного языка относительно X²_N, а не «абсолютную неассоциативность».</w:t>
      </w:r>
    </w:p>
    <w:p>
      <w:pPr>
        <w:pStyle w:val="Heading2"/>
        <w:widowControl/>
        <w:keepNext/>
      </w:pPr>
      <w:r>
        <w:rPr>
          <w:rFonts w:ascii="Liberation Sans" w:hAnsi="Liberation Sans" w:eastAsia="Liberation Sans"/>
          <w:b/>
          <w:color w:val="2F5597"/>
          <w:sz w:val="26"/>
        </w:rPr>
        <w:t>11.2. Морфизм и четыре совместимости</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3.2. Морфизм квадратичных кадров  [DEF-A]</w:t>
            </w:r>
          </w:p>
          <w:p>
            <w:pPr>
              <w:spacing w:line="252" w:lineRule="auto"/>
              <w:jc w:val="both"/>
            </w:pPr>
            <w:r>
              <w:rPr>
                <w:rFonts w:ascii="Liberation Serif" w:hAnsi="Liberation Serif" w:eastAsia="Liberation Serif"/>
                <w:b w:val="0"/>
                <w:i w:val="0"/>
                <w:sz w:val="18"/>
              </w:rPr>
              <w:t>Морфизм f:N→N′ есть семейство f=(Φ•,φ_G,φ_F,φ_X,φ_O). Здесь Φ•:𝒜•→𝒜′• — градуированная линейная карта; φ_G переносит генераторы, домены и метки; φ_F:F²_N→F²_N′ переносит формальный язык; φ_X:X²_N→X²_N′ переносит вычисленные элементы; φ_O:O_B(N)→O_B(N′) — индуцированная карта. Семейство считается морфизмом лишь при выполнении M1–M4.</w:t>
            </w:r>
          </w:p>
        </w:tc>
      </w:tr>
    </w:tbl>
    <w:p>
      <w:pPr>
        <w:widowControl/>
        <w:spacing w:after="0"/>
      </w:pP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62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Код</w:t>
            </w:r>
          </w:p>
        </w:tc>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Совместимость</w:t>
            </w:r>
          </w:p>
        </w:tc>
        <w:tc>
          <w:tcPr>
            <w:tcW w:type="dxa" w:w="368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Формула/требование</w:t>
            </w:r>
          </w:p>
        </w:tc>
        <w:tc>
          <w:tcPr>
            <w:tcW w:type="dxa" w:w="3345"/>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Назначение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M1</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Алгебра и Dom</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Φ(x⊙y)=Φ(x)⊙′Φ(y) для всех допустимых пар; Φ(ℛ)⊆ℛ′.</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Сохраняет операцию и не расширяет область молча.</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M2</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Синтаксис</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φ_F совместима с φ_G и подстановкой Φ в листья выражений.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позволяет формальному языку менять смысл.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M3</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φ_X∘Ψ²_N=Ψ²_N′∘φ_F.</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Коммутативность квадрата вычисления.</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Фактор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φ_O∘Π_N=Π_N′∘φ_X.</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Естественность класса обструкции.</w:t>
            </w:r>
          </w:p>
        </w:tc>
      </w:tr>
    </w:tbl>
    <w:p>
      <w:pPr>
        <w:widowControl/>
        <w:spacing w:after="2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φ_X Ψ²_N = Ψ²_N′ φ_F,      φ_O Π_N = Π_N′ φ_X.</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(T2-F005)</w:t>
            </w:r>
          </w:p>
        </w:tc>
      </w:tr>
    </w:tbl>
    <w:p>
      <w:pPr>
        <w:widowControl/>
        <w:spacing w:after="0"/>
      </w:pPr>
    </w:p>
    <w:p>
      <w:pPr>
        <w:pStyle w:val="Heading2"/>
        <w:widowControl/>
        <w:keepNext/>
      </w:pPr>
      <w:r>
        <w:rPr>
          <w:rFonts w:ascii="Liberation Sans" w:hAnsi="Liberation Sans" w:eastAsia="Liberation Sans"/>
          <w:b/>
          <w:color w:val="2F5597"/>
          <w:sz w:val="26"/>
        </w:rPr>
        <w:t>11.3. Корректность факторного переноса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3.1. Спуск на фактор  [THM]</w:t>
            </w:r>
          </w:p>
          <w:p>
            <w:pPr>
              <w:spacing w:line="252" w:lineRule="auto"/>
              <w:jc w:val="both"/>
            </w:pPr>
            <w:r>
              <w:rPr>
                <w:rFonts w:ascii="Liberation Serif" w:hAnsi="Liberation Serif" w:eastAsia="Liberation Serif"/>
                <w:b w:val="0"/>
                <w:i w:val="0"/>
                <w:sz w:val="18"/>
              </w:rPr>
              <w:t>Если выполнено M3, то φ_X(Im Ψ²_N)⊆Im Ψ²_N′. Поэтому формула φ_O([x])=[φ_X(x)] корректно определяет единственную линейную карту, удовлетворяющую 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Для y=Ψ²_N(a) имеем φ_X(y)=φ_XΨ²_N(a)=Ψ²_N′φ_F(a), то есть φ_X(y) принадлежит Im Ψ²_N′. Следовательно, два представителя x и x+y одного класса переходят в элементы, различающиеся на элемент образа Ψ²_N′. Корректность и единственность следуют из универсального свойства факторпространства.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3.1. Существование категории NAPG_q  [THM]</w:t>
            </w:r>
          </w:p>
          <w:p>
            <w:pPr>
              <w:spacing w:line="252" w:lineRule="auto"/>
              <w:jc w:val="both"/>
            </w:pPr>
            <w:r>
              <w:rPr>
                <w:rFonts w:ascii="Liberation Serif" w:hAnsi="Liberation Serif" w:eastAsia="Liberation Serif"/>
                <w:b w:val="0"/>
                <w:i w:val="0"/>
                <w:sz w:val="18"/>
              </w:rPr>
              <w:t>Типизированные квадратичные кадры с морфизмами M1–M4 образуют категорию. Тождественный морфизм задаётся тождественными компонентами; композиция определяется покомпонентно и снова удовлетворяет M1–M4.</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Тождественные карты сохраняют все данные и делают обе диаграммы тождественно коммутативными. Для f:N→N′ и g:N′→N″ произведение сохраняется композицией Φ_gΦ_f; перенос синтаксиса и вычисления удовлетворяет M3, поскольку φ_X^gφ_X^fΨ_N=φ_X^gΨ_N′φ_F^f=Ψ_N″φ_F^gφ_F^f. Аналогично M4. Ассоциативность композиции и законы единицы наследуются от категории векторных пространств.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Предложение 3.2. Критерий изоморфизма  [THM]</w:t>
            </w:r>
          </w:p>
          <w:p>
            <w:pPr>
              <w:spacing w:line="252" w:lineRule="auto"/>
              <w:jc w:val="both"/>
            </w:pPr>
            <w:r>
              <w:rPr>
                <w:rFonts w:ascii="Liberation Serif" w:hAnsi="Liberation Serif" w:eastAsia="Liberation Serif"/>
                <w:b w:val="0"/>
                <w:i w:val="0"/>
                <w:sz w:val="18"/>
              </w:rPr>
              <w:t>Морфизм f является изоморфизмом NAPG_q, если его компоненты Φ•, φ_G, φ_F и φ_X обратимы и обратные карты сохраняют M1–M3. Тогда φ_O автоматически обратима и индуцируется φ_X^{-1}.</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Обратные компоненты задают морфизм f^{-1}; факторная карта корректна по Лемме 3.1. Композиции на представителях дают тождества, следовательно, φ_O^{-1}([x′])=[φ_X^{-1}(x′)]. □</w:t>
      </w:r>
    </w:p>
    <w:p>
      <w:pPr>
        <w:pStyle w:val="Heading2"/>
        <w:widowControl/>
        <w:keepNext/>
      </w:pPr>
      <w:r>
        <w:rPr>
          <w:rFonts w:ascii="Liberation Sans" w:hAnsi="Liberation Sans" w:eastAsia="Liberation Sans"/>
          <w:b/>
          <w:color w:val="2F5597"/>
          <w:sz w:val="26"/>
        </w:rPr>
        <w:t>11.4. Функторы внутреннего ядра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3.3. Функтор квадратичной обструкции  [THM]</w:t>
            </w:r>
          </w:p>
          <w:p>
            <w:pPr>
              <w:spacing w:line="252" w:lineRule="auto"/>
              <w:jc w:val="both"/>
            </w:pPr>
            <w:r>
              <w:rPr>
                <w:rFonts w:ascii="Liberation Serif" w:hAnsi="Liberation Serif" w:eastAsia="Liberation Serif"/>
                <w:b w:val="0"/>
                <w:i w:val="0"/>
                <w:sz w:val="18"/>
              </w:rPr>
              <w:t>Назначения N↦O_B(N) и f↦φ_O образуют функтор O_B:NAPG_q→Vect_𝕂.</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Тождественный морфизм индуцирует тождество на классах. Для композиции g∘f имеем [x]↦[φ_X^f(x)]↦[φ_X^gφ_X^f(x)], что совпадает с факторной картой композиции. □</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3.4. Минимальный комплекс как функтор  [THM]</w:t>
            </w:r>
          </w:p>
          <w:p>
            <w:pPr>
              <w:spacing w:line="252" w:lineRule="auto"/>
              <w:jc w:val="both"/>
            </w:pPr>
            <w:r>
              <w:rPr>
                <w:rFonts w:ascii="Liberation Serif" w:hAnsi="Liberation Serif" w:eastAsia="Liberation Serif"/>
                <w:b w:val="0"/>
                <w:i w:val="0"/>
                <w:sz w:val="18"/>
              </w:rPr>
              <w:t>Положим C_min²(N)=F²_N, C_min³(N)=X²_N, остальные степени нулевыми; δ_min²=Ψ²_N, δ_min³=0. Тогда C_min•:NAPG_q→CoCh_𝕂 является функтором, а κ_N:O_B(N)→H³(C_min•(N)), κ_N([x])=[x], образует естественный изоморфизм.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H³(C_min•(N))=Ker δ_min³/Im δ_min²=X²_N/Im Ψ²_N=O_B(N).</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(T2-F006)</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Нильпотентность следует из δ_min³=0. M3 является ровно условием коцепного отображения в степени 2. Каноническая идентификация факторпространств не зависит от представителя. Естественность проверяется на классе [x]: оба пути дают [φ_X(x)]. □</w:t>
      </w:r>
    </w:p>
    <w:p>
      <w:pPr>
        <w:widowControl/>
        <w:jc w:val="center"/>
      </w:pPr>
      <w:r>
        <w:drawing>
          <wp:inline xmlns:a="http://schemas.openxmlformats.org/drawingml/2006/main" xmlns:pic="http://schemas.openxmlformats.org/drawingml/2006/picture">
            <wp:extent cx="5832000" cy="2916000"/>
            <wp:docPr id="7" name="Picture 7"/>
            <wp:cNvGraphicFramePr>
              <a:graphicFrameLocks noChangeAspect="1"/>
            </wp:cNvGraphicFramePr>
            <a:graphic>
              <a:graphicData uri="http://schemas.openxmlformats.org/drawingml/2006/picture">
                <pic:pic>
                  <pic:nvPicPr>
                    <pic:cNvPr id="0" name="diag_core_v02.png"/>
                    <pic:cNvPicPr/>
                  </pic:nvPicPr>
                  <pic:blipFill>
                    <a:blip r:embed="rId19"/>
                    <a:stretch>
                      <a:fillRect/>
                    </a:stretch>
                  </pic:blipFill>
                  <pic:spPr>
                    <a:xfrm>
                      <a:off x="0" y="0"/>
                      <a:ext cx="5832000" cy="2916000"/>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3. Внутреннее определяющее ядро NAPG_q и минимальный комплекс. Собственная схема Тома II.</w:t>
      </w:r>
    </w:p>
    <w:p>
      <w:pPr>
        <w:pStyle w:val="Heading2"/>
        <w:widowControl/>
        <w:keepNext/>
      </w:pPr>
      <w:r>
        <w:rPr>
          <w:rFonts w:ascii="Liberation Sans" w:hAnsi="Liberation Sans" w:eastAsia="Liberation Sans"/>
          <w:b/>
          <w:color w:val="2F5597"/>
          <w:sz w:val="26"/>
        </w:rPr>
        <w:t>11.5. Контрмодели к ослаблению морфизмов</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3.1. Нарушение M1</w:t>
            </w:r>
          </w:p>
          <w:p>
            <w:pPr>
              <w:spacing w:line="252" w:lineRule="auto" w:after="0"/>
              <w:jc w:val="both"/>
            </w:pPr>
            <w:r>
              <w:rPr>
                <w:rFonts w:ascii="Liberation Serif" w:hAnsi="Liberation Serif" w:eastAsia="Liberation Serif"/>
                <w:b w:val="0"/>
                <w:i w:val="0"/>
                <w:sz w:val="18"/>
              </w:rPr>
              <w:t>Пусть 𝒜=𝕂e с e⊙e=e, 𝒜′=𝕂e′ с e′⊙′e′=0, а Φ(e)=e′. Линейность сохраняется, но Φ(e⊙e)=e′≠0=Φ(e)⊙′Φ(e). Такая карта не переносит алгебру и не может быть морфизмом NAPG_q.</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3.2. Нарушение M3</w:t>
            </w:r>
          </w:p>
          <w:p>
            <w:pPr>
              <w:spacing w:line="252" w:lineRule="auto" w:after="0"/>
              <w:jc w:val="both"/>
            </w:pPr>
            <w:r>
              <w:rPr>
                <w:rFonts w:ascii="Liberation Serif" w:hAnsi="Liberation Serif" w:eastAsia="Liberation Serif"/>
                <w:b w:val="0"/>
                <w:i w:val="0"/>
                <w:sz w:val="18"/>
              </w:rPr>
              <w:t>Пусть F²=X²=𝕂, Ψ=id, а в цели Ψ′=0. Возьмём φ_F=id и φ_X=id. Тогда φ_XΨ=id, но Ψ′φ_F=0. Образ формально реализуемого элемента перестаёт быть формально реализуемым; факторный перенос не определён канонически.</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3.3. Произвольная карта классов</w:t>
            </w:r>
          </w:p>
          <w:p>
            <w:pPr>
              <w:spacing w:line="252" w:lineRule="auto" w:after="0"/>
              <w:jc w:val="both"/>
            </w:pPr>
            <w:r>
              <w:rPr>
                <w:rFonts w:ascii="Liberation Serif" w:hAnsi="Liberation Serif" w:eastAsia="Liberation Serif"/>
                <w:b w:val="0"/>
                <w:i w:val="0"/>
                <w:sz w:val="18"/>
              </w:rPr>
              <w:t>Даже если O_B(N) и O_B(N′) изоморфны как векторные пространства, произвольно выбранный изоморфизм между ними не является компонентой морфизма, пока не выполнено M4. Иначе класс перестаёт быть результатом переноса исходного квадратичного элемента.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3.4. Забытый Dom</w:t>
            </w:r>
          </w:p>
          <w:p>
            <w:pPr>
              <w:spacing w:line="252" w:lineRule="auto" w:after="0"/>
              <w:jc w:val="both"/>
            </w:pPr>
            <w:r>
              <w:rPr>
                <w:rFonts w:ascii="Liberation Serif" w:hAnsi="Liberation Serif" w:eastAsia="Liberation Serif"/>
                <w:b w:val="0"/>
                <w:i w:val="0"/>
                <w:sz w:val="18"/>
              </w:rPr>
              <w:t>Карта Φ может сохранять формулу произведения на общей части областей, но переводить допустимую пару в запрещённую. Тогда правая часть M1 не определена. Сохранение Dom является частью морфизма, а не последующей проверкой.</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3.5. O_B не детектирует ассоциатор</w:t>
            </w:r>
          </w:p>
          <w:p>
            <w:pPr>
              <w:spacing w:line="252" w:lineRule="auto" w:after="0"/>
              <w:jc w:val="both"/>
            </w:pPr>
            <w:r>
              <w:rPr>
                <w:rFonts w:ascii="Liberation Serif" w:hAnsi="Liberation Serif" w:eastAsia="Liberation Serif"/>
                <w:b w:val="0"/>
                <w:i w:val="0"/>
                <w:sz w:val="18"/>
              </w:rPr>
              <w:t>Можно выбрать Ψ² сюръективной, так что O_B=0, в неассоциативной алгебре. Обратно, в ассоциативной алгебре бедный язык F² даёт O_B≠0. Следовательно, функтор O_B не является функтором ассоциатора без отдельной карты β_Ass.</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3.6. Неестественный выбор базиса</w:t>
            </w:r>
          </w:p>
          <w:p>
            <w:pPr>
              <w:spacing w:line="252" w:lineRule="auto" w:after="0"/>
              <w:jc w:val="both"/>
            </w:pPr>
            <w:r>
              <w:rPr>
                <w:rFonts w:ascii="Liberation Serif" w:hAnsi="Liberation Serif" w:eastAsia="Liberation Serif"/>
                <w:b w:val="0"/>
                <w:i w:val="0"/>
                <w:sz w:val="18"/>
              </w:rPr>
              <w:t>Если φ_X меняет знак, а назначенная вручную «внешняя» идентификация классов знак не меняет, квадрат M4 не коммутирует. Инвариантность относительно изоморфизма требует естественной, а не одинаково названной карты.</w:t>
            </w:r>
          </w:p>
        </w:tc>
      </w:tr>
    </w:tbl>
    <w:p>
      <w:pPr>
        <w:widowControl/>
        <w:spacing w:after="0"/>
      </w:pPr>
    </w:p>
    <w:p>
      <w:pPr>
        <w:pStyle w:val="Heading1"/>
        <w:pageBreakBefore w:val="0"/>
        <w:widowControl/>
        <w:keepNext/>
      </w:pPr>
      <w:r>
        <w:rPr>
          <w:rFonts w:ascii="Liberation Sans" w:hAnsi="Liberation Sans" w:eastAsia="Liberation Sans"/>
          <w:b/>
          <w:color w:val="17365D"/>
          <w:sz w:val="36"/>
        </w:rPr>
        <w:t>12. Глава 4. Градуированная пакетная алгебра и строгий селектор</w:t>
      </w:r>
    </w:p>
    <w:tbl>
      <w:tblPr>
        <w:tblW w:type="auto" w:w="0"/>
        <w:jc w:val="center"/>
        <w:tblLayout w:type="fixed"/>
        <w:tblLook w:firstColumn="1" w:firstRow="1" w:lastColumn="0" w:lastRow="0" w:noHBand="0" w:noVBand="1" w:val="04A0"/>
      </w:tblPr>
      <w:tblGrid>
        <w:gridCol w:w="4876"/>
        <w:gridCol w:w="4876"/>
      </w:tblGrid>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ОНТОЛОГИЯ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Предсказательный реперный метод получает математический смысл только как композиция инвариантов и барьеров: проективная гармония оценивает конфигурацию точек, D/Dom удостоверяет допустимость, а NAPG-обструкция проверяет внутреннюю выразимость выбранного языка.</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ГНОСЕОЛОГИЯ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Ни одна числовая близость не даёт знания сама по себе. Знание возникает из инвариантности, устойчивости к допустимому переносу, контроля полюсов и явного правила воздержания.</w:t>
            </w:r>
          </w:p>
        </w:tc>
      </w:tr>
      <w:tr>
        <w:trPr>
          <w:cantSplit/>
        </w:trPr>
        <w:tc>
          <w:tcPr>
            <w:tcW w:type="dxa" w:w="1757"/>
            <w:shd w:fill="17365D"/>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ФЕНОМЕНОЛОГИЯ</w:t>
            </w:r>
          </w:p>
        </w:tc>
        <w:tc>
          <w:tcPr>
            <w:tcW w:type="dxa" w:w="7597"/>
            <w:shd w:fill="EEF3F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 данных метод проявляется как множество кандидатов, которое сужается при улучшении измерений и не меняет структурного вердикта при смене проективных координат или базиса NAPG.</w:t>
            </w:r>
          </w:p>
        </w:tc>
      </w:tr>
      <w:tr>
        <w:trPr>
          <w:cantSplit/>
        </w:trPr>
        <w:tc>
          <w:tcPr>
            <w:tcW w:type="dxa" w:w="1757"/>
            <w:shd w:fill="9C6B18"/>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jc w:val="center"/>
            </w:pPr>
            <w:r>
              <w:rPr>
                <w:rFonts w:ascii="Liberation Sans" w:hAnsi="Liberation Sans" w:eastAsia="Liberation Sans"/>
                <w:b/>
                <w:i w:val="0"/>
                <w:color w:val="FFFFFF"/>
                <w:sz w:val="17"/>
              </w:rPr>
              <w:t>ГРАНИЦА</w:t>
            </w:r>
          </w:p>
        </w:tc>
        <w:tc>
          <w:tcPr>
            <w:tcW w:type="dxa" w:w="7597"/>
            <w:shd w:fill="F5EBD3"/>
            <w:tcMar>
              <w:top w:w="100" w:type="dxa"/>
              <w:start w:w="130" w:type="dxa"/>
              <w:bottom w:w="100" w:type="dxa"/>
              <w:end w:w="130" w:type="dxa"/>
            </w:tcMar>
            <w:tcBorders>
              <w:top w:val="single" w:sz="4" w:color="B7C9DD"/>
              <w:left w:val="single" w:sz="4" w:color="B7C9DD"/>
              <w:bottom w:val="single" w:sz="4" w:color="B7C9DD"/>
              <w:right w:val="single" w:sz="4" w:color="B7C9DD"/>
            </w:tcBorders>
            <w:vAlign w:val="center"/>
          </w:tcPr>
          <w:p>
            <w:pPr>
              <w:spacing w:line="247" w:lineRule="auto"/>
              <w:jc w:val="both"/>
            </w:pPr>
            <w:r>
              <w:rPr>
                <w:rFonts w:ascii="Liberation Serif" w:hAnsi="Liberation Serif" w:eastAsia="Liberation Serif"/>
                <w:b w:val="0"/>
                <w:i w:val="0"/>
                <w:sz w:val="17"/>
              </w:rPr>
              <w:t>Выпуск строит селектор структурной допустимости, а не теорему о наступлении физических событий. Статистическая калибровка, причинность и независимая внешняя проверка остаются последующими слоями.</w:t>
            </w:r>
          </w:p>
        </w:tc>
      </w:tr>
    </w:tbl>
    <w:p>
      <w:pPr>
        <w:widowControl/>
        <w:spacing w:after="0"/>
      </w:pPr>
    </w:p>
    <w:p>
      <w:pPr>
        <w:pStyle w:val="Heading2"/>
        <w:widowControl/>
        <w:keepNext/>
      </w:pPr>
      <w:r>
        <w:rPr>
          <w:rFonts w:ascii="Liberation Sans" w:hAnsi="Liberation Sans" w:eastAsia="Liberation Sans"/>
          <w:b/>
          <w:color w:val="2F5597"/>
          <w:sz w:val="26"/>
        </w:rPr>
        <w:t>12.1. Градуированная операция и ассоциатор</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4.1. Градуированная пакетная алгебра  [DEF-A]</w:t>
            </w:r>
          </w:p>
          <w:p>
            <w:pPr>
              <w:spacing w:line="252" w:lineRule="auto"/>
              <w:jc w:val="both"/>
            </w:pPr>
            <w:r>
              <w:rPr>
                <w:rFonts w:ascii="Liberation Serif" w:hAnsi="Liberation Serif" w:eastAsia="Liberation Serif"/>
                <w:b w:val="0"/>
                <w:i w:val="0"/>
                <w:sz w:val="18"/>
              </w:rPr>
              <w:t>Градуированной пакетной алгеброй называется (𝕂,𝒜•,⊙,𝔊), где 𝒜•=⨁_{p∈Γ}𝒜ᵖ, а для каждой допустимой пары степеней (p,q) задана билинейная карта ⊙_{p,q}:Dom_{p,q}→𝒜^{χ(p,q)}. Операция может быть частичной по Dom и не обязана быть ассоциативной, коммутативной, альтернативной или унитальной.</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Ass_⊙(x,y,z)=(x⊙y)⊙z−x⊙(y⊙z).</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(T2-F007)</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4.1. Трёхлинейность на общей области  [THM]</w:t>
            </w:r>
          </w:p>
          <w:p>
            <w:pPr>
              <w:spacing w:line="252" w:lineRule="auto"/>
              <w:jc w:val="both"/>
            </w:pPr>
            <w:r>
              <w:rPr>
                <w:rFonts w:ascii="Liberation Serif" w:hAnsi="Liberation Serif" w:eastAsia="Liberation Serif"/>
                <w:b w:val="0"/>
                <w:i w:val="0"/>
                <w:sz w:val="18"/>
              </w:rPr>
              <w:t>Если обе скобочные ветви определены на линейном подпространстве T_Ass⊆𝒜•⊗³ и ⊙ билинейна, то Ass_⊙:T_Ass→𝒜• является линейной по формальным тройкам и трёхлинейной по аргументам на прямоугольных доменных компонентах.</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Каждая ветвь является композицией билинейных карт и потому трёхлинейна на общей области. Разность трёхлинейных отображений трёхлинейна. □</w:t>
      </w:r>
    </w:p>
    <w:p>
      <w:pPr>
        <w:pStyle w:val="Heading2"/>
        <w:widowControl/>
        <w:keepNext/>
      </w:pPr>
      <w:r>
        <w:rPr>
          <w:rFonts w:ascii="Liberation Sans" w:hAnsi="Liberation Sans" w:eastAsia="Liberation Sans"/>
          <w:b/>
          <w:color w:val="2F5597"/>
          <w:sz w:val="26"/>
        </w:rPr>
        <w:t>12.2. Формальный квадратичный язык</w:t>
      </w:r>
    </w:p>
    <w:p>
      <w:pPr>
        <w:widowControl/>
        <w:spacing w:after="100" w:line="259" w:lineRule="auto"/>
        <w:ind w:firstLine="397"/>
        <w:jc w:val="both"/>
      </w:pPr>
      <w:r>
        <w:rPr>
          <w:rFonts w:ascii="Liberation Serif" w:hAnsi="Liberation Serif" w:eastAsia="Liberation Serif"/>
          <w:b w:val="0"/>
          <w:i w:val="0"/>
          <w:sz w:val="20"/>
        </w:rPr>
        <w:t>Пусть Syn₂(N) — множество типизированных синтаксических деревьев, листьями которых являются элементы ℛ и допустимые генераторы 𝔊, а внутренними вершинами — линейные операции и одно применение ⊙. Определим F²_N как свободное 𝕂-пространство на Syn₂(N), факторизованное по линейным синтаксическим отношениям. Эта конструкция делает фразу «формальные выражения степени не выше двух» математически воспроизводимой.</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F²_N := 𝕂[Syn₂(N)] / J_syn,      Ψ²_N([t]) := eval_N(t).</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(T2-F008)</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4.2. Критерий квадратичной полноты  [THM]</w:t>
            </w:r>
          </w:p>
          <w:p>
            <w:pPr>
              <w:spacing w:line="252" w:lineRule="auto"/>
              <w:jc w:val="both"/>
            </w:pPr>
            <w:r>
              <w:rPr>
                <w:rFonts w:ascii="Liberation Serif" w:hAnsi="Liberation Serif" w:eastAsia="Liberation Serif"/>
                <w:b w:val="0"/>
                <w:i w:val="0"/>
                <w:sz w:val="18"/>
              </w:rPr>
              <w:t>Для квадратичного кадра N эквивалентны: (i) каждый элемент X²_N вычисляется допустимым выражением F²_N; (ii) Ψ²_N сюръективна; (iii) O_B(N)=0.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Пункт (i) является определением сюръективности. Фактор X²_N/Im Ψ²_N равен нулю тогда и только тогда, когда Im Ψ²_N=X²_N. □</w:t>
      </w:r>
    </w:p>
    <w:p>
      <w:pPr>
        <w:pStyle w:val="Heading2"/>
        <w:widowControl/>
        <w:keepNext/>
      </w:pPr>
      <w:r>
        <w:rPr>
          <w:rFonts w:ascii="Liberation Sans" w:hAnsi="Liberation Sans" w:eastAsia="Liberation Sans"/>
          <w:b/>
          <w:color w:val="2F5597"/>
          <w:sz w:val="26"/>
        </w:rPr>
        <w:t>12.3. Явные нетривиальные модели</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4.1. Двухмерная неассоциативная модель  [MODEL]</w:t>
            </w:r>
          </w:p>
          <w:p>
            <w:pPr>
              <w:spacing w:line="252" w:lineRule="auto"/>
              <w:jc w:val="both"/>
            </w:pPr>
            <w:r>
              <w:rPr>
                <w:rFonts w:ascii="Liberation Serif" w:hAnsi="Liberation Serif" w:eastAsia="Liberation Serif"/>
                <w:b w:val="0"/>
                <w:i w:val="0"/>
                <w:sz w:val="18"/>
              </w:rPr>
              <w:t>Пусть 𝒜=Span_𝕂{e₁,e₂}, e₁⊙e₁=e₂, e₂⊙e₁=e₁, а остальные произведения нулевые. Тогда Ass_⊙(e₁,e₁,e₁)=e₁≠0. При ℛ=𝒜 и полном квадратичном языке Ψ² сюръективна, поэтому O_B=0 при ненулевом ассоциаторе.</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(e₁⊙e₁)⊙e₁=e₂⊙e₁=e₁, тогда как e₁⊙(e₁⊙e₁)=e₁⊙e₂=0. Полный язык содержит все базисные квадратичные выражения, поэтому его образ совпадает с X². □</w:t>
      </w:r>
    </w:p>
    <w:tbl>
      <w:tblPr>
        <w:tblW w:type="auto" w:w="0"/>
        <w:jc w:val="center"/>
        <w:tblLayout w:type="fixed"/>
        <w:tblLook w:firstColumn="1" w:firstRow="1" w:lastColumn="0" w:lastRow="0" w:noHBand="0" w:noVBand="1" w:val="04A0"/>
      </w:tblPr>
      <w:tblGrid>
        <w:gridCol w:w="9354"/>
      </w:tblGrid>
      <w:tr>
        <w:tc>
          <w:tcPr>
            <w:tcW w:type="dxa" w:w="9752"/>
            <w:shd w:fill="F5EBD3"/>
            <w:tcMar>
              <w:top w:w="150" w:type="dxa"/>
              <w:start w:w="180" w:type="dxa"/>
              <w:bottom w:w="150" w:type="dxa"/>
              <w:end w:w="180" w:type="dxa"/>
            </w:tcMar>
            <w:tcBorders>
              <w:top w:val="single" w:sz="8" w:color="9C6B18"/>
              <w:left w:val="single" w:sz="8" w:color="9C6B18"/>
              <w:bottom w:val="single" w:sz="8" w:color="9C6B18"/>
              <w:right w:val="single" w:sz="8" w:color="9C6B18"/>
            </w:tcBorders>
          </w:tcPr>
          <w:p>
            <w:r>
              <w:rPr>
                <w:rFonts w:ascii="Liberation Sans" w:hAnsi="Liberation Sans" w:eastAsia="Liberation Sans"/>
                <w:b/>
                <w:i w:val="0"/>
                <w:color w:val="9C6B18"/>
                <w:sz w:val="20"/>
              </w:rPr>
              <w:t>Пример 4.2. Ассоциативная модель с языковой обструкцией  [MODEL]</w:t>
            </w:r>
          </w:p>
          <w:p>
            <w:pPr>
              <w:spacing w:line="252" w:lineRule="auto"/>
              <w:jc w:val="both"/>
            </w:pPr>
            <w:r>
              <w:rPr>
                <w:rFonts w:ascii="Liberation Serif" w:hAnsi="Liberation Serif" w:eastAsia="Liberation Serif"/>
                <w:b w:val="0"/>
                <w:i w:val="0"/>
                <w:sz w:val="18"/>
              </w:rPr>
              <w:t>Пусть char(𝕂)≠2 и 𝒜=𝕂[t]/(t²) с обычным ассоциативным умножением, ℛ=𝒜, X²=Span{1,t}, а F² выбран так, что Im Ψ²=Span{1}. Тогда O_B≅Span{[t]}≠0 при Ass_⊙=0.</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Ассоциативность наследуется от фактор-кольца. Фактор двумерного X² по одномерному образу имеет размерность один. □</w:t>
      </w:r>
    </w:p>
    <w:p>
      <w:pPr>
        <w:pStyle w:val="Heading2"/>
        <w:widowControl/>
        <w:keepNext/>
      </w:pPr>
      <w:r>
        <w:rPr>
          <w:rFonts w:ascii="Liberation Sans" w:hAnsi="Liberation Sans" w:eastAsia="Liberation Sans"/>
          <w:b/>
          <w:color w:val="2F5597"/>
          <w:sz w:val="26"/>
        </w:rPr>
        <w:t>12.4. Anchored sufficient foundation и строгий Reper</w:t>
      </w:r>
    </w:p>
    <w:p>
      <w:pPr>
        <w:widowControl/>
        <w:spacing w:after="100" w:line="259" w:lineRule="auto"/>
        <w:ind w:firstLine="397"/>
        <w:jc w:val="both"/>
      </w:pPr>
      <w:r>
        <w:rPr>
          <w:rFonts w:ascii="Liberation Serif" w:hAnsi="Liberation Serif" w:eastAsia="Liberation Serif"/>
          <w:b w:val="0"/>
          <w:i w:val="0"/>
          <w:sz w:val="20"/>
        </w:rPr>
        <w:t>Для устранения двусмысленности между D как четвёртой проективной точкой и D как достаточным основанием вводится типизированная конструкция anchored sufficient foundation. Она не меняет каноническую запись (R,I,U;D), но раскрывает внутренний тип D.</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4.2. Якорное достаточное основание  [DEF-A]</w:t>
            </w:r>
          </w:p>
          <w:p>
            <w:pPr>
              <w:spacing w:line="252" w:lineRule="auto"/>
              <w:jc w:val="both"/>
            </w:pPr>
            <w:r>
              <w:rPr>
                <w:rFonts w:ascii="Liberation Serif" w:hAnsi="Liberation Serif" w:eastAsia="Liberation Serif"/>
                <w:b w:val="0"/>
                <w:i w:val="0"/>
                <w:sz w:val="18"/>
              </w:rPr>
              <w:t>Пусть L — двумерное 𝕂-пространство, ℙ(L) — проективная прямая, а 𝔇_Ω — класс доказательных объектов домена Ω. Якорным основанием называется пара D=(d,E_D), где d∈ℙ(L) — проективный якорь, E_D∈𝔇_Ω — доказательный объект. Запишем D̲=d и Valid_Ω(D)∈{0,1}. Типизированный Reper есть ρ=(R,I,U;D), где R,I,U,D̲∈ℙ(L).</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Проективная координата использует D̲; доказательная авторизация использует Valid_Ω(D). Таким образом, одна буква сохраняет авторскую семантику достаточного основания, но математическая запись больше не смешивает точку и документ.</w:t>
      </w:r>
    </w:p>
    <w:p>
      <w:pPr>
        <w:pStyle w:val="Heading2"/>
        <w:widowControl/>
        <w:keepNext/>
      </w:pPr>
      <w:r>
        <w:rPr>
          <w:rFonts w:ascii="Liberation Sans" w:hAnsi="Liberation Sans" w:eastAsia="Liberation Sans"/>
          <w:b/>
          <w:color w:val="2F5597"/>
          <w:sz w:val="26"/>
        </w:rPr>
        <w:t>12.5. Проективно-гармоническая координата</w:t>
      </w:r>
    </w:p>
    <w:p>
      <w:pPr>
        <w:widowControl/>
        <w:spacing w:after="100" w:line="259" w:lineRule="auto"/>
        <w:ind w:firstLine="397"/>
        <w:jc w:val="both"/>
      </w:pPr>
      <w:r>
        <w:rPr>
          <w:rFonts w:ascii="Liberation Serif" w:hAnsi="Liberation Serif" w:eastAsia="Liberation Serif"/>
          <w:b w:val="0"/>
          <w:i w:val="0"/>
          <w:sz w:val="20"/>
        </w:rPr>
        <w:t>Для ненулевых представителей r,i,u,d∈L обозначим [x,y]=det(x,y) относительно любой выбранной ориентации базиса. Отношение детерминантов не зависит от масштаба представителей и от общего множителя при смене базиса.</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λ(ρ)=cr(U,I;R,D̲)=([u,r][i,d])/([u,d][i,r]).</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(T2-F009)</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Область определения состоит из четвёрок, для которых [u,d]≠0 и [i,r]≠0. Для попарно различных точек это условие выполнено. В аффинной карте формула принимает канонический вид ((u−r)(i−d))/((u−d)(i−r)). Для гармонического условия λ=−1 далее предполагается char(𝕂)≠2; в характеристике 2 требуется отдельная формулировка.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4.3. Проективная инвариантность λ  [THM]</w:t>
            </w:r>
          </w:p>
          <w:p>
            <w:pPr>
              <w:spacing w:line="252" w:lineRule="auto"/>
              <w:jc w:val="both"/>
            </w:pPr>
            <w:r>
              <w:rPr>
                <w:rFonts w:ascii="Liberation Serif" w:hAnsi="Liberation Serif" w:eastAsia="Liberation Serif"/>
                <w:b w:val="0"/>
                <w:i w:val="0"/>
                <w:sz w:val="18"/>
              </w:rPr>
              <w:t>Для любого g∈PGL(L) и любого ρ из области определения выполняется λ(gρ)=λ(ρ). В частности, условие λ=−1 является проективным инвариантом.</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Выберем линейного представителя G∈GL(L) преобразования g. Для любых x,y имеем det(Gx,Gy)=det(G)det(x,y). В числителе и знаменателе формулы λ возникает по два одинаковых множителя det(G), которые сокращаются. Масштабы отдельных представителей также сокращаются попарно. □</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4.1. Полюс кросс-соотношения</w:t>
            </w:r>
          </w:p>
          <w:p>
            <w:pPr>
              <w:spacing w:line="252" w:lineRule="auto" w:after="0"/>
              <w:jc w:val="both"/>
            </w:pPr>
            <w:r>
              <w:rPr>
                <w:rFonts w:ascii="Liberation Serif" w:hAnsi="Liberation Serif" w:eastAsia="Liberation Serif"/>
                <w:b w:val="0"/>
                <w:i w:val="0"/>
                <w:sz w:val="18"/>
              </w:rPr>
              <w:t>Если U=D̲ или I=R, знаменатель равен нулю. Числовой λ не определён; присвоение ему большого значения или нуля является редакционной подменой Dom.</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4.2. Гармония без основания</w:t>
            </w:r>
          </w:p>
          <w:p>
            <w:pPr>
              <w:spacing w:line="252" w:lineRule="auto" w:after="0"/>
              <w:jc w:val="both"/>
            </w:pPr>
            <w:r>
              <w:rPr>
                <w:rFonts w:ascii="Liberation Serif" w:hAnsi="Liberation Serif" w:eastAsia="Liberation Serif"/>
                <w:b w:val="0"/>
                <w:i w:val="0"/>
                <w:sz w:val="18"/>
              </w:rPr>
              <w:t>Можно выбрать четыре точки с λ=−1 и одновременно Valid_Ω(D)=0. Проективная конфигурация гармонична, но структурный селектор обязан воздержаться: D/Dom-барьер не пройден.</w:t>
            </w:r>
          </w:p>
        </w:tc>
      </w:tr>
    </w:tbl>
    <w:p>
      <w:pPr>
        <w:widowControl/>
        <w:spacing w:after="0"/>
      </w:pPr>
    </w:p>
    <w:p>
      <w:pPr>
        <w:pStyle w:val="Heading2"/>
        <w:widowControl/>
        <w:keepNext/>
      </w:pPr>
      <w:r>
        <w:rPr>
          <w:rFonts w:ascii="Liberation Sans" w:hAnsi="Liberation Sans" w:eastAsia="Liberation Sans"/>
          <w:b/>
          <w:color w:val="2F5597"/>
          <w:sz w:val="26"/>
        </w:rPr>
        <w:t>12.6. Строгий структурный селектор предсказательного метода</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4.3. Структурный селектор  [DEF-A]</w:t>
            </w:r>
          </w:p>
          <w:p>
            <w:pPr>
              <w:spacing w:line="252" w:lineRule="auto"/>
              <w:jc w:val="both"/>
            </w:pPr>
            <w:r>
              <w:rPr>
                <w:rFonts w:ascii="Liberation Serif" w:hAnsi="Liberation Serif" w:eastAsia="Liberation Serif"/>
                <w:b w:val="0"/>
                <w:i w:val="0"/>
                <w:sz w:val="18"/>
              </w:rPr>
              <w:t>Пусть N∈NAPG_q, ρ=(R,I,U;D) — типизированный Reper и x∈X²_N — квадратичный тест кандидата. Определим Sel_N(ρ,x)=1 тогда и только тогда, когда: (S1) ρ принадлежит Dom λ; (S2) Valid_Ω(D)=1; (S3) λ(ρ)=−1; (S4) Π_N(x)=0. В остальных случаях Sel_N=0, а при нарушении S1 или отсутствующем D вводится отдельный статус ABSTAIN, не смешиваемый с отрицательным вердиктом.</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Sel_N(ρ,x)=1 ⇔ Dom_λ(ρ) ∧ Valid_Ω(D) ∧ λ(ρ)=−1 ∧ Π_N(x)=0.</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(T2-F010)</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Условие Π_N(x)=0 означает x∈Im Ψ²_N: выбранный квадратичный тест воспроизводим формальным языком кадра. Оно не означает Ass_⊙=0 и не доказывает физическую реализуемость кандидата.</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4.4. Двойная инвариантность селектора  [THM]</w:t>
            </w:r>
          </w:p>
          <w:p>
            <w:pPr>
              <w:spacing w:line="252" w:lineRule="auto"/>
              <w:jc w:val="both"/>
            </w:pPr>
            <w:r>
              <w:rPr>
                <w:rFonts w:ascii="Liberation Serif" w:hAnsi="Liberation Serif" w:eastAsia="Liberation Serif"/>
                <w:b w:val="0"/>
                <w:i w:val="0"/>
                <w:sz w:val="18"/>
              </w:rPr>
              <w:t>Пусть g∈PGL(L), f:N→N′ — изоморфизм NAPG_q, а доказательный перенос D↦gD сохраняет Valid_Ω. Тогда для всех допустимых (ρ,x) выполняется Sel_N(ρ,x)=Sel_N′(gρ,φ_X(x)).</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S1 и S3 сохраняются проективной инвариантностью λ. S2 сохраняется по гипотезе доказательного переноса. Для S4 используем M4: Π_N′(φ_Xx)=φ_O(Π_Nx). Поскольку φ_O — изоморфизм, Π_Nx=0 тогда и только тогда, когда Π_N′φ_Xx=0. Все четыре условия эквивалентны после переноса. □</w:t>
      </w:r>
    </w:p>
    <w:p>
      <w:pPr>
        <w:widowControl/>
        <w:jc w:val="center"/>
      </w:pPr>
      <w:r>
        <w:drawing>
          <wp:inline xmlns:a="http://schemas.openxmlformats.org/drawingml/2006/main" xmlns:pic="http://schemas.openxmlformats.org/drawingml/2006/picture">
            <wp:extent cx="5832000" cy="3087529"/>
            <wp:docPr id="8" name="Picture 8"/>
            <wp:cNvGraphicFramePr>
              <a:graphicFrameLocks noChangeAspect="1"/>
            </wp:cNvGraphicFramePr>
            <a:graphic>
              <a:graphicData uri="http://schemas.openxmlformats.org/drawingml/2006/picture">
                <pic:pic>
                  <pic:nvPicPr>
                    <pic:cNvPr id="0" name="diag_double_inv_v02.png"/>
                    <pic:cNvPicPr/>
                  </pic:nvPicPr>
                  <pic:blipFill>
                    <a:blip r:embed="rId20"/>
                    <a:stretch>
                      <a:fillRect/>
                    </a:stretch>
                  </pic:blipFill>
                  <pic:spPr>
                    <a:xfrm>
                      <a:off x="0" y="0"/>
                      <a:ext cx="5832000" cy="3087529"/>
                    </a:xfrm>
                    <a:prstGeom prst="rect"/>
                  </pic:spPr>
                </pic:pic>
              </a:graphicData>
            </a:graphic>
          </wp:inline>
        </w:drawing>
      </w:r>
    </w:p>
    <w:p>
      <w:pPr>
        <w:widowControl/>
        <w:jc w:val="center"/>
      </w:pPr>
      <w:r>
        <w:rPr>
          <w:rFonts w:ascii="Liberation Serif" w:hAnsi="Liberation Serif" w:eastAsia="Liberation Serif"/>
          <w:b w:val="0"/>
          <w:i/>
          <w:color w:val="5B6573"/>
          <w:sz w:val="17"/>
        </w:rPr>
        <w:t>Рисунок 4. Двойная инвариантность структурного селектора. Собственная схема Тома II.</w:t>
      </w:r>
    </w:p>
    <w:p>
      <w:pPr>
        <w:pStyle w:val="Heading2"/>
        <w:widowControl/>
        <w:keepNext/>
      </w:pPr>
      <w:r>
        <w:rPr>
          <w:rFonts w:ascii="Liberation Sans" w:hAnsi="Liberation Sans" w:eastAsia="Liberation Sans"/>
          <w:b/>
          <w:color w:val="2F5597"/>
          <w:sz w:val="26"/>
        </w:rPr>
        <w:t>12.7. Приближённая гармония и локальная устойчивость</w:t>
      </w:r>
    </w:p>
    <w:p>
      <w:pPr>
        <w:widowControl/>
        <w:spacing w:after="100" w:line="259" w:lineRule="auto"/>
        <w:ind w:firstLine="397"/>
        <w:jc w:val="both"/>
      </w:pPr>
      <w:r>
        <w:rPr>
          <w:rFonts w:ascii="Liberation Serif" w:hAnsi="Liberation Serif" w:eastAsia="Liberation Serif"/>
          <w:b w:val="0"/>
          <w:i w:val="0"/>
          <w:sz w:val="20"/>
        </w:rPr>
        <w:t>Для 𝕂=ℝ или ℂ с фиксированной абсолютной величиной определим δ_truth(ρ)=|λ(ρ)+1|. Этот дефект имеет смысл только внутри Dom λ. Для τ≥0 введём τ-гармонический сектор H_τ={ρ:δ_truth(ρ)≤τ}.</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δ_truth(ρ)=|λ(ρ)+1|,      H_τ={ρ∈Dom λ : δ_truth(ρ)≤τ}.</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(T2-F011)</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Теорема 4.5. Локальная липшицева устойчивость  [THM]</w:t>
            </w:r>
          </w:p>
          <w:p>
            <w:pPr>
              <w:spacing w:line="252" w:lineRule="auto"/>
              <w:jc w:val="both"/>
            </w:pPr>
            <w:r>
              <w:rPr>
                <w:rFonts w:ascii="Liberation Serif" w:hAnsi="Liberation Serif" w:eastAsia="Liberation Serif"/>
                <w:b w:val="0"/>
                <w:i w:val="0"/>
                <w:sz w:val="18"/>
              </w:rPr>
              <w:t>Пусть Ω⊂ℝ⁴ — компактное выпуклое множество аффинных координат (u,i,r,d), на котором |u−d|≥m&gt;0 и |i−r|≥m&gt;0. Тогда существует конечная константа L_Ω такая, что |δ_truth(q)−δ_truth(q′)|≤L_Ω‖q−q′‖ для всех q,q′∈Ω, соединяемых отрезком внутри области определения.</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Рациональная функция λ гладка на открытом множестве, где знаменатель ненулевой. На компактном Ω её градиент ограничен: L_Ω:=sup_{q∈Ω}‖∇λ(q)‖&lt;∞. По теореме о среднем |λ(q)−λ(q′)|≤L_Ω‖q−q′‖. Неравенство ||a+1|−|b+1||≤|a−b| завершает доказательство. □</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ОГРАНИЧЕНИЕ УСТОЙЧИВОСТИ</w:t>
            </w:r>
          </w:p>
          <w:p>
            <w:pPr>
              <w:spacing w:line="252" w:lineRule="auto" w:after="0"/>
              <w:jc w:val="both"/>
            </w:pPr>
            <w:r>
              <w:rPr>
                <w:rFonts w:ascii="Liberation Serif" w:hAnsi="Liberation Serif" w:eastAsia="Liberation Serif"/>
                <w:b w:val="0"/>
                <w:i w:val="0"/>
                <w:sz w:val="18"/>
              </w:rPr>
              <w:t>Константа L_Ω может резко возрастать при приближении к полюсам u=d или i=r. Поэтому малый численный шум не гарантирует малую ошибку λ без явной оценки расстояния до вырожденного множества. В программном слое KLT это требует отдельного pole-margin, а не одного δ_truth.</w:t>
            </w:r>
          </w:p>
        </w:tc>
      </w:tr>
    </w:tbl>
    <w:p>
      <w:pPr>
        <w:widowControl/>
        <w:spacing w:after="0"/>
      </w:pPr>
    </w:p>
    <w:p>
      <w:pPr>
        <w:pStyle w:val="Heading2"/>
        <w:widowControl/>
        <w:keepNext/>
      </w:pPr>
      <w:r>
        <w:rPr>
          <w:rFonts w:ascii="Liberation Sans" w:hAnsi="Liberation Sans" w:eastAsia="Liberation Sans"/>
          <w:b/>
          <w:color w:val="2F5597"/>
          <w:sz w:val="26"/>
        </w:rPr>
        <w:t>12.8. Интервальный Reper и правило воздержания</w:t>
      </w:r>
    </w:p>
    <w:tbl>
      <w:tblPr>
        <w:tblW w:type="auto" w:w="0"/>
        <w:jc w:val="center"/>
        <w:tblLayout w:type="fixed"/>
        <w:tblLook w:firstColumn="1" w:firstRow="1" w:lastColumn="0" w:lastRow="0" w:noHBand="0" w:noVBand="1" w:val="04A0"/>
      </w:tblPr>
      <w:tblGrid>
        <w:gridCol w:w="9354"/>
      </w:tblGrid>
      <w:tr>
        <w:tc>
          <w:tcPr>
            <w:tcW w:type="dxa" w:w="9752"/>
            <w:shd w:fill="EEF3F8"/>
            <w:tcMar>
              <w:top w:w="150" w:type="dxa"/>
              <w:start w:w="180" w:type="dxa"/>
              <w:bottom w:w="150" w:type="dxa"/>
              <w:end w:w="180" w:type="dxa"/>
            </w:tcMar>
            <w:tcBorders>
              <w:top w:val="single" w:sz="8" w:color="2F5597"/>
              <w:left w:val="single" w:sz="8" w:color="2F5597"/>
              <w:bottom w:val="single" w:sz="8" w:color="2F5597"/>
              <w:right w:val="single" w:sz="8" w:color="2F5597"/>
            </w:tcBorders>
          </w:tcPr>
          <w:p>
            <w:r>
              <w:rPr>
                <w:rFonts w:ascii="Liberation Sans" w:hAnsi="Liberation Sans" w:eastAsia="Liberation Sans"/>
                <w:b/>
                <w:i w:val="0"/>
                <w:color w:val="2F5597"/>
                <w:sz w:val="20"/>
              </w:rPr>
              <w:t>Определение 4.4. Интервальный образ λ  [DEF-A]</w:t>
            </w:r>
          </w:p>
          <w:p>
            <w:pPr>
              <w:spacing w:line="252" w:lineRule="auto"/>
              <w:jc w:val="both"/>
            </w:pPr>
            <w:r>
              <w:rPr>
                <w:rFonts w:ascii="Liberation Serif" w:hAnsi="Liberation Serif" w:eastAsia="Liberation Serif"/>
                <w:b w:val="0"/>
                <w:i w:val="0"/>
                <w:sz w:val="18"/>
              </w:rPr>
              <w:t>Пусть B⊂Dom λ — множество всех четвёрок, совместимых с погрешностями исходных данных. Определим Λ(B)={λ(q):q∈B}. Кандидат τ-сертифицирован, если sup_{z∈Λ(B)}|z+1|≤τ и inf_{q∈B}|u−d||i−r|&gt;0. Если B пересекает полюс, статус равен ABSTAIN_POLE.</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Лемма 4.2. Монотонность уточнения  [THM]</w:t>
            </w:r>
          </w:p>
          <w:p>
            <w:pPr>
              <w:spacing w:line="252" w:lineRule="auto"/>
              <w:jc w:val="both"/>
            </w:pPr>
            <w:r>
              <w:rPr>
                <w:rFonts w:ascii="Liberation Serif" w:hAnsi="Liberation Serif" w:eastAsia="Liberation Serif"/>
                <w:b w:val="0"/>
                <w:i w:val="0"/>
                <w:sz w:val="18"/>
              </w:rPr>
              <w:t>Если B′⊆B, то Λ(B′)⊆Λ(B). Следовательно, верхняя граница sup_{Λ(B′)}|z+1| не превосходит соответствующей границы для B.</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Образ под отображением сохраняет включение множеств. Монотонность супремума по включению следует непосредственно. □</w:t>
      </w:r>
    </w:p>
    <w:p>
      <w:pPr>
        <w:pStyle w:val="Heading2"/>
        <w:widowControl/>
        <w:keepNext/>
      </w:pPr>
      <w:r>
        <w:rPr>
          <w:rFonts w:ascii="Liberation Sans" w:hAnsi="Liberation Sans" w:eastAsia="Liberation Sans"/>
          <w:b/>
          <w:color w:val="2F5597"/>
          <w:sz w:val="26"/>
        </w:rPr>
        <w:t>12.9. Множество структурно допустимых кандидатов</w:t>
      </w:r>
    </w:p>
    <w:p>
      <w:pPr>
        <w:widowControl/>
        <w:spacing w:after="100" w:line="259" w:lineRule="auto"/>
        <w:ind w:firstLine="397"/>
        <w:jc w:val="both"/>
      </w:pPr>
      <w:r>
        <w:rPr>
          <w:rFonts w:ascii="Liberation Serif" w:hAnsi="Liberation Serif" w:eastAsia="Liberation Serif"/>
          <w:b w:val="0"/>
          <w:i w:val="0"/>
          <w:sz w:val="20"/>
        </w:rPr>
        <w:t>Пусть Cand(y) — множество кандидатов состояния или события, порождённых наблюдением y, причём каждому c сопоставлены Reper ρ_c, квадратичный тест x_c∈X²_N и доказательное основание D_c. Определим точное и робастное множества структурной допустимости.</w:t>
      </w: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C₀(y;N)={c∈Cand(y): Sel_N(ρ_c,x_c)=1}.</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(T2-F012)</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c>
          <w:tcPr>
            <w:tcW w:type="dxa" w:w="82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center"/>
            </w:pPr>
            <w:r>
              <w:rPr>
                <w:rFonts w:ascii="DejaVu Sans" w:hAnsi="DejaVu Sans" w:eastAsia="DejaVu Sans"/>
                <w:b w:val="0"/>
                <w:i w:val="0"/>
                <w:sz w:val="19"/>
              </w:rPr>
              <w:t>C_{τ,η}(y;N)={c: Valid(D_c), δ_truth(ρ_c)≤τ, dist(x_c,Im Ψ²_N)≤η}.</w:t>
            </w:r>
          </w:p>
        </w:tc>
        <w:tc>
          <w:tcPr>
            <w:tcW w:type="dxa" w:w="1077"/>
            <w:shd w:fill="F4F4F4"/>
            <w:tcMar>
              <w:top w:w="100" w:type="dxa"/>
              <w:start w:w="140" w:type="dxa"/>
              <w:bottom w:w="100" w:type="dxa"/>
              <w:end w:w="140" w:type="dxa"/>
            </w:tcMar>
            <w:tcBorders>
              <w:top w:val="single" w:sz="4" w:color="D9D9D9"/>
              <w:left w:val="single" w:sz="4" w:color="D9D9D9"/>
              <w:bottom w:val="single" w:sz="4" w:color="D9D9D9"/>
              <w:right w:val="single" w:sz="4" w:color="D9D9D9"/>
            </w:tcBorders>
          </w:tcPr>
          <w:p>
            <w:pPr>
              <w:jc w:val="right"/>
            </w:pPr>
            <w:r>
              <w:rPr>
                <w:rFonts w:ascii="Liberation Serif" w:hAnsi="Liberation Serif" w:eastAsia="Liberation Serif"/>
                <w:b w:val="0"/>
                <w:i w:val="0"/>
                <w:sz w:val="17"/>
              </w:rPr>
              <w:t>(T2-F013)</w:t>
            </w:r>
          </w:p>
        </w:tc>
      </w:tr>
    </w:tbl>
    <w:p>
      <w:pPr>
        <w:widowControl/>
        <w:spacing w:after="0"/>
      </w:pPr>
    </w:p>
    <w:p>
      <w:pPr>
        <w:widowControl/>
        <w:spacing w:after="100" w:line="259" w:lineRule="auto"/>
        <w:ind w:firstLine="397"/>
        <w:jc w:val="both"/>
      </w:pPr>
      <w:r>
        <w:rPr>
          <w:rFonts w:ascii="Liberation Serif" w:hAnsi="Liberation Serif" w:eastAsia="Liberation Serif"/>
          <w:b w:val="0"/>
          <w:i w:val="0"/>
          <w:sz w:val="20"/>
        </w:rPr>
        <w:t>Формула с dist требует нормы на X²_N и потому имеет статус MODEL до выбора аналитического слоя. Точное множество C₀ является чисто алгебраическим. Если C₀ пусто, метод не обязан выбирать «наименее плохой» исход: корректный выход ABSTAIN сообщает о недостаточности текущего языка, домена или основания.</w:t>
      </w:r>
    </w:p>
    <w:tbl>
      <w:tblPr>
        <w:tblW w:type="auto" w:w="0"/>
        <w:jc w:val="center"/>
        <w:tblLayout w:type="fixed"/>
        <w:tblLook w:firstColumn="1" w:firstRow="1" w:lastColumn="0" w:lastRow="0" w:noHBand="0" w:noVBand="1" w:val="04A0"/>
      </w:tblPr>
      <w:tblGrid>
        <w:gridCol w:w="9354"/>
      </w:tblGrid>
      <w:tr>
        <w:tc>
          <w:tcPr>
            <w:tcW w:type="dxa" w:w="9752"/>
            <w:shd w:fill="E2F0D9"/>
            <w:tcMar>
              <w:top w:w="150" w:type="dxa"/>
              <w:start w:w="180" w:type="dxa"/>
              <w:bottom w:w="150" w:type="dxa"/>
              <w:end w:w="180" w:type="dxa"/>
            </w:tcMar>
            <w:tcBorders>
              <w:top w:val="single" w:sz="8" w:color="548235"/>
              <w:left w:val="single" w:sz="8" w:color="548235"/>
              <w:bottom w:val="single" w:sz="8" w:color="548235"/>
              <w:right w:val="single" w:sz="8" w:color="548235"/>
            </w:tcBorders>
          </w:tcPr>
          <w:p>
            <w:r>
              <w:rPr>
                <w:rFonts w:ascii="Liberation Sans" w:hAnsi="Liberation Sans" w:eastAsia="Liberation Sans"/>
                <w:b/>
                <w:i w:val="0"/>
                <w:color w:val="548235"/>
                <w:sz w:val="20"/>
              </w:rPr>
              <w:t>Следствие 4.1. Координатная независимость точного множества  [THM]</w:t>
            </w:r>
          </w:p>
          <w:p>
            <w:pPr>
              <w:spacing w:line="252" w:lineRule="auto"/>
              <w:jc w:val="both"/>
            </w:pPr>
            <w:r>
              <w:rPr>
                <w:rFonts w:ascii="Liberation Serif" w:hAnsi="Liberation Serif" w:eastAsia="Liberation Serif"/>
                <w:b w:val="0"/>
                <w:i w:val="0"/>
                <w:sz w:val="18"/>
              </w:rPr>
              <w:t>При гипотезах Теоремы 4.4 изоморфизм кандидатов c↦c′ индуцирует биекцию C₀(y;N)≅C₀(g y;N′).</w:t>
            </w:r>
          </w:p>
        </w:tc>
      </w:tr>
    </w:tbl>
    <w:p>
      <w:pPr>
        <w:widowControl/>
        <w:spacing w:after="0"/>
      </w:pPr>
    </w:p>
    <w:p>
      <w:pPr>
        <w:widowControl/>
        <w:spacing w:after="100" w:line="252" w:lineRule="auto"/>
        <w:ind w:left="283" w:right="170"/>
        <w:jc w:val="both"/>
      </w:pPr>
      <w:r>
        <w:rPr>
          <w:rFonts w:ascii="Liberation Serif" w:hAnsi="Liberation Serif" w:eastAsia="Liberation Serif"/>
          <w:b/>
          <w:i w:val="0"/>
          <w:sz w:val="19"/>
        </w:rPr>
        <w:t xml:space="preserve">Доказательство. </w:t>
      </w:r>
      <w:r>
        <w:rPr>
          <w:rFonts w:ascii="Liberation Serif" w:hAnsi="Liberation Serif" w:eastAsia="Liberation Serif"/>
          <w:b w:val="0"/>
          <w:i w:val="0"/>
          <w:sz w:val="19"/>
        </w:rPr>
        <w:t>Членство каждого кандидата сохраняется Теоремой 4.4; обратимость g и f даёт обратное соответствие. □</w:t>
      </w:r>
    </w:p>
    <w:p>
      <w:pPr>
        <w:pStyle w:val="Heading2"/>
        <w:widowControl/>
        <w:keepNext/>
      </w:pPr>
      <w:r>
        <w:rPr>
          <w:rFonts w:ascii="Liberation Sans" w:hAnsi="Liberation Sans" w:eastAsia="Liberation Sans"/>
          <w:b/>
          <w:color w:val="2F5597"/>
          <w:sz w:val="26"/>
        </w:rPr>
        <w:t>12.10. Отрицательные результаты и запретные сокращения</w:t>
      </w: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4.3. λ≈−1 не даёт truth-status</w:t>
            </w:r>
          </w:p>
          <w:p>
            <w:pPr>
              <w:spacing w:line="252" w:lineRule="auto" w:after="0"/>
              <w:jc w:val="both"/>
            </w:pPr>
            <w:r>
              <w:rPr>
                <w:rFonts w:ascii="Liberation Serif" w:hAnsi="Liberation Serif" w:eastAsia="Liberation Serif"/>
                <w:b w:val="0"/>
                <w:i w:val="0"/>
                <w:sz w:val="18"/>
              </w:rPr>
              <w:t>Пусть δ_truth мало, но D невалидно или кандидат находится вне предметного Dom. Тогда числовая близость сохраняется, однако Sel=ABSTAIN. Любой автоматический переход «δ_truth мало ⇒ истинно» нарушает S2.</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4.4. O_B=0 не даёт физику</w:t>
            </w:r>
          </w:p>
          <w:p>
            <w:pPr>
              <w:spacing w:line="252" w:lineRule="auto" w:after="0"/>
              <w:jc w:val="both"/>
            </w:pPr>
            <w:r>
              <w:rPr>
                <w:rFonts w:ascii="Liberation Serif" w:hAnsi="Liberation Serif" w:eastAsia="Liberation Serif"/>
                <w:b w:val="0"/>
                <w:i w:val="0"/>
                <w:sz w:val="18"/>
              </w:rPr>
              <w:t>Минимальный комплекс и O_B определены для конечномерной формальной алгебры без топологии, времени и наблюдаемых. Нулевой класс сообщает лишь о квадратичной выразимости выбранным языком.</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4.5. Ассоциатор не живёт в X² автоматически</w:t>
            </w:r>
          </w:p>
          <w:p>
            <w:pPr>
              <w:spacing w:line="252" w:lineRule="auto" w:after="0"/>
              <w:jc w:val="both"/>
            </w:pPr>
            <w:r>
              <w:rPr>
                <w:rFonts w:ascii="Liberation Serif" w:hAnsi="Liberation Serif" w:eastAsia="Liberation Serif"/>
                <w:b w:val="0"/>
                <w:i w:val="0"/>
                <w:sz w:val="18"/>
              </w:rPr>
              <w:t>Ass_⊙ зависит от трёх аргументов и двух скобочных ветвей, тогда как X² построен из квадратичных выражений. Без β_Ass:T_Ass→X² формула Π(Ass_⊙)=0 не типизирована.</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4.6. Нестабильность у полюса</w:t>
            </w:r>
          </w:p>
          <w:p>
            <w:pPr>
              <w:spacing w:line="252" w:lineRule="auto" w:after="0"/>
              <w:jc w:val="both"/>
            </w:pPr>
            <w:r>
              <w:rPr>
                <w:rFonts w:ascii="Liberation Serif" w:hAnsi="Liberation Serif" w:eastAsia="Liberation Serif"/>
                <w:b w:val="0"/>
                <w:i w:val="0"/>
                <w:sz w:val="18"/>
              </w:rPr>
              <w:t>Последовательность четвёрок может сходиться к U=D̲, при этом λ неограниченно растёт. Поэтому глобальной липшицевой константы на всей аффинной области нет.</w:t>
            </w:r>
          </w:p>
        </w:tc>
      </w:tr>
    </w:tbl>
    <w:p>
      <w:pPr>
        <w:widowControl/>
        <w:spacing w:after="0"/>
      </w:pPr>
    </w:p>
    <w:tbl>
      <w:tblPr>
        <w:tblW w:type="auto" w:w="0"/>
        <w:jc w:val="center"/>
        <w:tblLayout w:type="fixed"/>
        <w:tblLook w:firstColumn="1" w:firstRow="1" w:lastColumn="0" w:lastRow="0" w:noHBand="0" w:noVBand="1" w:val="04A0"/>
      </w:tblPr>
      <w:tblGrid>
        <w:gridCol w:w="9354"/>
      </w:tblGrid>
      <w:tr>
        <w:tc>
          <w:tcPr>
            <w:tcW w:type="dxa" w:w="9752"/>
            <w:shd w:fill="FCE4D6"/>
            <w:tcMar>
              <w:top w:w="160" w:type="dxa"/>
              <w:start w:w="180" w:type="dxa"/>
              <w:bottom w:w="160" w:type="dxa"/>
              <w:end w:w="180" w:type="dxa"/>
            </w:tcMar>
            <w:tcBorders>
              <w:top w:val="single" w:sz="10" w:color="9C0006"/>
              <w:left w:val="single" w:sz="10" w:color="9C0006"/>
              <w:bottom w:val="single" w:sz="10" w:color="9C0006"/>
              <w:right w:val="single" w:sz="10" w:color="9C0006"/>
            </w:tcBorders>
          </w:tcPr>
          <w:p>
            <w:pPr>
              <w:spacing w:after="80"/>
            </w:pPr>
            <w:r>
              <w:rPr>
                <w:rFonts w:ascii="Liberation Sans" w:hAnsi="Liberation Sans" w:eastAsia="Liberation Sans"/>
                <w:b/>
                <w:i w:val="0"/>
                <w:color w:val="9C0006"/>
                <w:sz w:val="21"/>
              </w:rPr>
              <w:t>Контрпример 4.7. Сужение кандидатов не равно причинному прогнозу</w:t>
            </w:r>
          </w:p>
          <w:p>
            <w:pPr>
              <w:spacing w:line="252" w:lineRule="auto" w:after="0"/>
              <w:jc w:val="both"/>
            </w:pPr>
            <w:r>
              <w:rPr>
                <w:rFonts w:ascii="Liberation Serif" w:hAnsi="Liberation Serif" w:eastAsia="Liberation Serif"/>
                <w:b w:val="0"/>
                <w:i w:val="0"/>
                <w:sz w:val="18"/>
              </w:rPr>
              <w:t>Даже если C₀(y;N) состоит из одного элемента, это доказывает уникальность внутри заданного формального языка и домена, но не причинное наступление события во внешнем мире.</w:t>
            </w:r>
          </w:p>
        </w:tc>
      </w:tr>
    </w:tbl>
    <w:p>
      <w:pPr>
        <w:widowControl/>
        <w:spacing w:after="0"/>
      </w:pPr>
    </w:p>
    <w:p>
      <w:pPr>
        <w:pStyle w:val="Heading1"/>
        <w:pageBreakBefore w:val="0"/>
        <w:widowControl/>
        <w:keepNext/>
      </w:pPr>
      <w:r>
        <w:rPr>
          <w:rFonts w:ascii="Liberation Sans" w:hAnsi="Liberation Sans" w:eastAsia="Liberation Sans"/>
          <w:b/>
          <w:color w:val="17365D"/>
          <w:sz w:val="36"/>
        </w:rPr>
        <w:t>13. Теоремный пакет v0.2</w:t>
      </w:r>
    </w:p>
    <w:p>
      <w:pPr>
        <w:widowControl/>
        <w:spacing w:after="100" w:line="259" w:lineRule="auto"/>
        <w:ind w:firstLine="397"/>
        <w:jc w:val="both"/>
      </w:pPr>
      <w:r>
        <w:rPr>
          <w:rFonts w:ascii="Liberation Serif" w:hAnsi="Liberation Serif" w:eastAsia="Liberation Serif"/>
          <w:b w:val="0"/>
          <w:i w:val="0"/>
          <w:sz w:val="20"/>
        </w:rPr>
        <w:t>Ниже собраны утверждения, которые считаются закрытыми в алгебраическом объёме выпуска. Они не переносятся автоматически на топологические, аналитические или физические реализации.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ID</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Утверждение</w:t>
            </w:r>
          </w:p>
        </w:tc>
        <w:tc>
          <w:tcPr>
            <w:tcW w:type="dxa" w:w="7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49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Гипотезы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Не доказывает</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Тип ассоциатора</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Совпадение степеней ветвей; общий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Существование всех произведений.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Спуск φ_X на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M3.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Инъективность или полноту детекции.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Def. 3.1; M1–M4.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Геометрическую/аналитическую реализацию.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Функтор O_B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Категория NAPG_q.</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Связь с ассоциатором.</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Естественный C_min и κ</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Минимальный внутренний комплекс.</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Внешнюю Hodge/Hochschild-когомологию.</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Критерий квадратичной полноты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Ψ²:F²→X².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Ассоциативность.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Проективная инвариантность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Четвёрка в Dom; g∈PGL₂.</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Достаточное основание.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T2-TH-208</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Двойная инвариантность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g, изоморфизм NAPG_q, сохранение Valid.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Физический прогноз.</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T2-TH-209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Локальная устойчивость δ_truth</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Компактность и отрыв от полюсов.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Глобальную устойчивость.</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T2-TH-210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Монотонность интервального уточнения</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THM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B′⊆B⊂Dom λ.</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Статистическое покрытие.</w:t>
            </w:r>
          </w:p>
        </w:tc>
      </w:tr>
    </w:tbl>
    <w:p>
      <w:pPr>
        <w:widowControl/>
        <w:spacing w:after="20"/>
      </w:pPr>
    </w:p>
    <w:p>
      <w:pPr>
        <w:pStyle w:val="Heading1"/>
        <w:pageBreakBefore w:val="0"/>
        <w:widowControl/>
        <w:keepNext/>
      </w:pPr>
      <w:r>
        <w:rPr>
          <w:rFonts w:ascii="Liberation Sans" w:hAnsi="Liberation Sans" w:eastAsia="Liberation Sans"/>
          <w:b/>
          <w:color w:val="17365D"/>
          <w:sz w:val="36"/>
        </w:rPr>
        <w:t>14. Закрытие и разделение доказательных обязательств</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cantSplit/>
        </w:trPr>
        <w:tc>
          <w:tcPr>
            <w:tcW w:type="dxa" w:w="1134"/>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PO</w:t>
            </w:r>
          </w:p>
        </w:tc>
        <w:tc>
          <w:tcPr>
            <w:tcW w:type="dxa" w:w="294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Результат v0.2</w:t>
            </w:r>
          </w:p>
        </w:tc>
        <w:tc>
          <w:tcPr>
            <w:tcW w:type="dxa" w:w="102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Статус</w:t>
            </w:r>
          </w:p>
        </w:tc>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Закрывающий объект</w:t>
            </w:r>
          </w:p>
        </w:tc>
        <w:tc>
          <w:tcPr>
            <w:tcW w:type="dxa" w:w="187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5"/>
              </w:rPr>
              <w:t>Следующий шаг</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Полный NOTATION LEDGER, типы и резервирование символов.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§10.1–10.3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Поддерживать при каждой новой главе.</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T2-PO-004</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Коллизии ⊙/⋆/⋆_Hdg/δ/δ_min устранены.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Лемма 2.1; контрпримеры 2.1–2.2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Автоматический notation audit в приложении.</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Объекты, морфизмы, тождества и композиция NAPG_q определены.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Def. 3.1–3.2; Thm. 3.1</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Расширить до топологических кадров.</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Построены контрмодели к M1–M4 и Dom.</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Контрпримеры 3.1–3.6</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Добавить машинные тесты.</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T2-PO-007</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Градуированная билинейная алгебра и формальный язык типизированы.</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§12.1–12.3</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Аналитические нормы отдельно.</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T2-PO-008A</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Непустота: явные ассоциативная и неассоциативная модели.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Примеры 4.1–4.2</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Классификация малых размерностей.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T2-PO-008B</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Непрерывность, завершения, Banach/Hilbert-реализации.</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Не входит в алгебраическое ядро</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10 и Hodge-слой.</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T2-PO-008C</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Проективно-гармонический интерфейс и Sel.</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CLOSED ALG</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Def. 4.2–4.4; Thm. 4.3–4.5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Статистическая калибровка в последующих главах.</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5"/>
              </w:rPr>
              <w:t>T2-PO-009</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Полная теория ассоциатора, ядер и центров.</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NEXT</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Глава 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5"/>
              </w:rPr>
              <w:t>tom2_v0_3.</w:t>
            </w:r>
          </w:p>
        </w:tc>
      </w:tr>
      <w:tr>
        <w:trPr>
          <w:cantSplit/>
        </w:trPr>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5"/>
              </w:rPr>
              <w:t>T2-PO-010</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Естественный ассоциаторный инвариант/β_Ass.</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OPEN</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Контрпример 4.5</w:t>
            </w:r>
          </w:p>
        </w:tc>
        <w:tc>
          <w:tcPr>
            <w:tcW w:type="dxa" w:w="1950"/>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5"/>
              </w:rPr>
              <w:t>tom2_v0_3; не смешивать с O_B.</w:t>
            </w:r>
          </w:p>
        </w:tc>
      </w:tr>
    </w:tbl>
    <w:p>
      <w:pPr>
        <w:widowControl/>
        <w:spacing w:after="20"/>
      </w:pPr>
    </w:p>
    <w:p>
      <w:pPr>
        <w:pStyle w:val="Heading1"/>
        <w:pageBreakBefore w:val="0"/>
        <w:widowControl/>
        <w:keepNext/>
      </w:pPr>
      <w:r>
        <w:rPr>
          <w:rFonts w:ascii="Liberation Sans" w:hAnsi="Liberation Sans" w:eastAsia="Liberation Sans"/>
          <w:b/>
          <w:color w:val="17365D"/>
          <w:sz w:val="36"/>
        </w:rPr>
        <w:t>15. Карта зависимостей после v0.2</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cantSplit/>
        </w:trPr>
        <w:tc>
          <w:tcPr>
            <w:tcW w:type="dxa" w:w="170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Узел</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Зависит от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Порождает</w:t>
            </w:r>
          </w:p>
        </w:tc>
        <w:tc>
          <w:tcPr>
            <w:tcW w:type="dxa" w:w="255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6"/>
              </w:rPr>
              <w:t>Статус границы</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NOTATION LEDGER</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P0; T2-PO-003/004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Типовую проверку всех глав</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Закрыт, но обновляем.</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Гл. 2; M1–M4</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O_B, C_min, морфизмы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Алгебраический.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F²→X²→O_B</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Квадратичный язык и вычисление</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Критерий полноты</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ассоциаторный канал.</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C_min, κ</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NAPG_q</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Внутренний H³</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внешний E-слой.</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Anchored D</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Проективная точка + evidence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D/Dom-барьер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Авторское определение.</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λ и δ_truth</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ℙ¹, Dom 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Гармонический фильтр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Не truth-status.</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Sel_N</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λ, Valid, 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Точное множество C₀</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физический прогноз.</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6"/>
              </w:rPr>
              <w:t>β_Ass</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T_Ass и целевой слой</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Ассоциаторный канал</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6"/>
              </w:rPr>
              <w:t>OPEN.</w:t>
            </w:r>
          </w:p>
        </w:tc>
      </w:tr>
      <w:tr>
        <w:trPr>
          <w:cantSplit/>
        </w:trPr>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6"/>
              </w:rPr>
              <w:t>E/Hodge</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Внешний комплекс и мост J</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Главы 10–16</w:t>
            </w:r>
          </w:p>
        </w:tc>
        <w:tc>
          <w:tcPr>
            <w:tcW w:type="dxa" w:w="2438"/>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6"/>
              </w:rPr>
              <w:t>Не начат в v0.2.</w:t>
            </w:r>
          </w:p>
        </w:tc>
      </w:tr>
    </w:tbl>
    <w:p>
      <w:pPr>
        <w:widowControl/>
        <w:spacing w:after="20"/>
      </w:pPr>
    </w:p>
    <w:p>
      <w:pPr>
        <w:pStyle w:val="Heading1"/>
        <w:pageBreakBefore w:val="0"/>
        <w:widowControl/>
        <w:keepNext/>
      </w:pPr>
      <w:r>
        <w:rPr>
          <w:rFonts w:ascii="Liberation Sans" w:hAnsi="Liberation Sans" w:eastAsia="Liberation Sans"/>
          <w:b/>
          <w:color w:val="17365D"/>
          <w:sz w:val="36"/>
        </w:rPr>
        <w:t>16. Библиографическая синхронизация v0.2</w:t>
      </w:r>
    </w:p>
    <w:p>
      <w:pPr>
        <w:widowControl/>
        <w:spacing w:after="100" w:line="259" w:lineRule="auto"/>
        <w:ind w:firstLine="397"/>
        <w:jc w:val="both"/>
      </w:pPr>
      <w:r>
        <w:rPr>
          <w:rFonts w:ascii="Liberation Serif" w:hAnsi="Liberation Serif" w:eastAsia="Liberation Serif"/>
          <w:b w:val="0"/>
          <w:i w:val="0"/>
          <w:sz w:val="20"/>
        </w:rPr>
        <w:t>Выпуск использует классические источники как prior art и не приписывает проекту авторство категорий, кросс-соотношения, факторпространств или общей теории деформаций. Авторский вклад настоящей редакции состоит в их типизированной сборке в NAPG_q, anchored sufficient foundation, структурном селекторе и доказательной дисциплине D/Dom.</w:t>
      </w:r>
    </w:p>
    <w:p>
      <w:pPr>
        <w:widowControl/>
        <w:spacing w:after="40" w:line="259" w:lineRule="auto"/>
        <w:jc w:val="both"/>
      </w:pPr>
      <w:r>
        <w:rPr>
          <w:rFonts w:ascii="Liberation Serif" w:hAnsi="Liberation Serif" w:eastAsia="Liberation Serif"/>
          <w:b w:val="0"/>
          <w:i w:val="0"/>
          <w:sz w:val="20"/>
        </w:rPr>
        <w:t>[S1] Eilenberg, S.; Mac Lane, S. General Theory of Natural Equivalences. Transactions of the AMS 58 (1945), 231–294. DOI 10.1090/S0002-9947-1945-0013131-6.</w:t>
      </w:r>
    </w:p>
    <w:p>
      <w:pPr>
        <w:widowControl/>
        <w:spacing w:after="40" w:line="259" w:lineRule="auto"/>
        <w:jc w:val="both"/>
      </w:pPr>
      <w:r>
        <w:rPr>
          <w:rFonts w:ascii="Liberation Serif" w:hAnsi="Liberation Serif" w:eastAsia="Liberation Serif"/>
          <w:b w:val="0"/>
          <w:i w:val="0"/>
          <w:sz w:val="20"/>
        </w:rPr>
        <w:t>[S2] Mac Lane, S. Categories for the Working Mathematician. 2nd ed. Springer. DOI 10.1007/978-1-4757-4721-8.</w:t>
      </w:r>
    </w:p>
    <w:p>
      <w:pPr>
        <w:widowControl/>
        <w:spacing w:after="40" w:line="259" w:lineRule="auto"/>
        <w:jc w:val="both"/>
      </w:pPr>
      <w:r>
        <w:rPr>
          <w:rFonts w:ascii="Liberation Serif" w:hAnsi="Liberation Serif" w:eastAsia="Liberation Serif"/>
          <w:b w:val="0"/>
          <w:i w:val="0"/>
          <w:sz w:val="20"/>
        </w:rPr>
        <w:t>[S3] Gerstenhaber, M. On the Deformation of Rings and Algebras. Annals of Mathematics 79 (1964), 59–103. DOI 10.2307/1970484.</w:t>
      </w:r>
    </w:p>
    <w:p>
      <w:pPr>
        <w:widowControl/>
        <w:spacing w:after="40" w:line="259" w:lineRule="auto"/>
        <w:jc w:val="both"/>
      </w:pPr>
      <w:r>
        <w:rPr>
          <w:rFonts w:ascii="Liberation Serif" w:hAnsi="Liberation Serif" w:eastAsia="Liberation Serif"/>
          <w:b w:val="0"/>
          <w:i w:val="0"/>
          <w:sz w:val="20"/>
        </w:rPr>
        <w:t>[S4] Veblen, O.; Young, J. W. Projective Geometry. Vol. I. Ginn, 1910. Public-domain scan: University of Michigan Historical Mathematics Collection.</w:t>
      </w:r>
    </w:p>
    <w:p>
      <w:pPr>
        <w:widowControl/>
        <w:spacing w:after="40" w:line="259" w:lineRule="auto"/>
        <w:jc w:val="both"/>
      </w:pPr>
      <w:r>
        <w:rPr>
          <w:rFonts w:ascii="Liberation Serif" w:hAnsi="Liberation Serif" w:eastAsia="Liberation Serif"/>
          <w:b w:val="0"/>
          <w:i w:val="0"/>
          <w:sz w:val="20"/>
        </w:rPr>
        <w:t>[S5] Kurpishev, I. B. Базовый проект KLT-RBD. Том I. Редакция v197 RU. §§26.5, 52.9–52.18. 2026.</w:t>
      </w:r>
    </w:p>
    <w:p>
      <w:pPr>
        <w:widowControl/>
        <w:spacing w:after="40" w:line="259" w:lineRule="auto"/>
        <w:jc w:val="both"/>
      </w:pPr>
      <w:r>
        <w:rPr>
          <w:rFonts w:ascii="Liberation Serif" w:hAnsi="Liberation Serif" w:eastAsia="Liberation Serif"/>
          <w:b w:val="0"/>
          <w:i w:val="0"/>
          <w:sz w:val="20"/>
        </w:rPr>
        <w:t>[S6] Kurpishev, I. B. Реперно-проективная архитектура формульных цепочек: PILOT-01. 2026.</w:t>
      </w:r>
    </w:p>
    <w:p>
      <w:pPr>
        <w:widowControl/>
        <w:spacing w:after="40" w:line="259" w:lineRule="auto"/>
        <w:jc w:val="both"/>
      </w:pPr>
      <w:r>
        <w:rPr>
          <w:rFonts w:ascii="Liberation Serif" w:hAnsi="Liberation Serif" w:eastAsia="Liberation Serif"/>
          <w:b w:val="0"/>
          <w:i w:val="0"/>
          <w:sz w:val="20"/>
        </w:rPr>
        <w:t>[S7] Kurpishev, I. B. KURPISHEV’S THEORY OF STRATIFIED TIME: ASSOCIATOR RIGIDITY AND NONASSOCIATIVE PACKET GEOMETRY. Канонический SIGMA-корпус проекта, 2026.</w:t>
      </w:r>
    </w:p>
    <w:p>
      <w:pPr>
        <w:pStyle w:val="Heading1"/>
        <w:pageBreakBefore w:val="0"/>
        <w:widowControl/>
        <w:keepNext/>
      </w:pPr>
      <w:r>
        <w:rPr>
          <w:rFonts w:ascii="Liberation Sans" w:hAnsi="Liberation Sans" w:eastAsia="Liberation Sans"/>
          <w:b/>
          <w:color w:val="17365D"/>
          <w:sz w:val="36"/>
        </w:rPr>
        <w:t>17. Контрольная точка T2-RP-v0.2</w:t>
      </w:r>
    </w:p>
    <w:tbl>
      <w:tblPr>
        <w:tblW w:type="auto" w:w="0"/>
        <w:jc w:val="center"/>
        <w:tblLayout w:type="fixed"/>
        <w:tblLook w:firstColumn="1" w:firstRow="1" w:lastColumn="0" w:lastRow="0" w:noHBand="0" w:noVBand="1" w:val="04A0"/>
      </w:tblPr>
      <w:tblGrid>
        <w:gridCol w:w="9354"/>
      </w:tblGrid>
      <w:tr>
        <w:tc>
          <w:tcPr>
            <w:tcW w:type="dxa" w:w="9752"/>
            <w:shd w:fill="F5EBD3"/>
            <w:tcMar>
              <w:top w:w="160" w:type="dxa"/>
              <w:start w:w="180" w:type="dxa"/>
              <w:bottom w:w="160" w:type="dxa"/>
              <w:end w:w="180" w:type="dxa"/>
            </w:tcMar>
            <w:tcBorders>
              <w:top w:val="single" w:sz="10" w:color="9C6B18"/>
              <w:left w:val="single" w:sz="10" w:color="9C6B18"/>
              <w:bottom w:val="single" w:sz="10" w:color="9C6B18"/>
              <w:right w:val="single" w:sz="10" w:color="9C6B18"/>
            </w:tcBorders>
          </w:tcPr>
          <w:p>
            <w:pPr>
              <w:spacing w:after="80"/>
            </w:pPr>
            <w:r>
              <w:rPr>
                <w:rFonts w:ascii="Liberation Sans" w:hAnsi="Liberation Sans" w:eastAsia="Liberation Sans"/>
                <w:b/>
                <w:i w:val="0"/>
                <w:color w:val="9C6B18"/>
                <w:sz w:val="21"/>
              </w:rPr>
              <w:t>ДЕКЛАРАЦИЯ НЕПРЕРЫВНОСТИ</w:t>
            </w:r>
          </w:p>
          <w:p>
            <w:pPr>
              <w:spacing w:line="252" w:lineRule="auto" w:after="0"/>
              <w:jc w:val="both"/>
            </w:pPr>
            <w:r>
              <w:rPr>
                <w:rFonts w:ascii="Liberation Serif" w:hAnsi="Liberation Serif" w:eastAsia="Liberation Serif"/>
                <w:b w:val="0"/>
                <w:i w:val="0"/>
                <w:sz w:val="18"/>
              </w:rPr>
              <w:t>Выпуск tom2_v0_2 наследует T2-RP-v0.1 и не изменяет замороженный Том I v197 RU. Внутренний алгебраический результат усилен, но внешний E-мост, Hodge-слой, ассоциаторная когомология, ПН.2 как физический принцип и F-1–F-14 не повышены. truth_layer_promotion=0.</w:t>
            </w:r>
          </w:p>
        </w:tc>
      </w:tr>
    </w:tbl>
    <w:p>
      <w:pPr>
        <w:widowControl/>
        <w:spacing w:after="0"/>
      </w:pPr>
    </w:p>
    <w:tbl>
      <w:tblPr>
        <w:tblW w:type="auto" w:w="0"/>
        <w:jc w:val="center"/>
        <w:tblLayout w:type="fixed"/>
        <w:tblLook w:firstColumn="1" w:firstRow="1" w:lastColumn="0" w:lastRow="0" w:noHBand="0" w:noVBand="1" w:val="04A0"/>
      </w:tblPr>
      <w:tblGrid>
        <w:gridCol w:w="4876"/>
        <w:gridCol w:w="4876"/>
      </w:tblGrid>
      <w:tr>
        <w:trPr>
          <w:tblHeader w:val="true"/>
          <w:cantSplit/>
        </w:trPr>
        <w:tc>
          <w:tcPr>
            <w:tcW w:type="dxa" w:w="2381"/>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Поле</w:t>
            </w:r>
          </w:p>
        </w:tc>
        <w:tc>
          <w:tcPr>
            <w:tcW w:type="dxa" w:w="6973"/>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17365D"/>
          </w:tcPr>
          <w:p>
            <w:pPr>
              <w:spacing w:before="0" w:after="0" w:line="240" w:lineRule="auto"/>
            </w:pPr>
            <w:r>
              <w:rPr>
                <w:rFonts w:ascii="Liberation Sans" w:hAnsi="Liberation Sans" w:eastAsia="Liberation Sans"/>
                <w:b/>
                <w:i w:val="0"/>
                <w:color w:val="FFFFFF"/>
                <w:sz w:val="17"/>
              </w:rPr>
              <w:t>Фиксация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tom2_v0_2.docx + tom2_v0_2.pdf</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Контрольная точка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T2-RP-v0.2</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Завершённые математические блоки</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NOTATION LEDGER; категория NAPG_q; морфизмы M1–M4; O_B и C_min; projective-harmonic Sel; устойчивость и интервальное воздержание.</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T2-PO-003–007; T2-PO-008A; T2-PO-008C.</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Открытые обязательства</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T2-PO-008B, T2-PO-009, T2-PO-010; все внешние E/Hodge/physical bridges.</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Следующая версия</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tom2_v0_3: глава 5 «Ассоциатор, R⋆R, ядра, центры и инварианты».</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i w:val="0"/>
                <w:sz w:val="17"/>
              </w:rPr>
              <w:t>Обязательное действие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FFFFFF"/>
          </w:tcPr>
          <w:p>
            <w:pPr>
              <w:spacing w:before="0" w:after="0" w:line="240" w:lineRule="auto"/>
            </w:pPr>
            <w:r>
              <w:rPr>
                <w:rFonts w:ascii="Liberation Sans" w:hAnsi="Liberation Sans" w:eastAsia="Liberation Sans"/>
                <w:b w:val="0"/>
                <w:i w:val="0"/>
                <w:sz w:val="17"/>
              </w:rPr>
              <w:t>Построить типизированные левое/среднее/правое ядра, nucleus, центр, радикалы; классифицировать явные тройки; сформулировать β_Ass либо доказать невозможность универсального квадратичного кодирования.</w:t>
            </w:r>
          </w:p>
        </w:tc>
      </w:tr>
      <w:tr>
        <w:trPr>
          <w:cantSplit/>
        </w:trPr>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i w:val="0"/>
                <w:sz w:val="17"/>
              </w:rPr>
              <w:t>Запрет v0.3</w:t>
            </w:r>
          </w:p>
        </w:tc>
        <w:tc>
          <w:tcPr>
            <w:tcW w:type="dxa" w:w="4876"/>
            <w:vAlign w:val="center"/>
            <w:tcMar>
              <w:top w:w="90" w:type="dxa"/>
              <w:start w:w="110" w:type="dxa"/>
              <w:bottom w:w="90" w:type="dxa"/>
              <w:end w:w="110" w:type="dxa"/>
            </w:tcMar>
            <w:tcBorders>
              <w:top w:val="single" w:sz="4" w:color="B7C9DD"/>
              <w:left w:val="single" w:sz="4" w:color="B7C9DD"/>
              <w:bottom w:val="single" w:sz="4" w:color="B7C9DD"/>
              <w:right w:val="single" w:sz="4" w:color="B7C9DD"/>
            </w:tcBorders>
            <w:shd w:fill="EEF3F8"/>
          </w:tcPr>
          <w:p>
            <w:pPr>
              <w:spacing w:before="0" w:after="0" w:line="240" w:lineRule="auto"/>
            </w:pPr>
            <w:r>
              <w:rPr>
                <w:rFonts w:ascii="Liberation Sans" w:hAnsi="Liberation Sans" w:eastAsia="Liberation Sans"/>
                <w:b w:val="0"/>
                <w:i w:val="0"/>
                <w:sz w:val="17"/>
              </w:rPr>
              <w:t>Не объявлять O_B ассоциаторной когомологией без естественного β_Ass и не переходить к физической кривизне.</w:t>
            </w:r>
          </w:p>
        </w:tc>
      </w:tr>
    </w:tbl>
    <w:p>
      <w:pPr>
        <w:widowControl/>
        <w:spacing w:after="20"/>
      </w:pPr>
    </w:p>
    <w:p>
      <w:pPr>
        <w:widowControl/>
      </w:pPr>
      <w:r>
        <w:br w:type="page"/>
      </w:r>
    </w:p>
    <w:p>
      <w:pPr>
        <w:pStyle w:val="Heading1"/>
        <w:widowControl/>
        <w:keepNext/>
      </w:pPr>
      <w:r>
        <w:rPr>
          <w:rFonts w:ascii="Liberation Sans" w:hAnsi="Liberation Sans" w:eastAsia="Liberation Sans"/>
          <w:b/>
          <w:color w:val="17365D"/>
          <w:sz w:val="36"/>
        </w:rPr>
        <w:t>ЧАСТЬ III. АССОЦИАТОРНАЯ ГЕОМЕТРИЯ И ПРЕДСКАЗАТЕЛЬНЫЕ ИНВАРИАНТЫ v0.3</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Неассоциативность означает не беспорядок, а зависимость результата от маршрута композиции. Поэтому ассоциатор фиксирует различие двух допустимых способов сборки одного тройного пакета. В предсказательном методе существенна не величина «вообще», а локус, где инвариантный профиль операции способен измениться.</w:t>
            </w:r>
          </w:p>
        </w:tc>
      </w:tr>
    </w:tbl>
    <w:p>
      <w:pPr>
        <w:widowControl/>
        <w:spacing w:after="20"/>
      </w:pP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Все результаты настоящей части являются алгебраическими. Детерминантный горизонт локализует возможные изменения типа в заданной параметрической семье, но не доказывает физическое событие, причинность или универсальную применимость. Общий мост между Ass_⊙, геометрической кривизной и Hol_D остаётся открытым обязательством.</w:t>
            </w:r>
          </w:p>
        </w:tc>
      </w:tr>
    </w:tbl>
    <w:p>
      <w:pPr>
        <w:widowControl/>
        <w:spacing w:after="20"/>
      </w:pPr>
    </w:p>
    <w:p>
      <w:pPr>
        <w:pStyle w:val="Heading2"/>
        <w:widowControl/>
        <w:keepNext/>
      </w:pPr>
      <w:r>
        <w:rPr>
          <w:rFonts w:ascii="Liberation Sans" w:hAnsi="Liberation Sans" w:eastAsia="Liberation Sans"/>
          <w:b/>
          <w:color w:val="2F5597"/>
          <w:sz w:val="26"/>
        </w:rPr>
        <w:t>18. Паспорт математического углубления 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494"/>
            <w:shd w:fill="DCE7F2"/>
            <w:tcMar>
              <w:top w:w="90" w:type="dxa"/>
              <w:start w:w="100" w:type="dxa"/>
              <w:bottom w:w="90" w:type="dxa"/>
              <w:end w:w="100" w:type="dxa"/>
            </w:tcMar>
            <w:vAlign w:val="center"/>
          </w:tcPr>
          <w:p>
            <w:pPr>
              <w:jc w:val="center"/>
            </w:pPr>
            <w:r>
              <w:rPr>
                <w:b/>
                <w:sz w:val="18"/>
              </w:rPr>
              <w:t>Параметр</w:t>
            </w:r>
          </w:p>
        </w:tc>
        <w:tc>
          <w:tcPr>
            <w:tcW w:type="dxa" w:w="6463"/>
            <w:shd w:fill="DCE7F2"/>
            <w:tcMar>
              <w:top w:w="90" w:type="dxa"/>
              <w:start w:w="100" w:type="dxa"/>
              <w:bottom w:w="90" w:type="dxa"/>
              <w:end w:w="100" w:type="dxa"/>
            </w:tcMar>
            <w:vAlign w:val="center"/>
          </w:tcPr>
          <w:p>
            <w:pPr>
              <w:jc w:val="center"/>
            </w:pPr>
            <w:r>
              <w:rPr>
                <w:b/>
                <w:sz w:val="18"/>
              </w:rPr>
              <w:t>Фиксация</w:t>
            </w:r>
          </w:p>
        </w:tc>
      </w:tr>
      <w:tr>
        <w:tc>
          <w:tcPr>
            <w:tcW w:type="dxa" w:w="2494"/>
            <w:tcMar>
              <w:top w:w="90" w:type="dxa"/>
              <w:start w:w="100" w:type="dxa"/>
              <w:bottom w:w="90" w:type="dxa"/>
              <w:end w:w="100" w:type="dxa"/>
            </w:tcMar>
            <w:vAlign w:val="center"/>
          </w:tcPr>
          <w:p>
            <w:pPr>
              <w:spacing w:after="0"/>
            </w:pPr>
            <w:r>
              <w:rPr>
                <w:sz w:val="18"/>
              </w:rPr>
              <w:t>Контрольная точка</w:t>
            </w:r>
          </w:p>
        </w:tc>
        <w:tc>
          <w:tcPr>
            <w:tcW w:type="dxa" w:w="6463"/>
            <w:tcMar>
              <w:top w:w="90" w:type="dxa"/>
              <w:start w:w="100" w:type="dxa"/>
              <w:bottom w:w="90" w:type="dxa"/>
              <w:end w:w="100" w:type="dxa"/>
            </w:tcMar>
            <w:vAlign w:val="center"/>
          </w:tcPr>
          <w:p>
            <w:pPr>
              <w:spacing w:after="0"/>
            </w:pPr>
            <w:r>
              <w:rPr>
                <w:sz w:val="18"/>
              </w:rPr>
              <w:t>T2-RP-v0.3</w:t>
            </w:r>
          </w:p>
        </w:tc>
      </w:tr>
      <w:tr>
        <w:tc>
          <w:tcPr>
            <w:tcW w:type="dxa" w:w="2494"/>
            <w:tcMar>
              <w:top w:w="90" w:type="dxa"/>
              <w:start w:w="100" w:type="dxa"/>
              <w:bottom w:w="90" w:type="dxa"/>
              <w:end w:w="100" w:type="dxa"/>
            </w:tcMar>
            <w:vAlign w:val="center"/>
          </w:tcPr>
          <w:p>
            <w:pPr>
              <w:spacing w:after="0"/>
            </w:pPr>
            <w:r>
              <w:rPr>
                <w:sz w:val="18"/>
              </w:rPr>
              <w:t>Каноническая основа</w:t>
            </w:r>
          </w:p>
        </w:tc>
        <w:tc>
          <w:tcPr>
            <w:tcW w:type="dxa" w:w="6463"/>
            <w:tcMar>
              <w:top w:w="90" w:type="dxa"/>
              <w:start w:w="100" w:type="dxa"/>
              <w:bottom w:w="90" w:type="dxa"/>
              <w:end w:w="100" w:type="dxa"/>
            </w:tcMar>
            <w:vAlign w:val="center"/>
          </w:tcPr>
          <w:p>
            <w:pPr>
              <w:spacing w:after="0"/>
            </w:pPr>
            <w:r>
              <w:rPr>
                <w:sz w:val="18"/>
              </w:rPr>
              <w:t>T2-RP-v0.2 + Том I v197 RU</w:t>
            </w:r>
          </w:p>
        </w:tc>
      </w:tr>
      <w:tr>
        <w:tc>
          <w:tcPr>
            <w:tcW w:type="dxa" w:w="2494"/>
            <w:tcMar>
              <w:top w:w="90" w:type="dxa"/>
              <w:start w:w="100" w:type="dxa"/>
              <w:bottom w:w="90" w:type="dxa"/>
              <w:end w:w="100" w:type="dxa"/>
            </w:tcMar>
            <w:vAlign w:val="center"/>
          </w:tcPr>
          <w:p>
            <w:pPr>
              <w:spacing w:after="0"/>
            </w:pPr>
            <w:r>
              <w:rPr>
                <w:sz w:val="18"/>
              </w:rPr>
              <w:t>Развиваемая глава</w:t>
            </w:r>
          </w:p>
        </w:tc>
        <w:tc>
          <w:tcPr>
            <w:tcW w:type="dxa" w:w="6463"/>
            <w:tcMar>
              <w:top w:w="90" w:type="dxa"/>
              <w:start w:w="100" w:type="dxa"/>
              <w:bottom w:w="90" w:type="dxa"/>
              <w:end w:w="100" w:type="dxa"/>
            </w:tcMar>
            <w:vAlign w:val="center"/>
          </w:tcPr>
          <w:p>
            <w:pPr>
              <w:spacing w:after="0"/>
            </w:pPr>
            <w:r>
              <w:rPr>
                <w:sz w:val="18"/>
              </w:rPr>
              <w:t>Глава 5: ассоциатор, R⋆R, ядра, центры и инварианты</w:t>
            </w:r>
          </w:p>
        </w:tc>
      </w:tr>
      <w:tr>
        <w:tc>
          <w:tcPr>
            <w:tcW w:type="dxa" w:w="2494"/>
            <w:tcMar>
              <w:top w:w="90" w:type="dxa"/>
              <w:start w:w="100" w:type="dxa"/>
              <w:bottom w:w="90" w:type="dxa"/>
              <w:end w:w="100" w:type="dxa"/>
            </w:tcMar>
            <w:vAlign w:val="center"/>
          </w:tcPr>
          <w:p>
            <w:pPr>
              <w:spacing w:after="0"/>
            </w:pPr>
            <w:r>
              <w:rPr>
                <w:sz w:val="18"/>
              </w:rPr>
              <w:t>Главный результат</w:t>
            </w:r>
          </w:p>
        </w:tc>
        <w:tc>
          <w:tcPr>
            <w:tcW w:type="dxa" w:w="6463"/>
            <w:tcMar>
              <w:top w:w="90" w:type="dxa"/>
              <w:start w:w="100" w:type="dxa"/>
              <w:bottom w:w="90" w:type="dxa"/>
              <w:end w:w="100" w:type="dxa"/>
            </w:tcMar>
            <w:vAlign w:val="center"/>
          </w:tcPr>
          <w:p>
            <w:pPr>
              <w:spacing w:after="0"/>
            </w:pPr>
            <w:r>
              <w:rPr>
                <w:sz w:val="18"/>
              </w:rPr>
              <w:t>Детерминантная теорема локализации структурных переходов</w:t>
            </w:r>
          </w:p>
        </w:tc>
      </w:tr>
      <w:tr>
        <w:tc>
          <w:tcPr>
            <w:tcW w:type="dxa" w:w="2494"/>
            <w:tcMar>
              <w:top w:w="90" w:type="dxa"/>
              <w:start w:w="100" w:type="dxa"/>
              <w:bottom w:w="90" w:type="dxa"/>
              <w:end w:w="100" w:type="dxa"/>
            </w:tcMar>
            <w:vAlign w:val="center"/>
          </w:tcPr>
          <w:p>
            <w:pPr>
              <w:spacing w:after="0"/>
            </w:pPr>
            <w:r>
              <w:rPr>
                <w:sz w:val="18"/>
              </w:rPr>
              <w:t>Отрицательный результат</w:t>
            </w:r>
          </w:p>
        </w:tc>
        <w:tc>
          <w:tcPr>
            <w:tcW w:type="dxa" w:w="6463"/>
            <w:tcMar>
              <w:top w:w="90" w:type="dxa"/>
              <w:start w:w="100" w:type="dxa"/>
              <w:bottom w:w="90" w:type="dxa"/>
              <w:end w:w="100" w:type="dxa"/>
            </w:tcMar>
            <w:vAlign w:val="center"/>
          </w:tcPr>
          <w:p>
            <w:pPr>
              <w:spacing w:after="0"/>
            </w:pPr>
            <w:r>
              <w:rPr>
                <w:sz w:val="18"/>
              </w:rPr>
              <w:t>Диагонально-квадратичные данные не восстанавливают общий ассоциатор</w:t>
            </w:r>
          </w:p>
        </w:tc>
      </w:tr>
      <w:tr>
        <w:tc>
          <w:tcPr>
            <w:tcW w:type="dxa" w:w="2494"/>
            <w:tcMar>
              <w:top w:w="90" w:type="dxa"/>
              <w:start w:w="100" w:type="dxa"/>
              <w:bottom w:w="90" w:type="dxa"/>
              <w:end w:w="100" w:type="dxa"/>
            </w:tcMar>
            <w:vAlign w:val="center"/>
          </w:tcPr>
          <w:p>
            <w:pPr>
              <w:spacing w:after="0"/>
            </w:pPr>
            <w:r>
              <w:rPr>
                <w:sz w:val="18"/>
              </w:rPr>
              <w:t>Статус внешних мостов</w:t>
            </w:r>
          </w:p>
        </w:tc>
        <w:tc>
          <w:tcPr>
            <w:tcW w:type="dxa" w:w="6463"/>
            <w:tcMar>
              <w:top w:w="90" w:type="dxa"/>
              <w:start w:w="100" w:type="dxa"/>
              <w:bottom w:w="90" w:type="dxa"/>
              <w:end w:w="100" w:type="dxa"/>
            </w:tcMar>
            <w:vAlign w:val="center"/>
          </w:tcPr>
          <w:p>
            <w:pPr>
              <w:spacing w:after="0"/>
            </w:pPr>
            <w:r>
              <w:rPr>
                <w:sz w:val="18"/>
              </w:rPr>
              <w:t>OPEN; без повышения ПН.2, F-1–F-14 и физических гипотез</w:t>
            </w:r>
          </w:p>
        </w:tc>
      </w:tr>
      <w:tr>
        <w:tc>
          <w:tcPr>
            <w:tcW w:type="dxa" w:w="2494"/>
            <w:tcMar>
              <w:top w:w="90" w:type="dxa"/>
              <w:start w:w="100" w:type="dxa"/>
              <w:bottom w:w="90" w:type="dxa"/>
              <w:end w:w="100" w:type="dxa"/>
            </w:tcMar>
            <w:vAlign w:val="center"/>
          </w:tcPr>
          <w:p>
            <w:pPr>
              <w:spacing w:after="0"/>
            </w:pPr>
            <w:r>
              <w:rPr>
                <w:sz w:val="18"/>
              </w:rPr>
              <w:t>Статус-замок</w:t>
            </w:r>
          </w:p>
        </w:tc>
        <w:tc>
          <w:tcPr>
            <w:tcW w:type="dxa" w:w="6463"/>
            <w:tcMar>
              <w:top w:w="90" w:type="dxa"/>
              <w:start w:w="100" w:type="dxa"/>
              <w:bottom w:w="90" w:type="dxa"/>
              <w:end w:w="100" w:type="dxa"/>
            </w:tcMar>
            <w:vAlign w:val="center"/>
          </w:tcPr>
          <w:p>
            <w:pPr>
              <w:spacing w:after="0"/>
            </w:pPr>
            <w:r>
              <w:rPr>
                <w:sz w:val="18"/>
              </w:rPr>
              <w:t>truth_layer_promotion=0</w:t>
            </w:r>
          </w:p>
        </w:tc>
      </w:tr>
    </w:tbl>
    <w:p>
      <w:pPr>
        <w:widowControl/>
        <w:spacing w:after="40"/>
      </w:pPr>
    </w:p>
    <w:p>
      <w:pPr>
        <w:pStyle w:val="Heading1"/>
        <w:widowControl/>
        <w:keepNext/>
      </w:pPr>
      <w:r>
        <w:rPr>
          <w:rFonts w:ascii="Liberation Sans" w:hAnsi="Liberation Sans" w:eastAsia="Liberation Sans"/>
          <w:b/>
          <w:color w:val="17365D"/>
          <w:sz w:val="36"/>
        </w:rPr>
        <w:t>19. Глава 5. Ассоциатор, R⋆R, ядра, центры и инварианты</w:t>
      </w:r>
    </w:p>
    <w:tbl>
      <w:tblPr>
        <w:tblW w:type="auto" w:w="0"/>
        <w:jc w:val="center"/>
        <w:tblLayout w:type="fixed"/>
        <w:tblLook w:firstColumn="1" w:firstRow="1" w:lastColumn="0" w:lastRow="0" w:noHBand="0" w:noVBand="1" w:val="04A0"/>
      </w:tblPr>
      <w:tblGrid>
        <w:gridCol w:w="9752"/>
      </w:tblGrid>
      <w:tr>
        <w:tc>
          <w:tcPr>
            <w:tcW w:type="dxa" w:w="9071"/>
            <w:shd w:fill="F1ECE3"/>
            <w:tcMar>
              <w:top w:w="140" w:type="dxa"/>
              <w:start w:w="180" w:type="dxa"/>
              <w:bottom w:w="140" w:type="dxa"/>
              <w:end w:w="180" w:type="dxa"/>
            </w:tcMar>
          </w:tcPr>
          <w:p>
            <w:pPr>
              <w:spacing w:after="80"/>
            </w:pPr>
            <w:r>
              <w:rPr>
                <w:b/>
                <w:color w:val="1F4468"/>
                <w:sz w:val="21"/>
              </w:rPr>
              <w:t>ГНОСЕОЛОГИЧЕСКИЙ БЛОК</w:t>
            </w:r>
          </w:p>
          <w:p>
            <w:pPr>
              <w:spacing w:after="0"/>
            </w:pPr>
            <w:r>
              <w:rPr>
                <w:sz w:val="19"/>
              </w:rPr>
              <w:t>Наблюдение одной диагонали многолинейного объекта неизбежно теряет информацию. Для ассоциатора это особенно важно: альтернативная алгебра может иметь нулевую диагональ Ass(x,x,x) и всё же оставаться существенно неассоциативной. Знание должно хранить не только значение, но и тип канала, порядок аргументов и область допустимости.</w:t>
            </w:r>
          </w:p>
        </w:tc>
      </w:tr>
    </w:tbl>
    <w:p>
      <w:pPr>
        <w:widowControl/>
        <w:spacing w:after="20"/>
      </w:pPr>
    </w:p>
    <w:p>
      <w:pPr>
        <w:pStyle w:val="Heading2"/>
        <w:widowControl/>
        <w:keepNext/>
      </w:pPr>
      <w:r>
        <w:rPr>
          <w:rFonts w:ascii="Liberation Sans" w:hAnsi="Liberation Sans" w:eastAsia="Liberation Sans"/>
          <w:b/>
          <w:color w:val="2F5597"/>
          <w:sz w:val="26"/>
        </w:rPr>
        <w:t>19.1. Типизированная область ассоциатора</w:t>
      </w:r>
    </w:p>
    <w:p>
      <w:pPr>
        <w:widowControl/>
      </w:pPr>
      <w:r>
        <w:rPr>
          <w:b/>
          <w:color w:val="1B3F60"/>
        </w:rPr>
        <w:t xml:space="preserve">Определение 5.1 (DEF-A). Область ассоциатора. </w:t>
      </w:r>
      <w:r>
        <w:t>Пусть (𝒜,⊙) — пакетная алгебра с, возможно, частичной операцией. Область Dom_Ass состоит из троек (a,b,c), для которых определены a⊙b, b⊙c, (a⊙b)⊙c и a⊙(b⊙c). На Dom_Ass полагаем Ass_⊙(a,b,c)=(a⊙b)⊙c−a⊙(b⊙c).</w:t>
      </w:r>
    </w:p>
    <w:p>
      <w:pPr>
        <w:widowControl/>
        <w:spacing w:before="80" w:after="120"/>
        <w:jc w:val="center"/>
      </w:pPr>
      <w:r>
        <w:rPr>
          <w:rFonts w:ascii="Cambria Math" w:hAnsi="Cambria Math" w:eastAsia="Cambria Math"/>
          <w:sz w:val="23"/>
        </w:rPr>
        <w:t>Dom_Ass = {(a,b,c): (a,b),(b,c),(a⊙b,c),(a,b⊙c) ∈ Dom_⊙}.</w:t>
      </w:r>
    </w:p>
    <w:p>
      <w:pPr>
        <w:keepNext/>
        <w:widowControl/>
      </w:pPr>
      <w:r>
        <w:rPr>
          <w:b/>
          <w:color w:val="1B3F60"/>
        </w:rPr>
        <w:t xml:space="preserve">Лемма 5.2 (THM). Трёхлинейность на полном домене. </w:t>
      </w:r>
      <w:r>
        <w:t>Если ⊙ — всюду определённая 𝕂-билинейная операция, то Ass_⊙:𝒜⊗𝒜⊗𝒜→𝒜 является 𝕂-линейным отображением.</w:t>
      </w:r>
    </w:p>
    <w:p>
      <w:pPr>
        <w:widowControl/>
      </w:pPr>
      <w:r>
        <w:rPr>
          <w:b/>
        </w:rPr>
        <w:t xml:space="preserve">Доказательство. </w:t>
      </w:r>
      <w:r>
        <w:t>Каждый из двух членов является композицией билинейных отображений и потому трёхлинеен. Их разность трёхлинейна.</w:t>
      </w:r>
    </w:p>
    <w:p>
      <w:pPr>
        <w:widowControl/>
      </w:pPr>
      <w:r>
        <w:t>Для частичной операции трёхлинейность утверждается только внутри совместимых линейных срезов Dom_Ass. Расширять её за пределы домена по формальному сходству запрещено.</w:t>
      </w:r>
    </w:p>
    <w:p>
      <w:pPr>
        <w:pStyle w:val="Heading2"/>
        <w:widowControl/>
        <w:keepNext/>
      </w:pPr>
      <w:r>
        <w:rPr>
          <w:rFonts w:ascii="Liberation Sans" w:hAnsi="Liberation Sans" w:eastAsia="Liberation Sans"/>
          <w:b/>
          <w:color w:val="2F5597"/>
          <w:sz w:val="26"/>
        </w:rPr>
        <w:t>19.2. Левое, среднее и правое ядра</w:t>
      </w:r>
    </w:p>
    <w:p>
      <w:pPr>
        <w:widowControl/>
      </w:pPr>
      <w:r>
        <w:rPr>
          <w:b/>
          <w:color w:val="1B3F60"/>
        </w:rPr>
        <w:t xml:space="preserve">Определение 5.3 (DEF-A). Три ядра и nucleus. </w:t>
      </w:r>
      <w:r>
        <w:t>Для всюду определённой алгебры 𝒜 определим N_l={a:Ass(a,x,y)=0 для всех x,y}, N_m={a:Ass(x,a,y)=0 для всех x,y}, N_r={a:Ass(x,y,a)=0 для всех x,y}. Полное ядро N(𝒜)=N_l∩N_m∩N_r.</w:t>
      </w:r>
    </w:p>
    <w:p>
      <w:pPr>
        <w:widowControl/>
        <w:spacing w:before="80" w:after="120"/>
        <w:jc w:val="center"/>
      </w:pPr>
      <w:r>
        <w:rPr>
          <w:rFonts w:ascii="Cambria Math" w:hAnsi="Cambria Math" w:eastAsia="Cambria Math"/>
          <w:sz w:val="23"/>
        </w:rPr>
        <w:t>N_l = ker L_Ass,   N_m = ker M_Ass,   N_r = ker R_Ass,</w:t>
      </w:r>
    </w:p>
    <w:p>
      <w:pPr>
        <w:widowControl/>
        <w:spacing w:before="80" w:after="120"/>
        <w:jc w:val="center"/>
      </w:pPr>
      <w:r>
        <w:rPr>
          <w:rFonts w:ascii="Cambria Math" w:hAnsi="Cambria Math" w:eastAsia="Cambria Math"/>
          <w:sz w:val="23"/>
        </w:rPr>
        <w:t>L_Ass(a)(x,y)=Ass(a,x,y),  M_Ass(a)(x,y)=Ass(x,a,y),  R_Ass(a)(x,y)=Ass(x,y,a).</w:t>
      </w:r>
    </w:p>
    <w:p>
      <w:pPr>
        <w:keepNext/>
        <w:widowControl/>
      </w:pPr>
      <w:r>
        <w:rPr>
          <w:b/>
          <w:color w:val="1B3F60"/>
        </w:rPr>
        <w:t xml:space="preserve">Предложение 5.4 (THM). Линейность ядер. </w:t>
      </w:r>
      <w:r>
        <w:t>Если 𝒜 — билинейная алгебра, то N_l, N_m, N_r и N(𝒜) являются линейными подпространствами.</w:t>
      </w:r>
    </w:p>
    <w:p>
      <w:pPr>
        <w:widowControl/>
      </w:pPr>
      <w:r>
        <w:rPr>
          <w:b/>
        </w:rPr>
        <w:t xml:space="preserve">Доказательство. </w:t>
      </w:r>
      <w:r>
        <w:t>Карты L_Ass, M_Ass и R_Ass линейны по выделенному аргументу. Их ядра являются подпространствами; пересечение подпространств является подпространством.</w:t>
      </w:r>
    </w:p>
    <w:p>
      <w:pPr>
        <w:widowControl/>
      </w:pPr>
      <w:r>
        <w:rPr>
          <w:b/>
          <w:color w:val="1B3F60"/>
        </w:rPr>
        <w:t xml:space="preserve">Определение 5.5 (DEF-A). Коммутант и центр. </w:t>
      </w:r>
      <w:r>
        <w:t>Коммутант C_comm(𝒜) состоит из z, удовлетворяющих z⊙x=x⊙z для всех x. Центр определяется как Z(𝒜)=N(𝒜)∩C_comm(𝒜).</w:t>
      </w:r>
    </w:p>
    <w:tbl>
      <w:tblPr>
        <w:tblW w:type="auto" w:w="0"/>
        <w:jc w:val="center"/>
        <w:tblLayout w:type="fixed"/>
        <w:tblLook w:firstColumn="1" w:firstRow="1" w:lastColumn="0" w:lastRow="0" w:noHBand="0" w:noVBand="1" w:val="04A0"/>
      </w:tblPr>
      <w:tblGrid>
        <w:gridCol w:w="9752"/>
      </w:tblGrid>
      <w:tr>
        <w:tc>
          <w:tcPr>
            <w:tcW w:type="dxa" w:w="9071"/>
            <w:shd w:fill="EEF4EA"/>
            <w:tcMar>
              <w:top w:w="140" w:type="dxa"/>
              <w:start w:w="180" w:type="dxa"/>
              <w:bottom w:w="140" w:type="dxa"/>
              <w:end w:w="180" w:type="dxa"/>
            </w:tcMar>
          </w:tcPr>
          <w:p>
            <w:pPr>
              <w:spacing w:after="80"/>
            </w:pPr>
            <w:r>
              <w:rPr>
                <w:b/>
                <w:color w:val="1F4468"/>
                <w:sz w:val="21"/>
              </w:rPr>
              <w:t>ФЕНОМЕНОЛОГИЧЕСКИЙ БЛОК</w:t>
            </w:r>
          </w:p>
          <w:p>
            <w:pPr>
              <w:spacing w:after="0"/>
            </w:pPr>
            <w:r>
              <w:rPr>
                <w:sz w:val="19"/>
              </w:rPr>
              <w:t>Элемент центра не просто «не мешает» умножению. Он нечувствителен и к перестановке, и к изменению скобок. Поэтому центр задаёт устойчивый слой, относительно которого разные маршруты пакетной сборки совпадают.</w:t>
            </w:r>
          </w:p>
        </w:tc>
      </w:tr>
    </w:tbl>
    <w:p>
      <w:pPr>
        <w:widowControl/>
        <w:spacing w:after="20"/>
      </w:pPr>
    </w:p>
    <w:p>
      <w:pPr>
        <w:pStyle w:val="Heading2"/>
        <w:widowControl/>
        <w:keepNext/>
      </w:pPr>
      <w:r>
        <w:rPr>
          <w:rFonts w:ascii="Liberation Sans" w:hAnsi="Liberation Sans" w:eastAsia="Liberation Sans"/>
          <w:b/>
          <w:color w:val="2F5597"/>
          <w:sz w:val="26"/>
        </w:rPr>
        <w:t>19.3. Идеал ассоциаторов и универсальное ассоциативное отражение</w:t>
      </w:r>
    </w:p>
    <w:p>
      <w:pPr>
        <w:widowControl/>
      </w:pPr>
      <w:r>
        <w:rPr>
          <w:b/>
          <w:color w:val="1B3F60"/>
        </w:rPr>
        <w:t xml:space="preserve">Определение 5.6 (DEF-A). Идеал ассоциаторов. </w:t>
      </w:r>
      <w:r>
        <w:t>J_Ass(𝒜) — наименьший двусторонний идеал 𝒜, содержащий все значения Ass_⊙(a,b,c). Во внутренней терминологии KLT-RBD допускается обозначение Rad_Ass(𝒜):=J_Ass(𝒜), но оно не отождествляется с радикалом Джекобсона или другим классическим радикалом.</w:t>
      </w:r>
    </w:p>
    <w:p>
      <w:pPr>
        <w:keepNext/>
        <w:widowControl/>
      </w:pPr>
      <w:r>
        <w:rPr>
          <w:b/>
          <w:color w:val="1B3F60"/>
        </w:rPr>
        <w:t xml:space="preserve">Теорема 5.7 (THM). Универсальное ассоциативное отражение. </w:t>
      </w:r>
      <w:r>
        <w:t>Для любой всюду определённой билинейной алгебры 𝒜 фактор 𝒜_as:=𝒜/J_Ass(𝒜) ассоциативен. Более того, любой гомоморфизм f:𝒜→B в ассоциативную алгебру B единственным образом факторизуется через q:𝒜→𝒜_as.</w:t>
      </w:r>
    </w:p>
    <w:p>
      <w:pPr>
        <w:widowControl/>
      </w:pPr>
      <w:r>
        <w:rPr>
          <w:b/>
        </w:rPr>
        <w:t xml:space="preserve">Доказательство. </w:t>
      </w:r>
      <w:r>
        <w:t>В факторе образ каждого ассоциатора равен нулю, следовательно, умножение ассоциативно. Если B ассоциативна, то f(Ass(a,b,c))=Ass(fa,fb,fc)=0; поэтому J_Ass⊆ker f. Универсальное свойство фактора даёт единственный f̄ с f=f̄∘q.</w:t>
      </w:r>
    </w:p>
    <w:p>
      <w:pPr>
        <w:widowControl/>
        <w:jc w:val="center"/>
      </w:pPr>
      <w:r>
        <w:drawing>
          <wp:inline xmlns:a="http://schemas.openxmlformats.org/drawingml/2006/main" xmlns:pic="http://schemas.openxmlformats.org/drawingml/2006/picture">
            <wp:extent cx="5580000" cy="2424997"/>
            <wp:docPr id="9" name="Picture 9"/>
            <wp:cNvGraphicFramePr>
              <a:graphicFrameLocks noChangeAspect="1"/>
            </wp:cNvGraphicFramePr>
            <a:graphic>
              <a:graphicData uri="http://schemas.openxmlformats.org/drawingml/2006/picture">
                <pic:pic>
                  <pic:nvPicPr>
                    <pic:cNvPr id="0" name="reflection.png"/>
                    <pic:cNvPicPr/>
                  </pic:nvPicPr>
                  <pic:blipFill>
                    <a:blip r:embed="rId21"/>
                    <a:stretch>
                      <a:fillRect/>
                    </a:stretch>
                  </pic:blipFill>
                  <pic:spPr>
                    <a:xfrm>
                      <a:off x="0" y="0"/>
                      <a:ext cx="5580000" cy="2424997"/>
                    </a:xfrm>
                    <a:prstGeom prst="rect"/>
                  </pic:spPr>
                </pic:pic>
              </a:graphicData>
            </a:graphic>
          </wp:inline>
        </w:drawing>
      </w:r>
    </w:p>
    <w:p>
      <w:pPr>
        <w:pStyle w:val="Caption"/>
        <w:widowControl/>
        <w:jc w:val="center"/>
      </w:pPr>
      <w:r>
        <w:t>Рисунок 5. Универсальное ассоциативное отражение. Собственная схема Тома II.</w:t>
      </w:r>
    </w:p>
    <w:p>
      <w:pPr>
        <w:widowControl/>
      </w:pPr>
      <w:r>
        <w:t>Это отражение даёт строгую меру потери информации при принудительной ассоциативизации. Если J_Ass=0, алгебра уже ассоциативна; если J_Ass=𝒜, ассоциативное отражение нулевое.</w:t>
      </w:r>
    </w:p>
    <w:p>
      <w:pPr>
        <w:pStyle w:val="Heading2"/>
        <w:widowControl/>
        <w:keepNext/>
      </w:pPr>
      <w:r>
        <w:rPr>
          <w:rFonts w:ascii="Liberation Sans" w:hAnsi="Liberation Sans" w:eastAsia="Liberation Sans"/>
          <w:b/>
          <w:color w:val="2F5597"/>
          <w:sz w:val="26"/>
        </w:rPr>
        <w:t>19.4. Запрет универсального диагонально-квадратичного кодирования</w:t>
      </w:r>
    </w:p>
    <w:p>
      <w:pPr>
        <w:keepNext/>
        <w:widowControl/>
      </w:pPr>
      <w:r>
        <w:rPr>
          <w:b/>
          <w:color w:val="1B3F60"/>
        </w:rPr>
        <w:t xml:space="preserve">Теорема 5.8 (THM). Степенной запрет. </w:t>
      </w:r>
      <w:r>
        <w:t>Не существует ненулевого однородного квадратичного отображения Q:𝒜→W, которое для всех билинейных алгебр и всех x functorially совпадало бы с диагональным ассоциатором Ass(x,x,x).</w:t>
      </w:r>
    </w:p>
    <w:p>
      <w:pPr>
        <w:widowControl/>
      </w:pPr>
      <w:r>
        <w:rPr>
          <w:b/>
        </w:rPr>
        <w:t xml:space="preserve">Доказательство. </w:t>
      </w:r>
      <w:r>
        <w:t>Для скаляра t имеем Q(tx)=t²Q(x), тогда как Ass(tx,tx,tx)=t³Ass(x,x,x). При поле с более чем двумя элементами равенство для всех t возможно только при Ass(x,x,x)=0. Следовательно, общий кубический диагональный канал не является квадратичным.</w:t>
      </w:r>
    </w:p>
    <w:p>
      <w:pPr>
        <w:keepNext/>
        <w:widowControl/>
      </w:pPr>
      <w:r>
        <w:rPr>
          <w:b/>
          <w:color w:val="1B3F60"/>
        </w:rPr>
        <w:t xml:space="preserve">Теорема 5.9 (THM). Недостаточность даже кубической диагонали. </w:t>
      </w:r>
      <w:r>
        <w:t>Отображение q_Ass(x)=Ass(x,x,x) в общем случае не определяет полный трёхлинейный ассоциатор.</w:t>
      </w:r>
    </w:p>
    <w:p>
      <w:pPr>
        <w:widowControl/>
      </w:pPr>
      <w:r>
        <w:rPr>
          <w:b/>
        </w:rPr>
        <w:t xml:space="preserve">Доказательство. </w:t>
      </w:r>
      <w:r>
        <w:t>В альтернативной алгебре ассоциатор чередующийся, поэтому Ass(x,x,x)=0 для каждого x. Реальные октонионы неассоциативны и дают ненулевые значения на тройках различных единиц. Значит, q_Ass≡0 не влечёт Ass≡0.</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Символ R⋆R нельзя понимать как единственное число или одну диагональную квадратичную форму, способную восстановить произвольную неассоциативность. Для полного сертификата необходимы несколько поляризованных каналов и отдельная чередующаяся компонента.</w:t>
            </w:r>
          </w:p>
        </w:tc>
      </w:tr>
    </w:tbl>
    <w:p>
      <w:pPr>
        <w:widowControl/>
        <w:spacing w:after="20"/>
      </w:pPr>
    </w:p>
    <w:p>
      <w:pPr>
        <w:pStyle w:val="Heading2"/>
        <w:widowControl/>
        <w:keepNext/>
      </w:pPr>
      <w:r>
        <w:rPr>
          <w:rFonts w:ascii="Liberation Sans" w:hAnsi="Liberation Sans" w:eastAsia="Liberation Sans"/>
          <w:b/>
          <w:color w:val="2F5597"/>
          <w:sz w:val="26"/>
        </w:rPr>
        <w:t>19.5. Квадратично-чередующийся сертификат R⋆R</w:t>
      </w:r>
    </w:p>
    <w:p>
      <w:pPr>
        <w:widowControl/>
      </w:pPr>
      <w:r>
        <w:rPr>
          <w:b/>
          <w:color w:val="1B3F60"/>
        </w:rPr>
        <w:t xml:space="preserve">Определение 5.10 (DEF-A). Три квадратичных карандаша. </w:t>
      </w:r>
      <w:r>
        <w:t>Для трёхлинейного T=Ass_⊙ зададим Q₁₂(c;x)=T(x,x,c), Q₁₃(b;x)=T(x,b,x), Q₂₃(a;x)=T(a,x,x). При char 𝕂≠2 их поляризации восстанавливают симметризации T по соответствующим парам слотов.</w:t>
      </w:r>
    </w:p>
    <w:p>
      <w:pPr>
        <w:widowControl/>
        <w:spacing w:before="80" w:after="120"/>
        <w:jc w:val="center"/>
      </w:pPr>
      <w:r>
        <w:rPr>
          <w:rFonts w:ascii="Cambria Math" w:hAnsi="Cambria Math" w:eastAsia="Cambria Math"/>
          <w:sz w:val="23"/>
        </w:rPr>
        <w:t>S₁₂T(x,y,c) = ½[Q₁₂(c;x+y)−Q₁₂(c;x)−Q₁₂(c;y)] = ½[T(x,y,c)+T(y,x,c)],</w:t>
      </w:r>
    </w:p>
    <w:p>
      <w:pPr>
        <w:widowControl/>
        <w:spacing w:before="80" w:after="120"/>
        <w:jc w:val="center"/>
      </w:pPr>
      <w:r>
        <w:rPr>
          <w:rFonts w:ascii="Cambria Math" w:hAnsi="Cambria Math" w:eastAsia="Cambria Math"/>
          <w:sz w:val="23"/>
        </w:rPr>
        <w:t>S₁₃T(x,b,y) = ½[T(x,b,y)+T(y,b,x)],</w:t>
      </w:r>
    </w:p>
    <w:p>
      <w:pPr>
        <w:widowControl/>
        <w:spacing w:before="80" w:after="120"/>
        <w:jc w:val="center"/>
      </w:pPr>
      <w:r>
        <w:rPr>
          <w:rFonts w:ascii="Cambria Math" w:hAnsi="Cambria Math" w:eastAsia="Cambria Math"/>
          <w:sz w:val="23"/>
        </w:rPr>
        <w:t>S₂₃T(a,x,y) = ½[T(a,x,y)+T(a,y,x)].</w:t>
      </w:r>
    </w:p>
    <w:p>
      <w:pPr>
        <w:widowControl/>
      </w:pPr>
      <w:r>
        <w:rPr>
          <w:b/>
          <w:color w:val="1B3F60"/>
        </w:rPr>
        <w:t xml:space="preserve">Определение 5.11 (DEF-A). Чередующаяся компонента. </w:t>
      </w:r>
      <w:r>
        <w:t>При char 𝕂≠2,3 полагаем Alt(T)=(1/6)Σ_{σ∈S₃}sgn(σ)·T∘σ.</w:t>
      </w:r>
    </w:p>
    <w:p>
      <w:pPr>
        <w:keepNext/>
        <w:widowControl/>
      </w:pPr>
      <w:r>
        <w:rPr>
          <w:b/>
          <w:color w:val="1B3F60"/>
        </w:rPr>
        <w:t xml:space="preserve">Теорема 5.12 (THM). Полнота квадратично-чередующегося сертификата. </w:t>
      </w:r>
      <w:r>
        <w:t>При char 𝕂≠2,3 отображение T↦(S₁₂T,S₁₃T,S₂₃T,Alt(T)) инъективно. Следовательно, три поляризованных квадратичных карандаша вместе с Alt(T) однозначно определяют T.</w:t>
      </w:r>
    </w:p>
    <w:p>
      <w:pPr>
        <w:widowControl/>
      </w:pPr>
      <w:r>
        <w:rPr>
          <w:b/>
        </w:rPr>
        <w:t xml:space="preserve">Доказательство. </w:t>
      </w:r>
      <w:r>
        <w:t>Пусть все четыре компоненты образа равны нулю. Равенство S_ijT=0 означает, что T меняет знак при каждой транспозиции соответствующих слотов. Поэтому T является чередующимся. Для чередующегося T имеем Alt(T)=T, а по гипотезе Alt(T)=0. Значит, T=0.</w:t>
      </w:r>
    </w:p>
    <w:p>
      <w:pPr>
        <w:widowControl/>
      </w:pPr>
      <w:r>
        <w:rPr>
          <w:b/>
          <w:color w:val="1B3F60"/>
        </w:rPr>
        <w:t xml:space="preserve">Определение 5.13 (DEF-A). Строгая реализация авторского объекта R⋆R. </w:t>
      </w:r>
      <w:r>
        <w:t>Для допустимого реперного слоя ℛ⊆𝒜 объект R⋆R определяется как сертификат (Dom_Ass|ℛ³, Q₁₂, Q₁₃, Q₂₃, Alt(Ass), J_Ass, Prof_Ass). Это не новое умножение и не Hodge-оператор; знак ⋆ резервируется за ассоциаторным пакетным слоем.</w:t>
      </w:r>
    </w:p>
    <w:p>
      <w:pPr>
        <w:widowControl/>
        <w:jc w:val="center"/>
      </w:pPr>
      <w:r>
        <w:drawing>
          <wp:inline xmlns:a="http://schemas.openxmlformats.org/drawingml/2006/main" xmlns:pic="http://schemas.openxmlformats.org/drawingml/2006/picture">
            <wp:extent cx="5580000" cy="2873026"/>
            <wp:docPr id="10" name="Picture 10"/>
            <wp:cNvGraphicFramePr>
              <a:graphicFrameLocks noChangeAspect="1"/>
            </wp:cNvGraphicFramePr>
            <a:graphic>
              <a:graphicData uri="http://schemas.openxmlformats.org/drawingml/2006/picture">
                <pic:pic>
                  <pic:nvPicPr>
                    <pic:cNvPr id="0" name="encoding.png"/>
                    <pic:cNvPicPr/>
                  </pic:nvPicPr>
                  <pic:blipFill>
                    <a:blip r:embed="rId22"/>
                    <a:stretch>
                      <a:fillRect/>
                    </a:stretch>
                  </pic:blipFill>
                  <pic:spPr>
                    <a:xfrm>
                      <a:off x="0" y="0"/>
                      <a:ext cx="5580000" cy="2873026"/>
                    </a:xfrm>
                    <a:prstGeom prst="rect"/>
                  </pic:spPr>
                </pic:pic>
              </a:graphicData>
            </a:graphic>
          </wp:inline>
        </w:drawing>
      </w:r>
    </w:p>
    <w:p>
      <w:pPr>
        <w:pStyle w:val="Caption"/>
        <w:widowControl/>
        <w:jc w:val="center"/>
      </w:pPr>
      <w:r>
        <w:t>Рисунок 6. Полный R⋆R-сертификат: квадратичные каналы и чередующаяся компонента. Собственная схема Тома II.</w:t>
      </w:r>
    </w:p>
    <w:p>
      <w:pPr>
        <w:pStyle w:val="Heading2"/>
        <w:widowControl/>
        <w:keepNext/>
      </w:pPr>
      <w:r>
        <w:rPr>
          <w:rFonts w:ascii="Liberation Sans" w:hAnsi="Liberation Sans" w:eastAsia="Liberation Sans"/>
          <w:b/>
          <w:color w:val="2F5597"/>
          <w:sz w:val="26"/>
        </w:rPr>
        <w:t>19.6. Явные модели и контрпримеры</w:t>
      </w:r>
    </w:p>
    <w:p>
      <w:pPr>
        <w:widowControl/>
      </w:pPr>
      <w:r>
        <w:t>Модель A₂. Пусть 𝒜₂=span{u,v} и произведение задаётся таблицей u⊙u=u, u⊙v=v, v⊙u=0, v⊙v=u.</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417"/>
            <w:shd w:fill="DCE7F2"/>
            <w:tcMar>
              <w:top w:w="90" w:type="dxa"/>
              <w:start w:w="100" w:type="dxa"/>
              <w:bottom w:w="90" w:type="dxa"/>
              <w:end w:w="100" w:type="dxa"/>
            </w:tcMar>
            <w:vAlign w:val="center"/>
          </w:tcPr>
          <w:p>
            <w:pPr>
              <w:jc w:val="center"/>
            </w:pPr>
            <w:r>
              <w:rPr>
                <w:b/>
                <w:sz w:val="20"/>
              </w:rPr>
              <w:t>⊙</w:t>
            </w:r>
          </w:p>
        </w:tc>
        <w:tc>
          <w:tcPr>
            <w:tcW w:type="dxa" w:w="3288"/>
            <w:shd w:fill="DCE7F2"/>
            <w:tcMar>
              <w:top w:w="90" w:type="dxa"/>
              <w:start w:w="100" w:type="dxa"/>
              <w:bottom w:w="90" w:type="dxa"/>
              <w:end w:w="100" w:type="dxa"/>
            </w:tcMar>
            <w:vAlign w:val="center"/>
          </w:tcPr>
          <w:p>
            <w:pPr>
              <w:jc w:val="center"/>
            </w:pPr>
            <w:r>
              <w:rPr>
                <w:b/>
                <w:sz w:val="20"/>
              </w:rPr>
              <w:t>u</w:t>
            </w:r>
          </w:p>
        </w:tc>
        <w:tc>
          <w:tcPr>
            <w:tcW w:type="dxa" w:w="3288"/>
            <w:shd w:fill="DCE7F2"/>
            <w:tcMar>
              <w:top w:w="90" w:type="dxa"/>
              <w:start w:w="100" w:type="dxa"/>
              <w:bottom w:w="90" w:type="dxa"/>
              <w:end w:w="100" w:type="dxa"/>
            </w:tcMar>
            <w:vAlign w:val="center"/>
          </w:tcPr>
          <w:p>
            <w:pPr>
              <w:jc w:val="center"/>
            </w:pPr>
            <w:r>
              <w:rPr>
                <w:b/>
                <w:sz w:val="20"/>
              </w:rPr>
              <w:t>v</w:t>
            </w:r>
          </w:p>
        </w:tc>
      </w:tr>
      <w:tr>
        <w:tc>
          <w:tcPr>
            <w:tcW w:type="dxa" w:w="1417"/>
            <w:tcMar>
              <w:top w:w="90" w:type="dxa"/>
              <w:start w:w="100" w:type="dxa"/>
              <w:bottom w:w="90" w:type="dxa"/>
              <w:end w:w="100" w:type="dxa"/>
            </w:tcMar>
            <w:vAlign w:val="center"/>
          </w:tcPr>
          <w:p>
            <w:pPr>
              <w:spacing w:after="0"/>
              <w:jc w:val="center"/>
            </w:pPr>
            <w:r>
              <w:rPr>
                <w:sz w:val="20"/>
              </w:rPr>
              <w:t>u</w:t>
            </w:r>
          </w:p>
        </w:tc>
        <w:tc>
          <w:tcPr>
            <w:tcW w:type="dxa" w:w="3288"/>
            <w:tcMar>
              <w:top w:w="90" w:type="dxa"/>
              <w:start w:w="100" w:type="dxa"/>
              <w:bottom w:w="90" w:type="dxa"/>
              <w:end w:w="100" w:type="dxa"/>
            </w:tcMar>
            <w:vAlign w:val="center"/>
          </w:tcPr>
          <w:p>
            <w:pPr>
              <w:spacing w:after="0"/>
            </w:pPr>
            <w:r>
              <w:rPr>
                <w:sz w:val="20"/>
              </w:rPr>
              <w:t>u</w:t>
            </w:r>
          </w:p>
        </w:tc>
        <w:tc>
          <w:tcPr>
            <w:tcW w:type="dxa" w:w="3288"/>
            <w:tcMar>
              <w:top w:w="90" w:type="dxa"/>
              <w:start w:w="100" w:type="dxa"/>
              <w:bottom w:w="90" w:type="dxa"/>
              <w:end w:w="100" w:type="dxa"/>
            </w:tcMar>
            <w:vAlign w:val="center"/>
          </w:tcPr>
          <w:p>
            <w:pPr>
              <w:spacing w:after="0"/>
            </w:pPr>
            <w:r>
              <w:rPr>
                <w:sz w:val="20"/>
              </w:rPr>
              <w:t>v</w:t>
            </w:r>
          </w:p>
        </w:tc>
      </w:tr>
      <w:tr>
        <w:tc>
          <w:tcPr>
            <w:tcW w:type="dxa" w:w="1417"/>
            <w:tcMar>
              <w:top w:w="90" w:type="dxa"/>
              <w:start w:w="100" w:type="dxa"/>
              <w:bottom w:w="90" w:type="dxa"/>
              <w:end w:w="100" w:type="dxa"/>
            </w:tcMar>
            <w:vAlign w:val="center"/>
          </w:tcPr>
          <w:p>
            <w:pPr>
              <w:spacing w:after="0"/>
              <w:jc w:val="center"/>
            </w:pPr>
            <w:r>
              <w:rPr>
                <w:sz w:val="20"/>
              </w:rPr>
              <w:t>v</w:t>
            </w:r>
          </w:p>
        </w:tc>
        <w:tc>
          <w:tcPr>
            <w:tcW w:type="dxa" w:w="3288"/>
            <w:tcMar>
              <w:top w:w="90" w:type="dxa"/>
              <w:start w:w="100" w:type="dxa"/>
              <w:bottom w:w="90" w:type="dxa"/>
              <w:end w:w="100" w:type="dxa"/>
            </w:tcMar>
            <w:vAlign w:val="center"/>
          </w:tcPr>
          <w:p>
            <w:pPr>
              <w:spacing w:after="0"/>
            </w:pPr>
            <w:r>
              <w:rPr>
                <w:sz w:val="20"/>
              </w:rPr>
              <w:t>0</w:t>
            </w:r>
          </w:p>
        </w:tc>
        <w:tc>
          <w:tcPr>
            <w:tcW w:type="dxa" w:w="3288"/>
            <w:tcMar>
              <w:top w:w="90" w:type="dxa"/>
              <w:start w:w="100" w:type="dxa"/>
              <w:bottom w:w="90" w:type="dxa"/>
              <w:end w:w="100" w:type="dxa"/>
            </w:tcMar>
            <w:vAlign w:val="center"/>
          </w:tcPr>
          <w:p>
            <w:pPr>
              <w:spacing w:after="0"/>
            </w:pPr>
            <w:r>
              <w:rPr>
                <w:sz w:val="20"/>
              </w:rPr>
              <w:t>u</w:t>
            </w:r>
          </w:p>
        </w:tc>
      </w:tr>
    </w:tbl>
    <w:p>
      <w:pPr>
        <w:widowControl/>
        <w:spacing w:after="40"/>
      </w:pPr>
    </w:p>
    <w:p>
      <w:pPr>
        <w:widowControl/>
        <w:spacing w:before="80" w:after="120"/>
        <w:jc w:val="center"/>
      </w:pPr>
      <w:r>
        <w:rPr>
          <w:rFonts w:ascii="Cambria Math" w:hAnsi="Cambria Math" w:eastAsia="Cambria Math"/>
          <w:sz w:val="23"/>
        </w:rPr>
        <w:t>Ass(v,u,v)=−u,   Ass(v,v,u)=u,   Ass(v,v,v)=v.</w:t>
      </w:r>
    </w:p>
    <w:p>
      <w:pPr>
        <w:keepNext/>
        <w:widowControl/>
      </w:pPr>
      <w:r>
        <w:rPr>
          <w:b/>
          <w:color w:val="1B3F60"/>
        </w:rPr>
        <w:t xml:space="preserve">Предложение 5.14 (THM). Профиль модели A₂. </w:t>
      </w:r>
      <w:r>
        <w:t>Для 𝒜₂ имеем N_l=𝕂u, N_m=0, N_r=0, N=0, Z=0 и J_Ass=𝒜₂.</w:t>
      </w:r>
    </w:p>
    <w:p>
      <w:pPr>
        <w:widowControl/>
      </w:pPr>
      <w:r>
        <w:rPr>
          <w:b/>
        </w:rPr>
        <w:t xml:space="preserve">Доказательство. </w:t>
      </w:r>
      <w:r>
        <w:t>Прямое вычисление на базисных тройках даёт указанные ассоциаторы. Условия для ядер сводятся к линейной системе; левое ядро порождается u, а среднее и правое тривиальны. Значения Ass(v,v,u)=u и Ass(v,v,v)=v порождают всю алгебру, поэтому J_Ass=𝒜₂.</w:t>
      </w:r>
    </w:p>
    <w:p>
      <w:pPr>
        <w:widowControl/>
      </w:pPr>
      <w:r>
        <w:t>Модель M₂. Для матричной алгебры M₂(𝕂) ассоциатор тождественно равен нулю, все три ядра совпадают с M₂(𝕂), J_Ass=0, а центр состоит из скалярных матриц.</w:t>
      </w:r>
    </w:p>
    <w:p>
      <w:pPr>
        <w:widowControl/>
      </w:pPr>
      <w:r>
        <w:t>Модель 𝕆. В реальных октонионах выберем ориентированные циклы (123), (145), (176), (246), (257), (347), (365). Тогда</w:t>
      </w:r>
    </w:p>
    <w:p>
      <w:pPr>
        <w:widowControl/>
        <w:spacing w:before="80" w:after="120"/>
        <w:jc w:val="center"/>
      </w:pPr>
      <w:r>
        <w:rPr>
          <w:rFonts w:ascii="Cambria Math" w:hAnsi="Cambria Math" w:eastAsia="Cambria Math"/>
          <w:sz w:val="23"/>
        </w:rPr>
        <w:t>Ass(e₁,e₂,e₄) = (e₁e₂)e₄ − e₁(e₂e₄) = e₇ − (−e₇) = 2e₇ ≠ 0,</w:t>
      </w:r>
    </w:p>
    <w:p>
      <w:pPr>
        <w:widowControl/>
      </w:pPr>
      <w:r>
        <w:t>но альтернативность даёт Ass(x,x,y)=Ass(y,x,x)=0 и, в частности, Ass(x,x,x)=0. Этот пример является сертификатом против диагонального восстановления.</w:t>
      </w:r>
    </w:p>
    <w:tbl>
      <w:tblPr>
        <w:tblW w:type="auto" w:w="0"/>
        <w:jc w:val="center"/>
        <w:tblLayout w:type="fixed"/>
        <w:tblLook w:firstColumn="1" w:firstRow="1" w:lastColumn="0" w:lastRow="0" w:noHBand="0" w:noVBand="1" w:val="04A0"/>
      </w:tblPr>
      <w:tblGrid>
        <w:gridCol w:w="1625"/>
        <w:gridCol w:w="1625"/>
        <w:gridCol w:w="1625"/>
        <w:gridCol w:w="1625"/>
        <w:gridCol w:w="1625"/>
        <w:gridCol w:w="1625"/>
      </w:tblGrid>
      <w:tr>
        <w:trPr>
          <w:tblHeader w:val="true"/>
        </w:trPr>
        <w:tc>
          <w:tcPr>
            <w:tcW w:type="dxa" w:w="1247"/>
            <w:shd w:fill="DCE7F2"/>
            <w:tcMar>
              <w:top w:w="90" w:type="dxa"/>
              <w:start w:w="100" w:type="dxa"/>
              <w:bottom w:w="90" w:type="dxa"/>
              <w:end w:w="100" w:type="dxa"/>
            </w:tcMar>
            <w:vAlign w:val="center"/>
          </w:tcPr>
          <w:p>
            <w:pPr>
              <w:jc w:val="center"/>
            </w:pPr>
            <w:r>
              <w:rPr>
                <w:b/>
                <w:sz w:val="16"/>
              </w:rPr>
              <w:t>Модель</w:t>
            </w:r>
          </w:p>
        </w:tc>
        <w:tc>
          <w:tcPr>
            <w:tcW w:type="dxa" w:w="1020"/>
            <w:shd w:fill="DCE7F2"/>
            <w:tcMar>
              <w:top w:w="90" w:type="dxa"/>
              <w:start w:w="100" w:type="dxa"/>
              <w:bottom w:w="90" w:type="dxa"/>
              <w:end w:w="100" w:type="dxa"/>
            </w:tcMar>
            <w:vAlign w:val="center"/>
          </w:tcPr>
          <w:p>
            <w:pPr>
              <w:jc w:val="center"/>
            </w:pPr>
            <w:r>
              <w:rPr>
                <w:b/>
                <w:sz w:val="16"/>
              </w:rPr>
              <w:t>rank Ass</w:t>
            </w:r>
          </w:p>
        </w:tc>
        <w:tc>
          <w:tcPr>
            <w:tcW w:type="dxa" w:w="1871"/>
            <w:shd w:fill="DCE7F2"/>
            <w:tcMar>
              <w:top w:w="90" w:type="dxa"/>
              <w:start w:w="100" w:type="dxa"/>
              <w:bottom w:w="90" w:type="dxa"/>
              <w:end w:w="100" w:type="dxa"/>
            </w:tcMar>
            <w:vAlign w:val="center"/>
          </w:tcPr>
          <w:p>
            <w:pPr>
              <w:jc w:val="center"/>
            </w:pPr>
            <w:r>
              <w:rPr>
                <w:b/>
                <w:sz w:val="16"/>
              </w:rPr>
              <w:t>N_l/N_m/N_r</w:t>
            </w:r>
          </w:p>
        </w:tc>
        <w:tc>
          <w:tcPr>
            <w:tcW w:type="dxa" w:w="850"/>
            <w:shd w:fill="DCE7F2"/>
            <w:tcMar>
              <w:top w:w="90" w:type="dxa"/>
              <w:start w:w="100" w:type="dxa"/>
              <w:bottom w:w="90" w:type="dxa"/>
              <w:end w:w="100" w:type="dxa"/>
            </w:tcMar>
            <w:vAlign w:val="center"/>
          </w:tcPr>
          <w:p>
            <w:pPr>
              <w:jc w:val="center"/>
            </w:pPr>
            <w:r>
              <w:rPr>
                <w:b/>
                <w:sz w:val="16"/>
              </w:rPr>
              <w:t>Z</w:t>
            </w:r>
          </w:p>
        </w:tc>
        <w:tc>
          <w:tcPr>
            <w:tcW w:type="dxa" w:w="1247"/>
            <w:shd w:fill="DCE7F2"/>
            <w:tcMar>
              <w:top w:w="90" w:type="dxa"/>
              <w:start w:w="100" w:type="dxa"/>
              <w:bottom w:w="90" w:type="dxa"/>
              <w:end w:w="100" w:type="dxa"/>
            </w:tcMar>
            <w:vAlign w:val="center"/>
          </w:tcPr>
          <w:p>
            <w:pPr>
              <w:jc w:val="center"/>
            </w:pPr>
            <w:r>
              <w:rPr>
                <w:b/>
                <w:sz w:val="16"/>
              </w:rPr>
              <w:t>J_Ass</w:t>
            </w:r>
          </w:p>
        </w:tc>
        <w:tc>
          <w:tcPr>
            <w:tcW w:type="dxa" w:w="2835"/>
            <w:shd w:fill="DCE7F2"/>
            <w:tcMar>
              <w:top w:w="90" w:type="dxa"/>
              <w:start w:w="100" w:type="dxa"/>
              <w:bottom w:w="90" w:type="dxa"/>
              <w:end w:w="100" w:type="dxa"/>
            </w:tcMar>
            <w:vAlign w:val="center"/>
          </w:tcPr>
          <w:p>
            <w:pPr>
              <w:jc w:val="center"/>
            </w:pPr>
            <w:r>
              <w:rPr>
                <w:b/>
                <w:sz w:val="16"/>
              </w:rPr>
              <w:t>Роль</w:t>
            </w:r>
          </w:p>
        </w:tc>
      </w:tr>
      <w:tr>
        <w:tc>
          <w:tcPr>
            <w:tcW w:type="dxa" w:w="1247"/>
            <w:tcMar>
              <w:top w:w="90" w:type="dxa"/>
              <w:start w:w="100" w:type="dxa"/>
              <w:bottom w:w="90" w:type="dxa"/>
              <w:end w:w="100" w:type="dxa"/>
            </w:tcMar>
            <w:vAlign w:val="center"/>
          </w:tcPr>
          <w:p>
            <w:pPr>
              <w:spacing w:after="0"/>
              <w:jc w:val="center"/>
            </w:pPr>
            <w:r>
              <w:rPr>
                <w:sz w:val="16"/>
              </w:rPr>
              <w:t>M₂(𝕂)</w:t>
            </w:r>
          </w:p>
        </w:tc>
        <w:tc>
          <w:tcPr>
            <w:tcW w:type="dxa" w:w="1020"/>
            <w:tcMar>
              <w:top w:w="90" w:type="dxa"/>
              <w:start w:w="100" w:type="dxa"/>
              <w:bottom w:w="90" w:type="dxa"/>
              <w:end w:w="100" w:type="dxa"/>
            </w:tcMar>
            <w:vAlign w:val="center"/>
          </w:tcPr>
          <w:p>
            <w:pPr>
              <w:spacing w:after="0"/>
            </w:pPr>
            <w:r>
              <w:rPr>
                <w:sz w:val="16"/>
              </w:rPr>
              <w:t>0</w:t>
            </w:r>
          </w:p>
        </w:tc>
        <w:tc>
          <w:tcPr>
            <w:tcW w:type="dxa" w:w="1871"/>
            <w:tcMar>
              <w:top w:w="90" w:type="dxa"/>
              <w:start w:w="100" w:type="dxa"/>
              <w:bottom w:w="90" w:type="dxa"/>
              <w:end w:w="100" w:type="dxa"/>
            </w:tcMar>
            <w:vAlign w:val="center"/>
          </w:tcPr>
          <w:p>
            <w:pPr>
              <w:spacing w:after="0"/>
            </w:pPr>
            <w:r>
              <w:rPr>
                <w:sz w:val="16"/>
              </w:rPr>
              <w:t>вся алгебра</w:t>
            </w:r>
          </w:p>
        </w:tc>
        <w:tc>
          <w:tcPr>
            <w:tcW w:type="dxa" w:w="850"/>
            <w:tcMar>
              <w:top w:w="90" w:type="dxa"/>
              <w:start w:w="100" w:type="dxa"/>
              <w:bottom w:w="90" w:type="dxa"/>
              <w:end w:w="100" w:type="dxa"/>
            </w:tcMar>
            <w:vAlign w:val="center"/>
          </w:tcPr>
          <w:p>
            <w:pPr>
              <w:spacing w:after="0"/>
            </w:pPr>
            <w:r>
              <w:rPr>
                <w:sz w:val="16"/>
              </w:rPr>
              <w:t>𝕂·I</w:t>
            </w:r>
          </w:p>
        </w:tc>
        <w:tc>
          <w:tcPr>
            <w:tcW w:type="dxa" w:w="1247"/>
            <w:tcMar>
              <w:top w:w="90" w:type="dxa"/>
              <w:start w:w="100" w:type="dxa"/>
              <w:bottom w:w="90" w:type="dxa"/>
              <w:end w:w="100" w:type="dxa"/>
            </w:tcMar>
            <w:vAlign w:val="center"/>
          </w:tcPr>
          <w:p>
            <w:pPr>
              <w:spacing w:after="0"/>
            </w:pPr>
            <w:r>
              <w:rPr>
                <w:sz w:val="16"/>
              </w:rPr>
              <w:t>0</w:t>
            </w:r>
          </w:p>
        </w:tc>
        <w:tc>
          <w:tcPr>
            <w:tcW w:type="dxa" w:w="2835"/>
            <w:tcMar>
              <w:top w:w="90" w:type="dxa"/>
              <w:start w:w="100" w:type="dxa"/>
              <w:bottom w:w="90" w:type="dxa"/>
              <w:end w:w="100" w:type="dxa"/>
            </w:tcMar>
            <w:vAlign w:val="center"/>
          </w:tcPr>
          <w:p>
            <w:pPr>
              <w:spacing w:after="0"/>
            </w:pPr>
            <w:r>
              <w:rPr>
                <w:sz w:val="16"/>
              </w:rPr>
              <w:t>ассоциативный нулевой контроль</w:t>
            </w:r>
          </w:p>
        </w:tc>
      </w:tr>
      <w:tr>
        <w:tc>
          <w:tcPr>
            <w:tcW w:type="dxa" w:w="1247"/>
            <w:tcMar>
              <w:top w:w="90" w:type="dxa"/>
              <w:start w:w="100" w:type="dxa"/>
              <w:bottom w:w="90" w:type="dxa"/>
              <w:end w:w="100" w:type="dxa"/>
            </w:tcMar>
            <w:vAlign w:val="center"/>
          </w:tcPr>
          <w:p>
            <w:pPr>
              <w:spacing w:after="0"/>
              <w:jc w:val="center"/>
            </w:pPr>
            <w:r>
              <w:rPr>
                <w:sz w:val="16"/>
              </w:rPr>
              <w:t>𝒜₂</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1 / 0 / 0</w:t>
            </w:r>
          </w:p>
        </w:tc>
        <w:tc>
          <w:tcPr>
            <w:tcW w:type="dxa" w:w="850"/>
            <w:tcMar>
              <w:top w:w="90" w:type="dxa"/>
              <w:start w:w="100" w:type="dxa"/>
              <w:bottom w:w="90" w:type="dxa"/>
              <w:end w:w="100" w:type="dxa"/>
            </w:tcMar>
            <w:vAlign w:val="center"/>
          </w:tcPr>
          <w:p>
            <w:pPr>
              <w:spacing w:after="0"/>
            </w:pPr>
            <w:r>
              <w:rPr>
                <w:sz w:val="16"/>
              </w:rPr>
              <w:t>0</w:t>
            </w:r>
          </w:p>
        </w:tc>
        <w:tc>
          <w:tcPr>
            <w:tcW w:type="dxa" w:w="1247"/>
            <w:tcMar>
              <w:top w:w="90" w:type="dxa"/>
              <w:start w:w="100" w:type="dxa"/>
              <w:bottom w:w="90" w:type="dxa"/>
              <w:end w:w="100" w:type="dxa"/>
            </w:tcMar>
            <w:vAlign w:val="center"/>
          </w:tcPr>
          <w:p>
            <w:pPr>
              <w:spacing w:after="0"/>
            </w:pPr>
            <w:r>
              <w:rPr>
                <w:sz w:val="16"/>
              </w:rPr>
              <w:t>𝒜₂</w:t>
            </w:r>
          </w:p>
        </w:tc>
        <w:tc>
          <w:tcPr>
            <w:tcW w:type="dxa" w:w="2835"/>
            <w:tcMar>
              <w:top w:w="90" w:type="dxa"/>
              <w:start w:w="100" w:type="dxa"/>
              <w:bottom w:w="90" w:type="dxa"/>
              <w:end w:w="100" w:type="dxa"/>
            </w:tcMar>
            <w:vAlign w:val="center"/>
          </w:tcPr>
          <w:p>
            <w:pPr>
              <w:spacing w:after="0"/>
            </w:pPr>
            <w:r>
              <w:rPr>
                <w:sz w:val="16"/>
              </w:rPr>
              <w:t>явное полное разрушение ассоциативного отражения</w:t>
            </w:r>
          </w:p>
        </w:tc>
      </w:tr>
      <w:tr>
        <w:tc>
          <w:tcPr>
            <w:tcW w:type="dxa" w:w="1247"/>
            <w:tcMar>
              <w:top w:w="90" w:type="dxa"/>
              <w:start w:w="100" w:type="dxa"/>
              <w:bottom w:w="90" w:type="dxa"/>
              <w:end w:w="100" w:type="dxa"/>
            </w:tcMar>
            <w:vAlign w:val="center"/>
          </w:tcPr>
          <w:p>
            <w:pPr>
              <w:spacing w:after="0"/>
              <w:jc w:val="center"/>
            </w:pPr>
            <w:r>
              <w:rPr>
                <w:sz w:val="16"/>
              </w:rPr>
              <w:t>𝕆</w:t>
            </w:r>
          </w:p>
        </w:tc>
        <w:tc>
          <w:tcPr>
            <w:tcW w:type="dxa" w:w="1020"/>
            <w:tcMar>
              <w:top w:w="90" w:type="dxa"/>
              <w:start w:w="100" w:type="dxa"/>
              <w:bottom w:w="90" w:type="dxa"/>
              <w:end w:w="100" w:type="dxa"/>
            </w:tcMar>
            <w:vAlign w:val="center"/>
          </w:tcPr>
          <w:p>
            <w:pPr>
              <w:spacing w:after="0"/>
            </w:pPr>
            <w:r>
              <w:rPr>
                <w:sz w:val="16"/>
              </w:rPr>
              <w:t>&gt;0</w:t>
            </w:r>
          </w:p>
        </w:tc>
        <w:tc>
          <w:tcPr>
            <w:tcW w:type="dxa" w:w="1871"/>
            <w:tcMar>
              <w:top w:w="90" w:type="dxa"/>
              <w:start w:w="100" w:type="dxa"/>
              <w:bottom w:w="90" w:type="dxa"/>
              <w:end w:w="100" w:type="dxa"/>
            </w:tcMar>
            <w:vAlign w:val="center"/>
          </w:tcPr>
          <w:p>
            <w:pPr>
              <w:spacing w:after="0"/>
            </w:pPr>
            <w:r>
              <w:rPr>
                <w:sz w:val="16"/>
              </w:rPr>
              <w:t>𝕂 / 𝕂 / 𝕂</w:t>
            </w:r>
          </w:p>
        </w:tc>
        <w:tc>
          <w:tcPr>
            <w:tcW w:type="dxa" w:w="850"/>
            <w:tcMar>
              <w:top w:w="90" w:type="dxa"/>
              <w:start w:w="100" w:type="dxa"/>
              <w:bottom w:w="90" w:type="dxa"/>
              <w:end w:w="100" w:type="dxa"/>
            </w:tcMar>
            <w:vAlign w:val="center"/>
          </w:tcPr>
          <w:p>
            <w:pPr>
              <w:spacing w:after="0"/>
            </w:pPr>
            <w:r>
              <w:rPr>
                <w:sz w:val="16"/>
              </w:rPr>
              <w:t>𝕂</w:t>
            </w:r>
          </w:p>
        </w:tc>
        <w:tc>
          <w:tcPr>
            <w:tcW w:type="dxa" w:w="1247"/>
            <w:tcMar>
              <w:top w:w="90" w:type="dxa"/>
              <w:start w:w="100" w:type="dxa"/>
              <w:bottom w:w="90" w:type="dxa"/>
              <w:end w:w="100" w:type="dxa"/>
            </w:tcMar>
            <w:vAlign w:val="center"/>
          </w:tcPr>
          <w:p>
            <w:pPr>
              <w:spacing w:after="0"/>
            </w:pPr>
            <w:r>
              <w:rPr>
                <w:sz w:val="16"/>
              </w:rPr>
              <w:t>не фиксируется здесь</w:t>
            </w:r>
          </w:p>
        </w:tc>
        <w:tc>
          <w:tcPr>
            <w:tcW w:type="dxa" w:w="2835"/>
            <w:tcMar>
              <w:top w:w="90" w:type="dxa"/>
              <w:start w:w="100" w:type="dxa"/>
              <w:bottom w:w="90" w:type="dxa"/>
              <w:end w:w="100" w:type="dxa"/>
            </w:tcMar>
            <w:vAlign w:val="center"/>
          </w:tcPr>
          <w:p>
            <w:pPr>
              <w:spacing w:after="0"/>
            </w:pPr>
            <w:r>
              <w:rPr>
                <w:sz w:val="16"/>
              </w:rPr>
              <w:t>контрпример к диагональному кодированию</w:t>
            </w:r>
          </w:p>
        </w:tc>
      </w:tr>
    </w:tbl>
    <w:p>
      <w:pPr>
        <w:widowControl/>
        <w:spacing w:after="40"/>
      </w:pPr>
    </w:p>
    <w:p>
      <w:pPr>
        <w:pStyle w:val="Heading2"/>
        <w:widowControl/>
        <w:keepNext/>
      </w:pPr>
      <w:r>
        <w:rPr>
          <w:rFonts w:ascii="Liberation Sans" w:hAnsi="Liberation Sans" w:eastAsia="Liberation Sans"/>
          <w:b/>
          <w:color w:val="2F5597"/>
          <w:sz w:val="26"/>
        </w:rPr>
        <w:t>19.7. Ассоциаторный инвариантный профиль</w:t>
      </w:r>
    </w:p>
    <w:p>
      <w:pPr>
        <w:widowControl/>
      </w:pPr>
      <w:r>
        <w:rPr>
          <w:b/>
          <w:color w:val="1B3F60"/>
        </w:rPr>
        <w:t xml:space="preserve">Определение 5.15 (DEF-A). Основной профиль. </w:t>
      </w:r>
      <w:r>
        <w:t>Для конечномерной алгебры определим Prof_Ass(𝒜)=(n,r_Ass,n_l,n_m,n_r,n_N,n_Z), где n=dim𝒜, r_Ass=rank(Ass:𝒜^{⊗3}→𝒜), а остальные координаты являются размерностями трёх ядер, их пересечения и центра. Расширенный профиль добавляет dim J_Ass и ранги выбранных квадратичных каналов.</w:t>
      </w:r>
    </w:p>
    <w:p>
      <w:pPr>
        <w:keepNext/>
        <w:widowControl/>
      </w:pPr>
      <w:r>
        <w:rPr>
          <w:b/>
          <w:color w:val="1B3F60"/>
        </w:rPr>
        <w:t xml:space="preserve">Теорема 5.16 (THM). Изоморфная инвариантность профиля. </w:t>
      </w:r>
      <w:r>
        <w:t>Если Φ:𝒜→ℬ — изоморфизм алгебр, то Prof_Ass(𝒜)=Prof_Ass(ℬ).</w:t>
      </w:r>
    </w:p>
    <w:p>
      <w:pPr>
        <w:widowControl/>
      </w:pPr>
      <w:r>
        <w:rPr>
          <w:b/>
        </w:rPr>
        <w:t xml:space="preserve">Доказательство. </w:t>
      </w:r>
      <w:r>
        <w:t>Из равенства Φ(Ass_𝒜(a,b,c))=Ass_ℬ(Φa,Φb,Φc) следует сопряжённость соответствующих линейных карт. Ранги сохраняются, а Φ взаимно однозначно переносит N_l,N_m,N_r,N,Z.</w:t>
      </w:r>
    </w:p>
    <w:p>
      <w:pPr>
        <w:widowControl/>
      </w:pPr>
      <w:r>
        <w:rPr>
          <w:b/>
          <w:color w:val="1B3F60"/>
        </w:rPr>
        <w:t xml:space="preserve">Определение 5.17 (DEF-A). Псевдодистанция профилей. </w:t>
      </w:r>
      <w:r>
        <w:t>Для весов w_j≥0 полагаем d_prof(𝒜,ℬ)=Σ_j w_j|p_j(𝒜)−p_j(ℬ)|. Это грубая изоморфно-инвариантная диагностика, но не полный классификатор: d_prof=0 не влечёт изоморфизм.</w:t>
      </w:r>
    </w:p>
    <w:p>
      <w:pPr>
        <w:pStyle w:val="Heading2"/>
        <w:widowControl/>
        <w:keepNext/>
      </w:pPr>
      <w:r>
        <w:rPr>
          <w:rFonts w:ascii="Liberation Sans" w:hAnsi="Liberation Sans" w:eastAsia="Liberation Sans"/>
          <w:b/>
          <w:color w:val="2F5597"/>
          <w:sz w:val="26"/>
        </w:rPr>
        <w:t>19.8. Детерминантный горизонт структурных переходов</w:t>
      </w:r>
    </w:p>
    <w:tbl>
      <w:tblPr>
        <w:tblW w:type="auto" w:w="0"/>
        <w:jc w:val="center"/>
        <w:tblLayout w:type="fixed"/>
        <w:tblLook w:firstColumn="1" w:firstRow="1" w:lastColumn="0" w:lastRow="0" w:noHBand="0" w:noVBand="1" w:val="04A0"/>
      </w:tblPr>
      <w:tblGrid>
        <w:gridCol w:w="9752"/>
      </w:tblGrid>
      <w:tr>
        <w:tc>
          <w:tcPr>
            <w:tcW w:type="dxa" w:w="9071"/>
            <w:shd w:fill="E8F0F8"/>
            <w:tcMar>
              <w:top w:w="140" w:type="dxa"/>
              <w:start w:w="180" w:type="dxa"/>
              <w:bottom w:w="140" w:type="dxa"/>
              <w:end w:w="180" w:type="dxa"/>
            </w:tcMar>
          </w:tcPr>
          <w:p>
            <w:pPr>
              <w:spacing w:after="80"/>
            </w:pPr>
            <w:r>
              <w:rPr>
                <w:b/>
                <w:color w:val="1F4468"/>
                <w:sz w:val="21"/>
              </w:rPr>
              <w:t>ОНТОЛОГИЧЕСКИЙ БЛОК</w:t>
            </w:r>
          </w:p>
          <w:p>
            <w:pPr>
              <w:spacing w:after="0"/>
            </w:pPr>
            <w:r>
              <w:rPr>
                <w:sz w:val="19"/>
              </w:rPr>
              <w:t>Структурное изменение не обязано быть видимым в значениях отдельных коэффициентов. Оно становится математически фиксируемым в тот момент, когда меняется ранг тензора, размер ядра или центра. Такие изменения не могут происходить произвольно: они локализованы нулями определителей.</w:t>
            </w:r>
          </w:p>
        </w:tc>
      </w:tr>
    </w:tbl>
    <w:p>
      <w:pPr>
        <w:widowControl/>
        <w:spacing w:after="20"/>
      </w:pPr>
    </w:p>
    <w:p>
      <w:pPr>
        <w:widowControl/>
      </w:pPr>
      <w:r>
        <w:rPr>
          <w:b/>
          <w:color w:val="1B3F60"/>
        </w:rPr>
        <w:t xml:space="preserve">Определение 5.18 (DEF-A). Полиномиальная семья алгебр. </w:t>
      </w:r>
      <w:r>
        <w:t>Пусть V — n-мерное пространство, T — неприводимое алгебраическое многообразие параметров и μ_t∈Hom(V⊗V,V) имеет структурные константы, полиномиальные по t. Обозначим через A_t, L_t, M_t, R_t и C_t матрицы ассоциатора, трёх ядер и коммутаторного канала.</w:t>
      </w:r>
    </w:p>
    <w:p>
      <w:pPr>
        <w:widowControl/>
      </w:pPr>
      <w:r>
        <w:rPr>
          <w:b/>
          <w:color w:val="1B3F60"/>
        </w:rPr>
        <w:t xml:space="preserve">Определение 5.19 (DEF-A). Детерминантный горизонт. </w:t>
      </w:r>
      <w:r>
        <w:t>Δ_NAPG — объединение детерминантных локусов, на которых ранг хотя бы одной из матриц A_t,L_t,M_t,R_t, блочной матрицы nucleus N_t=(L_t,M_t,R_t) или блочной матрицы центра Z_t=(L_t,M_t,R_t,C_t) меньше её общего ранга на непустом открытом подмножестве T.</w:t>
      </w:r>
    </w:p>
    <w:p>
      <w:pPr>
        <w:keepNext/>
        <w:widowControl/>
      </w:pPr>
      <w:r>
        <w:rPr>
          <w:b/>
          <w:color w:val="1B3F60"/>
        </w:rPr>
        <w:t xml:space="preserve">Теорема 5.20 (THM). Локализация структурных переходов. </w:t>
      </w:r>
      <w:r>
        <w:t>На непустом Zariski-открытом множестве T°=T∖Δ_NAPG основной профиль Prof_Ass(𝒜_t) постоянен. В частности, вдоль непрерывного пути γ, лежащего в одной связной компоненте T°, профиль не меняется. Любое изменение профиля требует пересечения Δ_NAPG.</w:t>
      </w:r>
    </w:p>
    <w:p>
      <w:pPr>
        <w:widowControl/>
      </w:pPr>
      <w:r>
        <w:rPr>
          <w:b/>
        </w:rPr>
        <w:t xml:space="preserve">Доказательство. </w:t>
      </w:r>
      <w:r>
        <w:t>Элементы указанных матриц полиномиальны по t. Условие rank≤r задаётся обращением в нуль всех миноров порядка r+1. Общий ранг каждой матрицы достигается на непустом Zariski-открытом множестве. После удаления объединения соответствующих детерминантных локусов все ранги постоянны. Размерности трёх ядер, nucleus и центра равны n минус ранги соответствующих линейных или блочных карт. Следовательно, все координаты Prof_Ass постоянны.</w:t>
      </w:r>
    </w:p>
    <w:p>
      <w:pPr>
        <w:keepNext/>
        <w:widowControl/>
      </w:pPr>
      <w:r>
        <w:rPr>
          <w:b/>
          <w:color w:val="1B3F60"/>
        </w:rPr>
        <w:t xml:space="preserve">Следствие 5.21 (THM). Теорема отрицательного прогноза. </w:t>
      </w:r>
      <w:r>
        <w:t>Если γ([t₀,t₁])∩Δ_NAPG=∅, то в модели на всём интервале исключено изменение основного ассоциаторного профиля.</w:t>
      </w:r>
    </w:p>
    <w:p>
      <w:pPr>
        <w:widowControl/>
      </w:pPr>
      <w:r>
        <w:rPr>
          <w:b/>
        </w:rPr>
        <w:t xml:space="preserve">Доказательство. </w:t>
      </w:r>
      <w:r>
        <w:t>Это непосредственное следствие Теоремы 5.20. Утверждение является точным внутри заданной семьи μ_t и не переносится автоматически на физические системы.</w:t>
      </w:r>
    </w:p>
    <w:p>
      <w:pPr>
        <w:widowControl/>
        <w:jc w:val="center"/>
      </w:pPr>
      <w:r>
        <w:drawing>
          <wp:inline xmlns:a="http://schemas.openxmlformats.org/drawingml/2006/main" xmlns:pic="http://schemas.openxmlformats.org/drawingml/2006/picture">
            <wp:extent cx="5580000" cy="2604897"/>
            <wp:docPr id="11" name="Picture 11"/>
            <wp:cNvGraphicFramePr>
              <a:graphicFrameLocks noChangeAspect="1"/>
            </wp:cNvGraphicFramePr>
            <a:graphic>
              <a:graphicData uri="http://schemas.openxmlformats.org/drawingml/2006/picture">
                <pic:pic>
                  <pic:nvPicPr>
                    <pic:cNvPr id="0" name="horizon.png"/>
                    <pic:cNvPicPr/>
                  </pic:nvPicPr>
                  <pic:blipFill>
                    <a:blip r:embed="rId23"/>
                    <a:stretch>
                      <a:fillRect/>
                    </a:stretch>
                  </pic:blipFill>
                  <pic:spPr>
                    <a:xfrm>
                      <a:off x="0" y="0"/>
                      <a:ext cx="5580000" cy="2604897"/>
                    </a:xfrm>
                    <a:prstGeom prst="rect"/>
                  </pic:spPr>
                </pic:pic>
              </a:graphicData>
            </a:graphic>
          </wp:inline>
        </w:drawing>
      </w:r>
    </w:p>
    <w:p>
      <w:pPr>
        <w:pStyle w:val="Caption"/>
        <w:widowControl/>
        <w:jc w:val="center"/>
      </w:pPr>
      <w:r>
        <w:t>Рисунок 7. Детерминантный горизонт возможных структурных переходов. Собственная схема Тома II.</w:t>
      </w:r>
    </w:p>
    <w:p>
      <w:pPr>
        <w:pStyle w:val="Heading2"/>
        <w:widowControl/>
        <w:keepNext/>
      </w:pPr>
      <w:r>
        <w:rPr>
          <w:rFonts w:ascii="Liberation Sans" w:hAnsi="Liberation Sans" w:eastAsia="Liberation Sans"/>
          <w:b/>
          <w:color w:val="2F5597"/>
          <w:sz w:val="26"/>
        </w:rPr>
        <w:t>19.9. Проективно-гармоническая локализация кандидатов</w:t>
      </w:r>
    </w:p>
    <w:p>
      <w:pPr>
        <w:widowControl/>
      </w:pPr>
      <w:r>
        <w:rPr>
          <w:b/>
          <w:color w:val="1B3F60"/>
        </w:rPr>
        <w:t xml:space="preserve">Определение 5.22 (DEF-A). Прогнозный горизонт вдоль пути. </w:t>
      </w:r>
      <w:r>
        <w:t>Для наблюдаемого параметра t₀ и пути γ:[t₀,t₁]→T полагаем Hor_Ass(γ)=γ^{-1}(Δ_NAPG). Это множество моментов параметрического времени, в которых структурный переход не исключён детерминантной теоремой.</w:t>
      </w:r>
    </w:p>
    <w:p>
      <w:pPr>
        <w:widowControl/>
      </w:pPr>
      <w:r>
        <w:rPr>
          <w:b/>
          <w:color w:val="1B3F60"/>
        </w:rPr>
        <w:t xml:space="preserve">Определение 5.23 (DEF-A). Гармонический кандидат перехода. </w:t>
      </w:r>
      <w:r>
        <w:t>Пусть параметрическая прямая компактифицирована до P¹(𝕂), а ρ=(r,i,u;d) — Reper с u∈Δ_NAPG. Кандидат называется гармоническим, если λ(u,i;r,d)=−1, Valid(D)=1, ρ∈Dom_λ и вычислительный сертификат миноров воспроизводим.</w:t>
      </w:r>
    </w:p>
    <w:p>
      <w:pPr>
        <w:widowControl/>
        <w:spacing w:before="80" w:after="120"/>
        <w:jc w:val="center"/>
      </w:pPr>
      <w:r>
        <w:rPr>
          <w:rFonts w:ascii="Cambria Math" w:hAnsi="Cambria Math" w:eastAsia="Cambria Math"/>
          <w:sz w:val="23"/>
        </w:rPr>
        <w:t>Cand_H = {ρ : u∈Δ_NAPG, λ(ρ)=−1, Valid(D)=1, Cert_det(u)=PASS}.</w:t>
      </w:r>
    </w:p>
    <w:p>
      <w:pPr>
        <w:widowControl/>
      </w:pPr>
      <w:r>
        <w:t>Три уровня статуса различаются жёстко:</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814"/>
            <w:shd w:fill="DCE7F2"/>
            <w:tcMar>
              <w:top w:w="90" w:type="dxa"/>
              <w:start w:w="100" w:type="dxa"/>
              <w:bottom w:w="90" w:type="dxa"/>
              <w:end w:w="100" w:type="dxa"/>
            </w:tcMar>
            <w:vAlign w:val="center"/>
          </w:tcPr>
          <w:p>
            <w:pPr>
              <w:jc w:val="center"/>
            </w:pPr>
            <w:r>
              <w:rPr>
                <w:b/>
                <w:sz w:val="17"/>
              </w:rPr>
              <w:t>Уровень</w:t>
            </w:r>
          </w:p>
        </w:tc>
        <w:tc>
          <w:tcPr>
            <w:tcW w:type="dxa" w:w="3175"/>
            <w:shd w:fill="DCE7F2"/>
            <w:tcMar>
              <w:top w:w="90" w:type="dxa"/>
              <w:start w:w="100" w:type="dxa"/>
              <w:bottom w:w="90" w:type="dxa"/>
              <w:end w:w="100" w:type="dxa"/>
            </w:tcMar>
            <w:vAlign w:val="center"/>
          </w:tcPr>
          <w:p>
            <w:pPr>
              <w:jc w:val="center"/>
            </w:pPr>
            <w:r>
              <w:rPr>
                <w:b/>
                <w:sz w:val="17"/>
              </w:rPr>
              <w:t>Условие</w:t>
            </w:r>
          </w:p>
        </w:tc>
        <w:tc>
          <w:tcPr>
            <w:tcW w:type="dxa" w:w="3969"/>
            <w:shd w:fill="DCE7F2"/>
            <w:tcMar>
              <w:top w:w="90" w:type="dxa"/>
              <w:start w:w="100" w:type="dxa"/>
              <w:bottom w:w="90" w:type="dxa"/>
              <w:end w:w="100" w:type="dxa"/>
            </w:tcMar>
            <w:vAlign w:val="center"/>
          </w:tcPr>
          <w:p>
            <w:pPr>
              <w:jc w:val="center"/>
            </w:pPr>
            <w:r>
              <w:rPr>
                <w:b/>
                <w:sz w:val="17"/>
              </w:rPr>
              <w:t>Разрешённый вывод</w:t>
            </w:r>
          </w:p>
        </w:tc>
      </w:tr>
      <w:tr>
        <w:tc>
          <w:tcPr>
            <w:tcW w:type="dxa" w:w="1814"/>
            <w:tcMar>
              <w:top w:w="90" w:type="dxa"/>
              <w:start w:w="100" w:type="dxa"/>
              <w:bottom w:w="90" w:type="dxa"/>
              <w:end w:w="100" w:type="dxa"/>
            </w:tcMar>
            <w:vAlign w:val="center"/>
          </w:tcPr>
          <w:p>
            <w:pPr>
              <w:spacing w:after="0"/>
              <w:jc w:val="center"/>
            </w:pPr>
            <w:r>
              <w:rPr>
                <w:sz w:val="17"/>
              </w:rPr>
              <w:t>Алгебраический локус</w:t>
            </w:r>
          </w:p>
        </w:tc>
        <w:tc>
          <w:tcPr>
            <w:tcW w:type="dxa" w:w="3175"/>
            <w:tcMar>
              <w:top w:w="90" w:type="dxa"/>
              <w:start w:w="100" w:type="dxa"/>
              <w:bottom w:w="90" w:type="dxa"/>
              <w:end w:w="100" w:type="dxa"/>
            </w:tcMar>
            <w:vAlign w:val="center"/>
          </w:tcPr>
          <w:p>
            <w:pPr>
              <w:spacing w:after="0"/>
            </w:pPr>
            <w:r>
              <w:rPr>
                <w:sz w:val="17"/>
              </w:rPr>
              <w:t>u∈Δ_NAPG</w:t>
            </w:r>
          </w:p>
        </w:tc>
        <w:tc>
          <w:tcPr>
            <w:tcW w:type="dxa" w:w="3969"/>
            <w:tcMar>
              <w:top w:w="90" w:type="dxa"/>
              <w:start w:w="100" w:type="dxa"/>
              <w:bottom w:w="90" w:type="dxa"/>
              <w:end w:w="100" w:type="dxa"/>
            </w:tcMar>
            <w:vAlign w:val="center"/>
          </w:tcPr>
          <w:p>
            <w:pPr>
              <w:spacing w:after="0"/>
            </w:pPr>
            <w:r>
              <w:rPr>
                <w:sz w:val="17"/>
              </w:rPr>
              <w:t>структурный переход не исключён</w:t>
            </w:r>
          </w:p>
        </w:tc>
      </w:tr>
      <w:tr>
        <w:tc>
          <w:tcPr>
            <w:tcW w:type="dxa" w:w="1814"/>
            <w:tcMar>
              <w:top w:w="90" w:type="dxa"/>
              <w:start w:w="100" w:type="dxa"/>
              <w:bottom w:w="90" w:type="dxa"/>
              <w:end w:w="100" w:type="dxa"/>
            </w:tcMar>
            <w:vAlign w:val="center"/>
          </w:tcPr>
          <w:p>
            <w:pPr>
              <w:spacing w:after="0"/>
              <w:jc w:val="center"/>
            </w:pPr>
            <w:r>
              <w:rPr>
                <w:sz w:val="17"/>
              </w:rPr>
              <w:t>Гармонический кандидат</w:t>
            </w:r>
          </w:p>
        </w:tc>
        <w:tc>
          <w:tcPr>
            <w:tcW w:type="dxa" w:w="3175"/>
            <w:tcMar>
              <w:top w:w="90" w:type="dxa"/>
              <w:start w:w="100" w:type="dxa"/>
              <w:bottom w:w="90" w:type="dxa"/>
              <w:end w:w="100" w:type="dxa"/>
            </w:tcMar>
            <w:vAlign w:val="center"/>
          </w:tcPr>
          <w:p>
            <w:pPr>
              <w:spacing w:after="0"/>
            </w:pPr>
            <w:r>
              <w:rPr>
                <w:sz w:val="17"/>
              </w:rPr>
              <w:t>u∈Δ_NAPG и λ=−1 с D/Dom</w:t>
            </w:r>
          </w:p>
        </w:tc>
        <w:tc>
          <w:tcPr>
            <w:tcW w:type="dxa" w:w="3969"/>
            <w:tcMar>
              <w:top w:w="90" w:type="dxa"/>
              <w:start w:w="100" w:type="dxa"/>
              <w:bottom w:w="90" w:type="dxa"/>
              <w:end w:w="100" w:type="dxa"/>
            </w:tcMar>
            <w:vAlign w:val="center"/>
          </w:tcPr>
          <w:p>
            <w:pPr>
              <w:spacing w:after="0"/>
            </w:pPr>
            <w:r>
              <w:rPr>
                <w:sz w:val="17"/>
              </w:rPr>
              <w:t>координатно-инвариантный кандидат для проверки</w:t>
            </w:r>
          </w:p>
        </w:tc>
      </w:tr>
      <w:tr>
        <w:tc>
          <w:tcPr>
            <w:tcW w:type="dxa" w:w="1814"/>
            <w:tcMar>
              <w:top w:w="90" w:type="dxa"/>
              <w:start w:w="100" w:type="dxa"/>
              <w:bottom w:w="90" w:type="dxa"/>
              <w:end w:w="100" w:type="dxa"/>
            </w:tcMar>
            <w:vAlign w:val="center"/>
          </w:tcPr>
          <w:p>
            <w:pPr>
              <w:spacing w:after="0"/>
              <w:jc w:val="center"/>
            </w:pPr>
            <w:r>
              <w:rPr>
                <w:sz w:val="17"/>
              </w:rPr>
              <w:t>Сертифицированный переход</w:t>
            </w:r>
          </w:p>
        </w:tc>
        <w:tc>
          <w:tcPr>
            <w:tcW w:type="dxa" w:w="3175"/>
            <w:tcMar>
              <w:top w:w="90" w:type="dxa"/>
              <w:start w:w="100" w:type="dxa"/>
              <w:bottom w:w="90" w:type="dxa"/>
              <w:end w:w="100" w:type="dxa"/>
            </w:tcMar>
            <w:vAlign w:val="center"/>
          </w:tcPr>
          <w:p>
            <w:pPr>
              <w:spacing w:after="0"/>
            </w:pPr>
            <w:r>
              <w:rPr>
                <w:sz w:val="17"/>
              </w:rPr>
              <w:t>односторонние профили различаются и вычисления воспроизводимы</w:t>
            </w:r>
          </w:p>
        </w:tc>
        <w:tc>
          <w:tcPr>
            <w:tcW w:type="dxa" w:w="3969"/>
            <w:tcMar>
              <w:top w:w="90" w:type="dxa"/>
              <w:start w:w="100" w:type="dxa"/>
              <w:bottom w:w="90" w:type="dxa"/>
              <w:end w:w="100" w:type="dxa"/>
            </w:tcMar>
            <w:vAlign w:val="center"/>
          </w:tcPr>
          <w:p>
            <w:pPr>
              <w:spacing w:after="0"/>
            </w:pPr>
            <w:r>
              <w:rPr>
                <w:sz w:val="17"/>
              </w:rPr>
              <w:t>в данной модели профиль действительно изменяется</w:t>
            </w:r>
          </w:p>
        </w:tc>
      </w:tr>
      <w:tr>
        <w:tc>
          <w:tcPr>
            <w:tcW w:type="dxa" w:w="1814"/>
            <w:tcMar>
              <w:top w:w="90" w:type="dxa"/>
              <w:start w:w="100" w:type="dxa"/>
              <w:bottom w:w="90" w:type="dxa"/>
              <w:end w:w="100" w:type="dxa"/>
            </w:tcMar>
            <w:vAlign w:val="center"/>
          </w:tcPr>
          <w:p>
            <w:pPr>
              <w:spacing w:after="0"/>
              <w:jc w:val="center"/>
            </w:pPr>
            <w:r>
              <w:rPr>
                <w:sz w:val="17"/>
              </w:rPr>
              <w:t>Физическое событие</w:t>
            </w:r>
          </w:p>
        </w:tc>
        <w:tc>
          <w:tcPr>
            <w:tcW w:type="dxa" w:w="3175"/>
            <w:tcMar>
              <w:top w:w="90" w:type="dxa"/>
              <w:start w:w="100" w:type="dxa"/>
              <w:bottom w:w="90" w:type="dxa"/>
              <w:end w:w="100" w:type="dxa"/>
            </w:tcMar>
            <w:vAlign w:val="center"/>
          </w:tcPr>
          <w:p>
            <w:pPr>
              <w:spacing w:after="0"/>
            </w:pPr>
            <w:r>
              <w:rPr>
                <w:sz w:val="17"/>
              </w:rPr>
              <w:t>независимые данные и операционализация</w:t>
            </w:r>
          </w:p>
        </w:tc>
        <w:tc>
          <w:tcPr>
            <w:tcW w:type="dxa" w:w="3969"/>
            <w:tcMar>
              <w:top w:w="90" w:type="dxa"/>
              <w:start w:w="100" w:type="dxa"/>
              <w:bottom w:w="90" w:type="dxa"/>
              <w:end w:w="100" w:type="dxa"/>
            </w:tcMar>
            <w:vAlign w:val="center"/>
          </w:tcPr>
          <w:p>
            <w:pPr>
              <w:spacing w:after="0"/>
            </w:pPr>
            <w:r>
              <w:rPr>
                <w:sz w:val="17"/>
              </w:rPr>
              <w:t>только после отдельного внешнего протокола</w:t>
            </w:r>
          </w:p>
        </w:tc>
      </w:tr>
    </w:tbl>
    <w:p>
      <w:pPr>
        <w:widowControl/>
        <w:spacing w:after="40"/>
      </w:pPr>
    </w:p>
    <w:p>
      <w:pPr>
        <w:keepNext/>
        <w:widowControl/>
      </w:pPr>
      <w:r>
        <w:rPr>
          <w:b/>
          <w:color w:val="1B3F60"/>
        </w:rPr>
        <w:t xml:space="preserve">Теорема 5.24 (THM). Проективная инвариантность гармонического кандидата. </w:t>
      </w:r>
      <w:r>
        <w:t>При проективной замене координаты параметрической прямой условие λ=−1 сохраняется, а детерминантный локус переносится изоморфизмом семейства. Поэтому Cand_H инвариантно при согласованной проективной репараметризации и переносе доказательного пакета D.</w:t>
      </w:r>
    </w:p>
    <w:p>
      <w:pPr>
        <w:widowControl/>
      </w:pPr>
      <w:r>
        <w:rPr>
          <w:b/>
        </w:rPr>
        <w:t xml:space="preserve">Доказательство. </w:t>
      </w:r>
      <w:r>
        <w:t>Кросс-соотношение проективно инвариантно. Матрицы структурных карт при изоморфном переносе сопряжены обратимыми матрицами, поэтому их ранги и детерминантные локусы сохраняются. Valid(D) переносится по отдельной гипотезе доказательной эквивалентности.</w:t>
      </w:r>
    </w:p>
    <w:tbl>
      <w:tblPr>
        <w:tblW w:type="auto" w:w="0"/>
        <w:jc w:val="center"/>
        <w:tblLayout w:type="fixed"/>
        <w:tblLook w:firstColumn="1" w:firstRow="1" w:lastColumn="0" w:lastRow="0" w:noHBand="0" w:noVBand="1" w:val="04A0"/>
      </w:tblPr>
      <w:tblGrid>
        <w:gridCol w:w="9752"/>
      </w:tblGrid>
      <w:tr>
        <w:tc>
          <w:tcPr>
            <w:tcW w:type="dxa" w:w="9071"/>
            <w:shd w:fill="F8E9E7"/>
            <w:tcMar>
              <w:top w:w="140" w:type="dxa"/>
              <w:start w:w="180" w:type="dxa"/>
              <w:bottom w:w="140" w:type="dxa"/>
              <w:end w:w="180" w:type="dxa"/>
            </w:tcMar>
          </w:tcPr>
          <w:p>
            <w:pPr>
              <w:spacing w:after="80"/>
            </w:pPr>
            <w:r>
              <w:rPr>
                <w:b/>
                <w:color w:val="1F4468"/>
                <w:sz w:val="21"/>
              </w:rPr>
              <w:t>ОГРАНИЧИТЕЛЬНЫЙ БЛОК</w:t>
            </w:r>
          </w:p>
          <w:p>
            <w:pPr>
              <w:spacing w:after="0"/>
            </w:pPr>
            <w:r>
              <w:rPr>
                <w:sz w:val="19"/>
              </w:rPr>
              <w:t>Гармония λ=−1 не создаёт переход. Она маркирует проективно-инвариантное отношение между четырьмя уже определёнными точками. Положительный вывод возникает только при совместном выполнении детерминантного, доменного, доказательного и воспроизводимого вычислительного условий.</w:t>
            </w:r>
          </w:p>
        </w:tc>
      </w:tr>
    </w:tbl>
    <w:p>
      <w:pPr>
        <w:widowControl/>
        <w:spacing w:after="20"/>
      </w:pPr>
    </w:p>
    <w:p>
      <w:pPr>
        <w:pStyle w:val="Heading2"/>
        <w:widowControl/>
        <w:keepNext/>
      </w:pPr>
      <w:r>
        <w:rPr>
          <w:rFonts w:ascii="Liberation Sans" w:hAnsi="Liberation Sans" w:eastAsia="Liberation Sans"/>
          <w:b/>
          <w:color w:val="2F5597"/>
          <w:sz w:val="26"/>
        </w:rPr>
        <w:t>19.10. Вычислительный сертификат v0.3</w:t>
      </w:r>
    </w:p>
    <w:p>
      <w:pPr>
        <w:widowControl/>
      </w:pPr>
      <w:r>
        <w:t>Для базиса e₁,…,e_n и структурных констант μ(e_i,e_j)=Σ_k c^k_{ij}e_k сертификат должен выполнять следующую последовательность:</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737"/>
            <w:shd w:fill="DCE7F2"/>
            <w:tcMar>
              <w:top w:w="90" w:type="dxa"/>
              <w:start w:w="100" w:type="dxa"/>
              <w:bottom w:w="90" w:type="dxa"/>
              <w:end w:w="100" w:type="dxa"/>
            </w:tcMar>
            <w:vAlign w:val="center"/>
          </w:tcPr>
          <w:p>
            <w:pPr>
              <w:jc w:val="center"/>
            </w:pPr>
            <w:r>
              <w:rPr>
                <w:b/>
                <w:sz w:val="16"/>
              </w:rPr>
              <w:t>Шаг</w:t>
            </w:r>
          </w:p>
        </w:tc>
        <w:tc>
          <w:tcPr>
            <w:tcW w:type="dxa" w:w="4535"/>
            <w:shd w:fill="DCE7F2"/>
            <w:tcMar>
              <w:top w:w="90" w:type="dxa"/>
              <w:start w:w="100" w:type="dxa"/>
              <w:bottom w:w="90" w:type="dxa"/>
              <w:end w:w="100" w:type="dxa"/>
            </w:tcMar>
            <w:vAlign w:val="center"/>
          </w:tcPr>
          <w:p>
            <w:pPr>
              <w:jc w:val="center"/>
            </w:pPr>
            <w:r>
              <w:rPr>
                <w:b/>
                <w:sz w:val="16"/>
              </w:rPr>
              <w:t>Операция</w:t>
            </w:r>
          </w:p>
        </w:tc>
        <w:tc>
          <w:tcPr>
            <w:tcW w:type="dxa" w:w="3685"/>
            <w:shd w:fill="DCE7F2"/>
            <w:tcMar>
              <w:top w:w="90" w:type="dxa"/>
              <w:start w:w="100" w:type="dxa"/>
              <w:bottom w:w="90" w:type="dxa"/>
              <w:end w:w="100" w:type="dxa"/>
            </w:tcMar>
            <w:vAlign w:val="center"/>
          </w:tcPr>
          <w:p>
            <w:pPr>
              <w:jc w:val="center"/>
            </w:pPr>
            <w:r>
              <w:rPr>
                <w:b/>
                <w:sz w:val="16"/>
              </w:rPr>
              <w:t>Проверка</w:t>
            </w:r>
          </w:p>
        </w:tc>
      </w:tr>
      <w:tr>
        <w:tc>
          <w:tcPr>
            <w:tcW w:type="dxa" w:w="737"/>
            <w:tcMar>
              <w:top w:w="90" w:type="dxa"/>
              <w:start w:w="100" w:type="dxa"/>
              <w:bottom w:w="90" w:type="dxa"/>
              <w:end w:w="100" w:type="dxa"/>
            </w:tcMar>
            <w:vAlign w:val="center"/>
          </w:tcPr>
          <w:p>
            <w:pPr>
              <w:spacing w:after="0"/>
              <w:jc w:val="center"/>
            </w:pPr>
            <w:r>
              <w:rPr>
                <w:sz w:val="16"/>
              </w:rPr>
              <w:t>C1</w:t>
            </w:r>
          </w:p>
        </w:tc>
        <w:tc>
          <w:tcPr>
            <w:tcW w:type="dxa" w:w="4535"/>
            <w:tcMar>
              <w:top w:w="90" w:type="dxa"/>
              <w:start w:w="100" w:type="dxa"/>
              <w:bottom w:w="90" w:type="dxa"/>
              <w:end w:w="100" w:type="dxa"/>
            </w:tcMar>
            <w:vAlign w:val="center"/>
          </w:tcPr>
          <w:p>
            <w:pPr>
              <w:spacing w:after="0"/>
            </w:pPr>
            <w:r>
              <w:rPr>
                <w:sz w:val="16"/>
              </w:rPr>
              <w:t>построить матрицу Ass:V^{⊗3}→V</w:t>
            </w:r>
          </w:p>
        </w:tc>
        <w:tc>
          <w:tcPr>
            <w:tcW w:type="dxa" w:w="3685"/>
            <w:tcMar>
              <w:top w:w="90" w:type="dxa"/>
              <w:start w:w="100" w:type="dxa"/>
              <w:bottom w:w="90" w:type="dxa"/>
              <w:end w:w="100" w:type="dxa"/>
            </w:tcMar>
            <w:vAlign w:val="center"/>
          </w:tcPr>
          <w:p>
            <w:pPr>
              <w:spacing w:after="0"/>
            </w:pPr>
            <w:r>
              <w:rPr>
                <w:sz w:val="16"/>
              </w:rPr>
              <w:t>точные коэффициенты или контролируемая арифметика</w:t>
            </w:r>
          </w:p>
        </w:tc>
      </w:tr>
      <w:tr>
        <w:tc>
          <w:tcPr>
            <w:tcW w:type="dxa" w:w="737"/>
            <w:tcMar>
              <w:top w:w="90" w:type="dxa"/>
              <w:start w:w="100" w:type="dxa"/>
              <w:bottom w:w="90" w:type="dxa"/>
              <w:end w:w="100" w:type="dxa"/>
            </w:tcMar>
            <w:vAlign w:val="center"/>
          </w:tcPr>
          <w:p>
            <w:pPr>
              <w:spacing w:after="0"/>
              <w:jc w:val="center"/>
            </w:pPr>
            <w:r>
              <w:rPr>
                <w:sz w:val="16"/>
              </w:rPr>
              <w:t>C2</w:t>
            </w:r>
          </w:p>
        </w:tc>
        <w:tc>
          <w:tcPr>
            <w:tcW w:type="dxa" w:w="4535"/>
            <w:tcMar>
              <w:top w:w="90" w:type="dxa"/>
              <w:start w:w="100" w:type="dxa"/>
              <w:bottom w:w="90" w:type="dxa"/>
              <w:end w:w="100" w:type="dxa"/>
            </w:tcMar>
            <w:vAlign w:val="center"/>
          </w:tcPr>
          <w:p>
            <w:pPr>
              <w:spacing w:after="0"/>
            </w:pPr>
            <w:r>
              <w:rPr>
                <w:sz w:val="16"/>
              </w:rPr>
              <w:t>построить L_Ass,M_Ass,R_Ass,C_comm</w:t>
            </w:r>
          </w:p>
        </w:tc>
        <w:tc>
          <w:tcPr>
            <w:tcW w:type="dxa" w:w="3685"/>
            <w:tcMar>
              <w:top w:w="90" w:type="dxa"/>
              <w:start w:w="100" w:type="dxa"/>
              <w:bottom w:w="90" w:type="dxa"/>
              <w:end w:w="100" w:type="dxa"/>
            </w:tcMar>
            <w:vAlign w:val="center"/>
          </w:tcPr>
          <w:p>
            <w:pPr>
              <w:spacing w:after="0"/>
            </w:pPr>
            <w:r>
              <w:rPr>
                <w:sz w:val="16"/>
              </w:rPr>
              <w:t>соответствие выбранному порядку базиса</w:t>
            </w:r>
          </w:p>
        </w:tc>
      </w:tr>
      <w:tr>
        <w:tc>
          <w:tcPr>
            <w:tcW w:type="dxa" w:w="737"/>
            <w:tcMar>
              <w:top w:w="90" w:type="dxa"/>
              <w:start w:w="100" w:type="dxa"/>
              <w:bottom w:w="90" w:type="dxa"/>
              <w:end w:w="100" w:type="dxa"/>
            </w:tcMar>
            <w:vAlign w:val="center"/>
          </w:tcPr>
          <w:p>
            <w:pPr>
              <w:spacing w:after="0"/>
              <w:jc w:val="center"/>
            </w:pPr>
            <w:r>
              <w:rPr>
                <w:sz w:val="16"/>
              </w:rPr>
              <w:t>C3</w:t>
            </w:r>
          </w:p>
        </w:tc>
        <w:tc>
          <w:tcPr>
            <w:tcW w:type="dxa" w:w="4535"/>
            <w:tcMar>
              <w:top w:w="90" w:type="dxa"/>
              <w:start w:w="100" w:type="dxa"/>
              <w:bottom w:w="90" w:type="dxa"/>
              <w:end w:w="100" w:type="dxa"/>
            </w:tcMar>
            <w:vAlign w:val="center"/>
          </w:tcPr>
          <w:p>
            <w:pPr>
              <w:spacing w:after="0"/>
            </w:pPr>
            <w:r>
              <w:rPr>
                <w:sz w:val="16"/>
              </w:rPr>
              <w:t>вычислить ранги и ядра</w:t>
            </w:r>
          </w:p>
        </w:tc>
        <w:tc>
          <w:tcPr>
            <w:tcW w:type="dxa" w:w="3685"/>
            <w:tcMar>
              <w:top w:w="90" w:type="dxa"/>
              <w:start w:w="100" w:type="dxa"/>
              <w:bottom w:w="90" w:type="dxa"/>
              <w:end w:w="100" w:type="dxa"/>
            </w:tcMar>
            <w:vAlign w:val="center"/>
          </w:tcPr>
          <w:p>
            <w:pPr>
              <w:spacing w:after="0"/>
            </w:pPr>
            <w:r>
              <w:rPr>
                <w:sz w:val="16"/>
              </w:rPr>
              <w:t>точные значения и базисы ядер</w:t>
            </w:r>
          </w:p>
        </w:tc>
      </w:tr>
      <w:tr>
        <w:tc>
          <w:tcPr>
            <w:tcW w:type="dxa" w:w="737"/>
            <w:tcMar>
              <w:top w:w="90" w:type="dxa"/>
              <w:start w:w="100" w:type="dxa"/>
              <w:bottom w:w="90" w:type="dxa"/>
              <w:end w:w="100" w:type="dxa"/>
            </w:tcMar>
            <w:vAlign w:val="center"/>
          </w:tcPr>
          <w:p>
            <w:pPr>
              <w:spacing w:after="0"/>
              <w:jc w:val="center"/>
            </w:pPr>
            <w:r>
              <w:rPr>
                <w:sz w:val="16"/>
              </w:rPr>
              <w:t>C4</w:t>
            </w:r>
          </w:p>
        </w:tc>
        <w:tc>
          <w:tcPr>
            <w:tcW w:type="dxa" w:w="4535"/>
            <w:tcMar>
              <w:top w:w="90" w:type="dxa"/>
              <w:start w:w="100" w:type="dxa"/>
              <w:bottom w:w="90" w:type="dxa"/>
              <w:end w:w="100" w:type="dxa"/>
            </w:tcMar>
            <w:vAlign w:val="center"/>
          </w:tcPr>
          <w:p>
            <w:pPr>
              <w:spacing w:after="0"/>
            </w:pPr>
            <w:r>
              <w:rPr>
                <w:sz w:val="16"/>
              </w:rPr>
              <w:t>построить J_Ass итерацией I_{k+1}=I_k+VI_k+I_kV</w:t>
            </w:r>
          </w:p>
        </w:tc>
        <w:tc>
          <w:tcPr>
            <w:tcW w:type="dxa" w:w="3685"/>
            <w:tcMar>
              <w:top w:w="90" w:type="dxa"/>
              <w:start w:w="100" w:type="dxa"/>
              <w:bottom w:w="90" w:type="dxa"/>
              <w:end w:w="100" w:type="dxa"/>
            </w:tcMar>
            <w:vAlign w:val="center"/>
          </w:tcPr>
          <w:p>
            <w:pPr>
              <w:spacing w:after="0"/>
            </w:pPr>
            <w:r>
              <w:rPr>
                <w:sz w:val="16"/>
              </w:rPr>
              <w:t>стабилизация не позднее n шагов</w:t>
            </w:r>
          </w:p>
        </w:tc>
      </w:tr>
      <w:tr>
        <w:tc>
          <w:tcPr>
            <w:tcW w:type="dxa" w:w="737"/>
            <w:tcMar>
              <w:top w:w="90" w:type="dxa"/>
              <w:start w:w="100" w:type="dxa"/>
              <w:bottom w:w="90" w:type="dxa"/>
              <w:end w:w="100" w:type="dxa"/>
            </w:tcMar>
            <w:vAlign w:val="center"/>
          </w:tcPr>
          <w:p>
            <w:pPr>
              <w:spacing w:after="0"/>
              <w:jc w:val="center"/>
            </w:pPr>
            <w:r>
              <w:rPr>
                <w:sz w:val="16"/>
              </w:rPr>
              <w:t>C5</w:t>
            </w:r>
          </w:p>
        </w:tc>
        <w:tc>
          <w:tcPr>
            <w:tcW w:type="dxa" w:w="4535"/>
            <w:tcMar>
              <w:top w:w="90" w:type="dxa"/>
              <w:start w:w="100" w:type="dxa"/>
              <w:bottom w:w="90" w:type="dxa"/>
              <w:end w:w="100" w:type="dxa"/>
            </w:tcMar>
            <w:vAlign w:val="center"/>
          </w:tcPr>
          <w:p>
            <w:pPr>
              <w:spacing w:after="0"/>
            </w:pPr>
            <w:r>
              <w:rPr>
                <w:sz w:val="16"/>
              </w:rPr>
              <w:t>проверить Q₁₂,Q₁₃,Q₂₃ и Alt(Ass)</w:t>
            </w:r>
          </w:p>
        </w:tc>
        <w:tc>
          <w:tcPr>
            <w:tcW w:type="dxa" w:w="3685"/>
            <w:tcMar>
              <w:top w:w="90" w:type="dxa"/>
              <w:start w:w="100" w:type="dxa"/>
              <w:bottom w:w="90" w:type="dxa"/>
              <w:end w:w="100" w:type="dxa"/>
            </w:tcMar>
            <w:vAlign w:val="center"/>
          </w:tcPr>
          <w:p>
            <w:pPr>
              <w:spacing w:after="0"/>
            </w:pPr>
            <w:r>
              <w:rPr>
                <w:sz w:val="16"/>
              </w:rPr>
              <w:t>реконструкция Ass при char≠2,3</w:t>
            </w:r>
          </w:p>
        </w:tc>
      </w:tr>
      <w:tr>
        <w:tc>
          <w:tcPr>
            <w:tcW w:type="dxa" w:w="737"/>
            <w:tcMar>
              <w:top w:w="90" w:type="dxa"/>
              <w:start w:w="100" w:type="dxa"/>
              <w:bottom w:w="90" w:type="dxa"/>
              <w:end w:w="100" w:type="dxa"/>
            </w:tcMar>
            <w:vAlign w:val="center"/>
          </w:tcPr>
          <w:p>
            <w:pPr>
              <w:spacing w:after="0"/>
              <w:jc w:val="center"/>
            </w:pPr>
            <w:r>
              <w:rPr>
                <w:sz w:val="16"/>
              </w:rPr>
              <w:t>C6</w:t>
            </w:r>
          </w:p>
        </w:tc>
        <w:tc>
          <w:tcPr>
            <w:tcW w:type="dxa" w:w="4535"/>
            <w:tcMar>
              <w:top w:w="90" w:type="dxa"/>
              <w:start w:w="100" w:type="dxa"/>
              <w:bottom w:w="90" w:type="dxa"/>
              <w:end w:w="100" w:type="dxa"/>
            </w:tcMar>
            <w:vAlign w:val="center"/>
          </w:tcPr>
          <w:p>
            <w:pPr>
              <w:spacing w:after="0"/>
            </w:pPr>
            <w:r>
              <w:rPr>
                <w:sz w:val="16"/>
              </w:rPr>
              <w:t>для семьи μ_t вычислить максимальные миноры</w:t>
            </w:r>
          </w:p>
        </w:tc>
        <w:tc>
          <w:tcPr>
            <w:tcW w:type="dxa" w:w="3685"/>
            <w:tcMar>
              <w:top w:w="90" w:type="dxa"/>
              <w:start w:w="100" w:type="dxa"/>
              <w:bottom w:w="90" w:type="dxa"/>
              <w:end w:w="100" w:type="dxa"/>
            </w:tcMar>
            <w:vAlign w:val="center"/>
          </w:tcPr>
          <w:p>
            <w:pPr>
              <w:spacing w:after="0"/>
            </w:pPr>
            <w:r>
              <w:rPr>
                <w:sz w:val="16"/>
              </w:rPr>
              <w:t>получить Δ_NAPG и контрольные полиномы</w:t>
            </w:r>
          </w:p>
        </w:tc>
      </w:tr>
      <w:tr>
        <w:tc>
          <w:tcPr>
            <w:tcW w:type="dxa" w:w="737"/>
            <w:tcMar>
              <w:top w:w="90" w:type="dxa"/>
              <w:start w:w="100" w:type="dxa"/>
              <w:bottom w:w="90" w:type="dxa"/>
              <w:end w:w="100" w:type="dxa"/>
            </w:tcMar>
            <w:vAlign w:val="center"/>
          </w:tcPr>
          <w:p>
            <w:pPr>
              <w:spacing w:after="0"/>
              <w:jc w:val="center"/>
            </w:pPr>
            <w:r>
              <w:rPr>
                <w:sz w:val="16"/>
              </w:rPr>
              <w:t>C7</w:t>
            </w:r>
          </w:p>
        </w:tc>
        <w:tc>
          <w:tcPr>
            <w:tcW w:type="dxa" w:w="4535"/>
            <w:tcMar>
              <w:top w:w="90" w:type="dxa"/>
              <w:start w:w="100" w:type="dxa"/>
              <w:bottom w:w="90" w:type="dxa"/>
              <w:end w:w="100" w:type="dxa"/>
            </w:tcMar>
            <w:vAlign w:val="center"/>
          </w:tcPr>
          <w:p>
            <w:pPr>
              <w:spacing w:after="0"/>
            </w:pPr>
            <w:r>
              <w:rPr>
                <w:sz w:val="16"/>
              </w:rPr>
              <w:t>проверить λ,D/Dom и хеши источников</w:t>
            </w:r>
          </w:p>
        </w:tc>
        <w:tc>
          <w:tcPr>
            <w:tcW w:type="dxa" w:w="3685"/>
            <w:tcMar>
              <w:top w:w="90" w:type="dxa"/>
              <w:start w:w="100" w:type="dxa"/>
              <w:bottom w:w="90" w:type="dxa"/>
              <w:end w:w="100" w:type="dxa"/>
            </w:tcMar>
            <w:vAlign w:val="center"/>
          </w:tcPr>
          <w:p>
            <w:pPr>
              <w:spacing w:after="0"/>
            </w:pPr>
            <w:r>
              <w:rPr>
                <w:sz w:val="16"/>
              </w:rPr>
              <w:t>не смешивать алгебраический и физический статусы</w:t>
            </w:r>
          </w:p>
        </w:tc>
      </w:tr>
    </w:tbl>
    <w:p>
      <w:pPr>
        <w:widowControl/>
        <w:spacing w:after="40"/>
      </w:pPr>
    </w:p>
    <w:p>
      <w:pPr>
        <w:keepNext/>
        <w:widowControl/>
      </w:pPr>
      <w:r>
        <w:rPr>
          <w:b/>
          <w:color w:val="1B3F60"/>
        </w:rPr>
        <w:t xml:space="preserve">Предложение 5.25 (THM). Конечность построения J_Ass. </w:t>
      </w:r>
      <w:r>
        <w:t>В n-мерной алгебре возрастающая цепь I₀⊆I₁⊆… с I₀=span Im Ass и I_{k+1}=I_k+𝒜I_k+I_k𝒜 стабилизируется не более чем после n строгих увеличений; предел равен J_Ass.</w:t>
      </w:r>
    </w:p>
    <w:p>
      <w:pPr>
        <w:widowControl/>
      </w:pPr>
      <w:r>
        <w:rPr>
          <w:b/>
        </w:rPr>
        <w:t xml:space="preserve">Доказательство. </w:t>
      </w:r>
      <w:r>
        <w:t>Каждое строгое включение увеличивает размерность как минимум на единицу, а размерность ограничена n. Стабильное подпространство содержит Im Ass и замкнуто относительно умножения слева и справа, следовательно, является требуемым наименьшим идеалом.</w:t>
      </w:r>
    </w:p>
    <w:p>
      <w:pPr>
        <w:pStyle w:val="Heading1"/>
        <w:widowControl/>
        <w:keepNext/>
      </w:pPr>
      <w:r>
        <w:rPr>
          <w:rFonts w:ascii="Liberation Sans" w:hAnsi="Liberation Sans" w:eastAsia="Liberation Sans"/>
          <w:b/>
          <w:color w:val="17365D"/>
          <w:sz w:val="36"/>
        </w:rPr>
        <w:t>20. Теоремный пакет v0.3</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ID</w:t>
            </w:r>
          </w:p>
        </w:tc>
        <w:tc>
          <w:tcPr>
            <w:tcW w:type="dxa" w:w="3798"/>
            <w:shd w:fill="DCE7F2"/>
            <w:tcMar>
              <w:top w:w="90" w:type="dxa"/>
              <w:start w:w="100" w:type="dxa"/>
              <w:bottom w:w="90" w:type="dxa"/>
              <w:end w:w="100" w:type="dxa"/>
            </w:tcMar>
            <w:vAlign w:val="center"/>
          </w:tcPr>
          <w:p>
            <w:pPr>
              <w:jc w:val="center"/>
            </w:pPr>
            <w:r>
              <w:rPr>
                <w:b/>
                <w:sz w:val="16"/>
              </w:rPr>
              <w:t>Результат</w:t>
            </w:r>
          </w:p>
        </w:tc>
        <w:tc>
          <w:tcPr>
            <w:tcW w:type="dxa" w:w="1020"/>
            <w:shd w:fill="DCE7F2"/>
            <w:tcMar>
              <w:top w:w="90" w:type="dxa"/>
              <w:start w:w="100" w:type="dxa"/>
              <w:bottom w:w="90" w:type="dxa"/>
              <w:end w:w="100" w:type="dxa"/>
            </w:tcMar>
            <w:vAlign w:val="center"/>
          </w:tcPr>
          <w:p>
            <w:pPr>
              <w:jc w:val="center"/>
            </w:pPr>
            <w:r>
              <w:rPr>
                <w:b/>
                <w:sz w:val="16"/>
              </w:rPr>
              <w:t>Статус</w:t>
            </w:r>
          </w:p>
        </w:tc>
        <w:tc>
          <w:tcPr>
            <w:tcW w:type="dxa" w:w="3005"/>
            <w:shd w:fill="DCE7F2"/>
            <w:tcMar>
              <w:top w:w="90" w:type="dxa"/>
              <w:start w:w="100" w:type="dxa"/>
              <w:bottom w:w="90" w:type="dxa"/>
              <w:end w:w="100" w:type="dxa"/>
            </w:tcMar>
            <w:vAlign w:val="center"/>
          </w:tcPr>
          <w:p>
            <w:pPr>
              <w:jc w:val="center"/>
            </w:pPr>
            <w:r>
              <w:rPr>
                <w:b/>
                <w:sz w:val="16"/>
              </w:rPr>
              <w:t>Гипотезы</w:t>
            </w:r>
          </w:p>
        </w:tc>
      </w:tr>
      <w:tr>
        <w:tc>
          <w:tcPr>
            <w:tcW w:type="dxa" w:w="1134"/>
            <w:tcMar>
              <w:top w:w="90" w:type="dxa"/>
              <w:start w:w="100" w:type="dxa"/>
              <w:bottom w:w="90" w:type="dxa"/>
              <w:end w:w="100" w:type="dxa"/>
            </w:tcMar>
            <w:vAlign w:val="center"/>
          </w:tcPr>
          <w:p>
            <w:pPr>
              <w:spacing w:after="0"/>
              <w:jc w:val="center"/>
            </w:pPr>
            <w:r>
              <w:rPr>
                <w:sz w:val="16"/>
              </w:rPr>
              <w:t>T2-THM-053</w:t>
            </w:r>
          </w:p>
        </w:tc>
        <w:tc>
          <w:tcPr>
            <w:tcW w:type="dxa" w:w="3798"/>
            <w:tcMar>
              <w:top w:w="90" w:type="dxa"/>
              <w:start w:w="100" w:type="dxa"/>
              <w:bottom w:w="90" w:type="dxa"/>
              <w:end w:w="100" w:type="dxa"/>
            </w:tcMar>
            <w:vAlign w:val="center"/>
          </w:tcPr>
          <w:p>
            <w:pPr>
              <w:spacing w:after="0"/>
            </w:pPr>
            <w:r>
              <w:rPr>
                <w:sz w:val="16"/>
              </w:rPr>
              <w:t>Универсальное ассоциативное отражение</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всюду определённая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T2-THM-054</w:t>
            </w:r>
          </w:p>
        </w:tc>
        <w:tc>
          <w:tcPr>
            <w:tcW w:type="dxa" w:w="3798"/>
            <w:tcMar>
              <w:top w:w="90" w:type="dxa"/>
              <w:start w:w="100" w:type="dxa"/>
              <w:bottom w:w="90" w:type="dxa"/>
              <w:end w:w="100" w:type="dxa"/>
            </w:tcMar>
            <w:vAlign w:val="center"/>
          </w:tcPr>
          <w:p>
            <w:pPr>
              <w:spacing w:after="0"/>
            </w:pPr>
            <w:r>
              <w:rPr>
                <w:sz w:val="16"/>
              </w:rPr>
              <w:t>Степенной запрет квадратичного кодирования</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поле с достаточным числом скаляров</w:t>
            </w:r>
          </w:p>
        </w:tc>
      </w:tr>
      <w:tr>
        <w:tc>
          <w:tcPr>
            <w:tcW w:type="dxa" w:w="1134"/>
            <w:tcMar>
              <w:top w:w="90" w:type="dxa"/>
              <w:start w:w="100" w:type="dxa"/>
              <w:bottom w:w="90" w:type="dxa"/>
              <w:end w:w="100" w:type="dxa"/>
            </w:tcMar>
            <w:vAlign w:val="center"/>
          </w:tcPr>
          <w:p>
            <w:pPr>
              <w:spacing w:after="0"/>
              <w:jc w:val="center"/>
            </w:pPr>
            <w:r>
              <w:rPr>
                <w:sz w:val="16"/>
              </w:rPr>
              <w:t>T2-THM-055</w:t>
            </w:r>
          </w:p>
        </w:tc>
        <w:tc>
          <w:tcPr>
            <w:tcW w:type="dxa" w:w="3798"/>
            <w:tcMar>
              <w:top w:w="90" w:type="dxa"/>
              <w:start w:w="100" w:type="dxa"/>
              <w:bottom w:w="90" w:type="dxa"/>
              <w:end w:w="100" w:type="dxa"/>
            </w:tcMar>
            <w:vAlign w:val="center"/>
          </w:tcPr>
          <w:p>
            <w:pPr>
              <w:spacing w:after="0"/>
            </w:pPr>
            <w:r>
              <w:rPr>
                <w:sz w:val="16"/>
              </w:rPr>
              <w:t>Недостаточность кубической диагонали</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существование альтернативной неассоциативной модели</w:t>
            </w:r>
          </w:p>
        </w:tc>
      </w:tr>
      <w:tr>
        <w:tc>
          <w:tcPr>
            <w:tcW w:type="dxa" w:w="1134"/>
            <w:tcMar>
              <w:top w:w="90" w:type="dxa"/>
              <w:start w:w="100" w:type="dxa"/>
              <w:bottom w:w="90" w:type="dxa"/>
              <w:end w:w="100" w:type="dxa"/>
            </w:tcMar>
            <w:vAlign w:val="center"/>
          </w:tcPr>
          <w:p>
            <w:pPr>
              <w:spacing w:after="0"/>
              <w:jc w:val="center"/>
            </w:pPr>
            <w:r>
              <w:rPr>
                <w:sz w:val="16"/>
              </w:rPr>
              <w:t>T2-THM-056</w:t>
            </w:r>
          </w:p>
        </w:tc>
        <w:tc>
          <w:tcPr>
            <w:tcW w:type="dxa" w:w="3798"/>
            <w:tcMar>
              <w:top w:w="90" w:type="dxa"/>
              <w:start w:w="100" w:type="dxa"/>
              <w:bottom w:w="90" w:type="dxa"/>
              <w:end w:w="100" w:type="dxa"/>
            </w:tcMar>
            <w:vAlign w:val="center"/>
          </w:tcPr>
          <w:p>
            <w:pPr>
              <w:spacing w:after="0"/>
            </w:pPr>
            <w:r>
              <w:rPr>
                <w:sz w:val="16"/>
              </w:rPr>
              <w:t>Полнота Q₁₂,Q₁₃,Q₂₃ плюс Alt</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char 𝕂≠2,3</w:t>
            </w:r>
          </w:p>
        </w:tc>
      </w:tr>
      <w:tr>
        <w:tc>
          <w:tcPr>
            <w:tcW w:type="dxa" w:w="1134"/>
            <w:tcMar>
              <w:top w:w="90" w:type="dxa"/>
              <w:start w:w="100" w:type="dxa"/>
              <w:bottom w:w="90" w:type="dxa"/>
              <w:end w:w="100" w:type="dxa"/>
            </w:tcMar>
            <w:vAlign w:val="center"/>
          </w:tcPr>
          <w:p>
            <w:pPr>
              <w:spacing w:after="0"/>
              <w:jc w:val="center"/>
            </w:pPr>
            <w:r>
              <w:rPr>
                <w:sz w:val="16"/>
              </w:rPr>
              <w:t>T2-THM-057</w:t>
            </w:r>
          </w:p>
        </w:tc>
        <w:tc>
          <w:tcPr>
            <w:tcW w:type="dxa" w:w="3798"/>
            <w:tcMar>
              <w:top w:w="90" w:type="dxa"/>
              <w:start w:w="100" w:type="dxa"/>
              <w:bottom w:w="90" w:type="dxa"/>
              <w:end w:w="100" w:type="dxa"/>
            </w:tcMar>
            <w:vAlign w:val="center"/>
          </w:tcPr>
          <w:p>
            <w:pPr>
              <w:spacing w:after="0"/>
            </w:pPr>
            <w:r>
              <w:rPr>
                <w:sz w:val="16"/>
              </w:rPr>
              <w:t>Изоморфная инвариантность Prof_Ass</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конечномерная билинейная алгебра</w:t>
            </w:r>
          </w:p>
        </w:tc>
      </w:tr>
      <w:tr>
        <w:tc>
          <w:tcPr>
            <w:tcW w:type="dxa" w:w="1134"/>
            <w:tcMar>
              <w:top w:w="90" w:type="dxa"/>
              <w:start w:w="100" w:type="dxa"/>
              <w:bottom w:w="90" w:type="dxa"/>
              <w:end w:w="100" w:type="dxa"/>
            </w:tcMar>
            <w:vAlign w:val="center"/>
          </w:tcPr>
          <w:p>
            <w:pPr>
              <w:spacing w:after="0"/>
              <w:jc w:val="center"/>
            </w:pPr>
            <w:r>
              <w:rPr>
                <w:sz w:val="16"/>
              </w:rPr>
              <w:t>T2-THM-058</w:t>
            </w:r>
          </w:p>
        </w:tc>
        <w:tc>
          <w:tcPr>
            <w:tcW w:type="dxa" w:w="3798"/>
            <w:tcMar>
              <w:top w:w="90" w:type="dxa"/>
              <w:start w:w="100" w:type="dxa"/>
              <w:bottom w:w="90" w:type="dxa"/>
              <w:end w:w="100" w:type="dxa"/>
            </w:tcMar>
            <w:vAlign w:val="center"/>
          </w:tcPr>
          <w:p>
            <w:pPr>
              <w:spacing w:after="0"/>
            </w:pPr>
            <w:r>
              <w:rPr>
                <w:sz w:val="16"/>
              </w:rPr>
              <w:t>Детерминантная локализация переходов</w:t>
            </w:r>
          </w:p>
        </w:tc>
        <w:tc>
          <w:tcPr>
            <w:tcW w:type="dxa" w:w="1020"/>
            <w:tcMar>
              <w:top w:w="90" w:type="dxa"/>
              <w:start w:w="100" w:type="dxa"/>
              <w:bottom w:w="90" w:type="dxa"/>
              <w:end w:w="100" w:type="dxa"/>
            </w:tcMar>
            <w:vAlign w:val="center"/>
          </w:tcPr>
          <w:p>
            <w:pPr>
              <w:spacing w:after="0"/>
            </w:pPr>
            <w:r>
              <w:rPr>
                <w:sz w:val="16"/>
              </w:rPr>
              <w:t>THM</w:t>
            </w:r>
          </w:p>
        </w:tc>
        <w:tc>
          <w:tcPr>
            <w:tcW w:type="dxa" w:w="3005"/>
            <w:tcMar>
              <w:top w:w="90" w:type="dxa"/>
              <w:start w:w="100" w:type="dxa"/>
              <w:bottom w:w="90" w:type="dxa"/>
              <w:end w:w="100" w:type="dxa"/>
            </w:tcMar>
            <w:vAlign w:val="center"/>
          </w:tcPr>
          <w:p>
            <w:pPr>
              <w:spacing w:after="0"/>
            </w:pPr>
            <w:r>
              <w:rPr>
                <w:sz w:val="16"/>
              </w:rPr>
              <w:t>полиномиальная семья на неприводимой базе</w:t>
            </w:r>
          </w:p>
        </w:tc>
      </w:tr>
      <w:tr>
        <w:tc>
          <w:tcPr>
            <w:tcW w:type="dxa" w:w="1134"/>
            <w:tcMar>
              <w:top w:w="90" w:type="dxa"/>
              <w:start w:w="100" w:type="dxa"/>
              <w:bottom w:w="90" w:type="dxa"/>
              <w:end w:w="100" w:type="dxa"/>
            </w:tcMar>
            <w:vAlign w:val="center"/>
          </w:tcPr>
          <w:p>
            <w:pPr>
              <w:spacing w:after="0"/>
              <w:jc w:val="center"/>
            </w:pPr>
            <w:r>
              <w:rPr>
                <w:sz w:val="16"/>
              </w:rPr>
              <w:t>T2-THM-059</w:t>
            </w:r>
          </w:p>
        </w:tc>
        <w:tc>
          <w:tcPr>
            <w:tcW w:type="dxa" w:w="3798"/>
            <w:tcMar>
              <w:top w:w="90" w:type="dxa"/>
              <w:start w:w="100" w:type="dxa"/>
              <w:bottom w:w="90" w:type="dxa"/>
              <w:end w:w="100" w:type="dxa"/>
            </w:tcMar>
            <w:vAlign w:val="center"/>
          </w:tcPr>
          <w:p>
            <w:pPr>
              <w:spacing w:after="0"/>
            </w:pPr>
            <w:r>
              <w:rPr>
                <w:sz w:val="16"/>
              </w:rPr>
              <w:t>Проективная инвариантность Cand_H</w:t>
            </w:r>
          </w:p>
        </w:tc>
        <w:tc>
          <w:tcPr>
            <w:tcW w:type="dxa" w:w="1020"/>
            <w:tcMar>
              <w:top w:w="90" w:type="dxa"/>
              <w:start w:w="100" w:type="dxa"/>
              <w:bottom w:w="90" w:type="dxa"/>
              <w:end w:w="100" w:type="dxa"/>
            </w:tcMar>
            <w:vAlign w:val="center"/>
          </w:tcPr>
          <w:p>
            <w:pPr>
              <w:spacing w:after="0"/>
            </w:pPr>
            <w:r>
              <w:rPr>
                <w:sz w:val="16"/>
              </w:rPr>
              <w:t>COND</w:t>
            </w:r>
          </w:p>
        </w:tc>
        <w:tc>
          <w:tcPr>
            <w:tcW w:type="dxa" w:w="3005"/>
            <w:tcMar>
              <w:top w:w="90" w:type="dxa"/>
              <w:start w:w="100" w:type="dxa"/>
              <w:bottom w:w="90" w:type="dxa"/>
              <w:end w:w="100" w:type="dxa"/>
            </w:tcMar>
            <w:vAlign w:val="center"/>
          </w:tcPr>
          <w:p>
            <w:pPr>
              <w:spacing w:after="0"/>
            </w:pPr>
            <w:r>
              <w:rPr>
                <w:sz w:val="16"/>
              </w:rPr>
              <w:t>согласованный перенос семьи и D</w:t>
            </w:r>
          </w:p>
        </w:tc>
      </w:tr>
    </w:tbl>
    <w:p>
      <w:pPr>
        <w:widowControl/>
        <w:spacing w:after="40"/>
      </w:pPr>
    </w:p>
    <w:p>
      <w:pPr>
        <w:pStyle w:val="Heading1"/>
        <w:widowControl/>
        <w:keepNext/>
      </w:pPr>
      <w:r>
        <w:rPr>
          <w:rFonts w:ascii="Liberation Sans" w:hAnsi="Liberation Sans" w:eastAsia="Liberation Sans"/>
          <w:b/>
          <w:color w:val="17365D"/>
          <w:sz w:val="36"/>
        </w:rPr>
        <w:t>21. Обновление матрицы доказательных обязательств</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134"/>
            <w:shd w:fill="DCE7F2"/>
            <w:tcMar>
              <w:top w:w="90" w:type="dxa"/>
              <w:start w:w="100" w:type="dxa"/>
              <w:bottom w:w="90" w:type="dxa"/>
              <w:end w:w="100" w:type="dxa"/>
            </w:tcMar>
            <w:vAlign w:val="center"/>
          </w:tcPr>
          <w:p>
            <w:pPr>
              <w:jc w:val="center"/>
            </w:pPr>
            <w:r>
              <w:rPr>
                <w:b/>
                <w:sz w:val="16"/>
              </w:rPr>
              <w:t>PO</w:t>
            </w:r>
          </w:p>
        </w:tc>
        <w:tc>
          <w:tcPr>
            <w:tcW w:type="dxa" w:w="3572"/>
            <w:shd w:fill="DCE7F2"/>
            <w:tcMar>
              <w:top w:w="90" w:type="dxa"/>
              <w:start w:w="100" w:type="dxa"/>
              <w:bottom w:w="90" w:type="dxa"/>
              <w:end w:w="100" w:type="dxa"/>
            </w:tcMar>
            <w:vAlign w:val="center"/>
          </w:tcPr>
          <w:p>
            <w:pPr>
              <w:jc w:val="center"/>
            </w:pPr>
            <w:r>
              <w:rPr>
                <w:b/>
                <w:sz w:val="16"/>
              </w:rPr>
              <w:t>Содержание</w:t>
            </w:r>
          </w:p>
        </w:tc>
        <w:tc>
          <w:tcPr>
            <w:tcW w:type="dxa" w:w="1417"/>
            <w:shd w:fill="DCE7F2"/>
            <w:tcMar>
              <w:top w:w="90" w:type="dxa"/>
              <w:start w:w="100" w:type="dxa"/>
              <w:bottom w:w="90" w:type="dxa"/>
              <w:end w:w="100" w:type="dxa"/>
            </w:tcMar>
            <w:vAlign w:val="center"/>
          </w:tcPr>
          <w:p>
            <w:pPr>
              <w:jc w:val="center"/>
            </w:pPr>
            <w:r>
              <w:rPr>
                <w:b/>
                <w:sz w:val="16"/>
              </w:rPr>
              <w:t>Статус v0.3</w:t>
            </w:r>
          </w:p>
        </w:tc>
        <w:tc>
          <w:tcPr>
            <w:tcW w:type="dxa" w:w="2835"/>
            <w:shd w:fill="DCE7F2"/>
            <w:tcMar>
              <w:top w:w="90" w:type="dxa"/>
              <w:start w:w="100" w:type="dxa"/>
              <w:bottom w:w="90" w:type="dxa"/>
              <w:end w:w="100" w:type="dxa"/>
            </w:tcMar>
            <w:vAlign w:val="center"/>
          </w:tcPr>
          <w:p>
            <w:pPr>
              <w:jc w:val="center"/>
            </w:pPr>
            <w:r>
              <w:rPr>
                <w:b/>
                <w:sz w:val="16"/>
              </w:rPr>
              <w:t>Следующий шаг</w:t>
            </w:r>
          </w:p>
        </w:tc>
      </w:tr>
      <w:tr>
        <w:tc>
          <w:tcPr>
            <w:tcW w:type="dxa" w:w="1134"/>
            <w:tcMar>
              <w:top w:w="90" w:type="dxa"/>
              <w:start w:w="100" w:type="dxa"/>
              <w:bottom w:w="90" w:type="dxa"/>
              <w:end w:w="100" w:type="dxa"/>
            </w:tcMar>
            <w:vAlign w:val="center"/>
          </w:tcPr>
          <w:p>
            <w:pPr>
              <w:spacing w:after="0"/>
              <w:jc w:val="center"/>
            </w:pPr>
            <w:r>
              <w:rPr>
                <w:sz w:val="16"/>
              </w:rPr>
              <w:t>T2-PO-009</w:t>
            </w:r>
          </w:p>
        </w:tc>
        <w:tc>
          <w:tcPr>
            <w:tcW w:type="dxa" w:w="3572"/>
            <w:tcMar>
              <w:top w:w="90" w:type="dxa"/>
              <w:start w:w="100" w:type="dxa"/>
              <w:bottom w:w="90" w:type="dxa"/>
              <w:end w:w="100" w:type="dxa"/>
            </w:tcMar>
            <w:vAlign w:val="center"/>
          </w:tcPr>
          <w:p>
            <w:pPr>
              <w:spacing w:after="0"/>
            </w:pPr>
            <w:r>
              <w:rPr>
                <w:sz w:val="16"/>
              </w:rPr>
              <w:t>Общий мост Ass_⊙ ↔ curvature/Hol_D</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сначала задать геометрическую связность и типы обоих носителей</w:t>
            </w:r>
          </w:p>
        </w:tc>
      </w:tr>
      <w:tr>
        <w:tc>
          <w:tcPr>
            <w:tcW w:type="dxa" w:w="1134"/>
            <w:tcMar>
              <w:top w:w="90" w:type="dxa"/>
              <w:start w:w="100" w:type="dxa"/>
              <w:bottom w:w="90" w:type="dxa"/>
              <w:end w:w="100" w:type="dxa"/>
            </w:tcMar>
            <w:vAlign w:val="center"/>
          </w:tcPr>
          <w:p>
            <w:pPr>
              <w:spacing w:after="0"/>
              <w:jc w:val="center"/>
            </w:pPr>
            <w:r>
              <w:rPr>
                <w:sz w:val="16"/>
              </w:rPr>
              <w:t>T2-PO-011</w:t>
            </w:r>
          </w:p>
        </w:tc>
        <w:tc>
          <w:tcPr>
            <w:tcW w:type="dxa" w:w="3572"/>
            <w:tcMar>
              <w:top w:w="90" w:type="dxa"/>
              <w:start w:w="100" w:type="dxa"/>
              <w:bottom w:w="90" w:type="dxa"/>
              <w:end w:w="100" w:type="dxa"/>
            </w:tcMar>
            <w:vAlign w:val="center"/>
          </w:tcPr>
          <w:p>
            <w:pPr>
              <w:spacing w:after="0"/>
            </w:pPr>
            <w:r>
              <w:rPr>
                <w:sz w:val="16"/>
              </w:rPr>
              <w:t>Типизированные ядра, центр и J_Ass</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перенос в итоговую главу 5</w:t>
            </w:r>
          </w:p>
        </w:tc>
      </w:tr>
      <w:tr>
        <w:tc>
          <w:tcPr>
            <w:tcW w:type="dxa" w:w="1134"/>
            <w:tcMar>
              <w:top w:w="90" w:type="dxa"/>
              <w:start w:w="100" w:type="dxa"/>
              <w:bottom w:w="90" w:type="dxa"/>
              <w:end w:w="100" w:type="dxa"/>
            </w:tcMar>
            <w:vAlign w:val="center"/>
          </w:tcPr>
          <w:p>
            <w:pPr>
              <w:spacing w:after="0"/>
              <w:jc w:val="center"/>
            </w:pPr>
            <w:r>
              <w:rPr>
                <w:sz w:val="16"/>
              </w:rPr>
              <w:t>T2-PO-012</w:t>
            </w:r>
          </w:p>
        </w:tc>
        <w:tc>
          <w:tcPr>
            <w:tcW w:type="dxa" w:w="3572"/>
            <w:tcMar>
              <w:top w:w="90" w:type="dxa"/>
              <w:start w:w="100" w:type="dxa"/>
              <w:bottom w:w="90" w:type="dxa"/>
              <w:end w:w="100" w:type="dxa"/>
            </w:tcMar>
            <w:vAlign w:val="center"/>
          </w:tcPr>
          <w:p>
            <w:pPr>
              <w:spacing w:after="0"/>
            </w:pPr>
            <w:r>
              <w:rPr>
                <w:sz w:val="16"/>
              </w:rPr>
              <w:t>Универсальность ассоциативного фактора</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добавить категориальную формулировку как левый сопряжённый функтор</w:t>
            </w:r>
          </w:p>
        </w:tc>
      </w:tr>
      <w:tr>
        <w:tc>
          <w:tcPr>
            <w:tcW w:type="dxa" w:w="1134"/>
            <w:tcMar>
              <w:top w:w="90" w:type="dxa"/>
              <w:start w:w="100" w:type="dxa"/>
              <w:bottom w:w="90" w:type="dxa"/>
              <w:end w:w="100" w:type="dxa"/>
            </w:tcMar>
            <w:vAlign w:val="center"/>
          </w:tcPr>
          <w:p>
            <w:pPr>
              <w:spacing w:after="0"/>
              <w:jc w:val="center"/>
            </w:pPr>
            <w:r>
              <w:rPr>
                <w:sz w:val="16"/>
              </w:rPr>
              <w:t>T2-PO-013</w:t>
            </w:r>
          </w:p>
        </w:tc>
        <w:tc>
          <w:tcPr>
            <w:tcW w:type="dxa" w:w="3572"/>
            <w:tcMar>
              <w:top w:w="90" w:type="dxa"/>
              <w:start w:w="100" w:type="dxa"/>
              <w:bottom w:w="90" w:type="dxa"/>
              <w:end w:w="100" w:type="dxa"/>
            </w:tcMar>
            <w:vAlign w:val="center"/>
          </w:tcPr>
          <w:p>
            <w:pPr>
              <w:spacing w:after="0"/>
            </w:pPr>
            <w:r>
              <w:rPr>
                <w:sz w:val="16"/>
              </w:rPr>
              <w:t>No-go для диагонального кодирования</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вычислительные тесты на октонионах</w:t>
            </w:r>
          </w:p>
        </w:tc>
      </w:tr>
      <w:tr>
        <w:tc>
          <w:tcPr>
            <w:tcW w:type="dxa" w:w="1134"/>
            <w:tcMar>
              <w:top w:w="90" w:type="dxa"/>
              <w:start w:w="100" w:type="dxa"/>
              <w:bottom w:w="90" w:type="dxa"/>
              <w:end w:w="100" w:type="dxa"/>
            </w:tcMar>
            <w:vAlign w:val="center"/>
          </w:tcPr>
          <w:p>
            <w:pPr>
              <w:spacing w:after="0"/>
              <w:jc w:val="center"/>
            </w:pPr>
            <w:r>
              <w:rPr>
                <w:sz w:val="16"/>
              </w:rPr>
              <w:t>T2-PO-014</w:t>
            </w:r>
          </w:p>
        </w:tc>
        <w:tc>
          <w:tcPr>
            <w:tcW w:type="dxa" w:w="3572"/>
            <w:tcMar>
              <w:top w:w="90" w:type="dxa"/>
              <w:start w:w="100" w:type="dxa"/>
              <w:bottom w:w="90" w:type="dxa"/>
              <w:end w:w="100" w:type="dxa"/>
            </w:tcMar>
            <w:vAlign w:val="center"/>
          </w:tcPr>
          <w:p>
            <w:pPr>
              <w:spacing w:after="0"/>
            </w:pPr>
            <w:r>
              <w:rPr>
                <w:sz w:val="16"/>
              </w:rPr>
              <w:t>Полный R⋆R-сертификат</w:t>
            </w:r>
          </w:p>
        </w:tc>
        <w:tc>
          <w:tcPr>
            <w:tcW w:type="dxa" w:w="1417"/>
            <w:tcMar>
              <w:top w:w="90" w:type="dxa"/>
              <w:start w:w="100" w:type="dxa"/>
              <w:bottom w:w="90" w:type="dxa"/>
              <w:end w:w="100" w:type="dxa"/>
            </w:tcMar>
            <w:vAlign w:val="center"/>
          </w:tcPr>
          <w:p>
            <w:pPr>
              <w:spacing w:after="0"/>
            </w:pPr>
            <w:r>
              <w:rPr>
                <w:sz w:val="16"/>
              </w:rPr>
              <w:t>CLOSED/COND</w:t>
            </w:r>
          </w:p>
        </w:tc>
        <w:tc>
          <w:tcPr>
            <w:tcW w:type="dxa" w:w="2835"/>
            <w:tcMar>
              <w:top w:w="90" w:type="dxa"/>
              <w:start w:w="100" w:type="dxa"/>
              <w:bottom w:w="90" w:type="dxa"/>
              <w:end w:w="100" w:type="dxa"/>
            </w:tcMar>
            <w:vAlign w:val="center"/>
          </w:tcPr>
          <w:p>
            <w:pPr>
              <w:spacing w:after="0"/>
            </w:pPr>
            <w:r>
              <w:rPr>
                <w:sz w:val="16"/>
              </w:rPr>
              <w:t>char≠2,3; исследовать характеристики 2 и 3</w:t>
            </w:r>
          </w:p>
        </w:tc>
      </w:tr>
      <w:tr>
        <w:tc>
          <w:tcPr>
            <w:tcW w:type="dxa" w:w="1134"/>
            <w:tcMar>
              <w:top w:w="90" w:type="dxa"/>
              <w:start w:w="100" w:type="dxa"/>
              <w:bottom w:w="90" w:type="dxa"/>
              <w:end w:w="100" w:type="dxa"/>
            </w:tcMar>
            <w:vAlign w:val="center"/>
          </w:tcPr>
          <w:p>
            <w:pPr>
              <w:spacing w:after="0"/>
              <w:jc w:val="center"/>
            </w:pPr>
            <w:r>
              <w:rPr>
                <w:sz w:val="16"/>
              </w:rPr>
              <w:t>T2-PO-015</w:t>
            </w:r>
          </w:p>
        </w:tc>
        <w:tc>
          <w:tcPr>
            <w:tcW w:type="dxa" w:w="3572"/>
            <w:tcMar>
              <w:top w:w="90" w:type="dxa"/>
              <w:start w:w="100" w:type="dxa"/>
              <w:bottom w:w="90" w:type="dxa"/>
              <w:end w:w="100" w:type="dxa"/>
            </w:tcMar>
            <w:vAlign w:val="center"/>
          </w:tcPr>
          <w:p>
            <w:pPr>
              <w:spacing w:after="0"/>
            </w:pPr>
            <w:r>
              <w:rPr>
                <w:sz w:val="16"/>
              </w:rPr>
              <w:t>Детерминантный горизонт переходов</w:t>
            </w:r>
          </w:p>
        </w:tc>
        <w:tc>
          <w:tcPr>
            <w:tcW w:type="dxa" w:w="1417"/>
            <w:tcMar>
              <w:top w:w="90" w:type="dxa"/>
              <w:start w:w="100" w:type="dxa"/>
              <w:bottom w:w="90" w:type="dxa"/>
              <w:end w:w="100" w:type="dxa"/>
            </w:tcMar>
            <w:vAlign w:val="center"/>
          </w:tcPr>
          <w:p>
            <w:pPr>
              <w:spacing w:after="0"/>
            </w:pPr>
            <w:r>
              <w:rPr>
                <w:sz w:val="16"/>
              </w:rPr>
              <w:t>CLOSED</w:t>
            </w:r>
          </w:p>
        </w:tc>
        <w:tc>
          <w:tcPr>
            <w:tcW w:type="dxa" w:w="2835"/>
            <w:tcMar>
              <w:top w:w="90" w:type="dxa"/>
              <w:start w:w="100" w:type="dxa"/>
              <w:bottom w:w="90" w:type="dxa"/>
              <w:end w:w="100" w:type="dxa"/>
            </w:tcMar>
            <w:vAlign w:val="center"/>
          </w:tcPr>
          <w:p>
            <w:pPr>
              <w:spacing w:after="0"/>
            </w:pPr>
            <w:r>
              <w:rPr>
                <w:sz w:val="16"/>
              </w:rPr>
              <w:t>реализовать символьный сертификат</w:t>
            </w:r>
          </w:p>
        </w:tc>
      </w:tr>
      <w:tr>
        <w:tc>
          <w:tcPr>
            <w:tcW w:type="dxa" w:w="1134"/>
            <w:tcMar>
              <w:top w:w="90" w:type="dxa"/>
              <w:start w:w="100" w:type="dxa"/>
              <w:bottom w:w="90" w:type="dxa"/>
              <w:end w:w="100" w:type="dxa"/>
            </w:tcMar>
            <w:vAlign w:val="center"/>
          </w:tcPr>
          <w:p>
            <w:pPr>
              <w:spacing w:after="0"/>
              <w:jc w:val="center"/>
            </w:pPr>
            <w:r>
              <w:rPr>
                <w:sz w:val="16"/>
              </w:rPr>
              <w:t>T2-PO-016</w:t>
            </w:r>
          </w:p>
        </w:tc>
        <w:tc>
          <w:tcPr>
            <w:tcW w:type="dxa" w:w="3572"/>
            <w:tcMar>
              <w:top w:w="90" w:type="dxa"/>
              <w:start w:w="100" w:type="dxa"/>
              <w:bottom w:w="90" w:type="dxa"/>
              <w:end w:w="100" w:type="dxa"/>
            </w:tcMar>
            <w:vAlign w:val="center"/>
          </w:tcPr>
          <w:p>
            <w:pPr>
              <w:spacing w:after="0"/>
            </w:pPr>
            <w:r>
              <w:rPr>
                <w:sz w:val="16"/>
              </w:rPr>
              <w:t>Banach/Hilbert-обобщение профиля</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заменить ранги на Fredholm/essential invariants</w:t>
            </w:r>
          </w:p>
        </w:tc>
      </w:tr>
      <w:tr>
        <w:tc>
          <w:tcPr>
            <w:tcW w:type="dxa" w:w="1134"/>
            <w:tcMar>
              <w:top w:w="90" w:type="dxa"/>
              <w:start w:w="100" w:type="dxa"/>
              <w:bottom w:w="90" w:type="dxa"/>
              <w:end w:w="100" w:type="dxa"/>
            </w:tcMar>
            <w:vAlign w:val="center"/>
          </w:tcPr>
          <w:p>
            <w:pPr>
              <w:spacing w:after="0"/>
              <w:jc w:val="center"/>
            </w:pPr>
            <w:r>
              <w:rPr>
                <w:sz w:val="16"/>
              </w:rPr>
              <w:t>T2-PO-017</w:t>
            </w:r>
          </w:p>
        </w:tc>
        <w:tc>
          <w:tcPr>
            <w:tcW w:type="dxa" w:w="3572"/>
            <w:tcMar>
              <w:top w:w="90" w:type="dxa"/>
              <w:start w:w="100" w:type="dxa"/>
              <w:bottom w:w="90" w:type="dxa"/>
              <w:end w:w="100" w:type="dxa"/>
            </w:tcMar>
            <w:vAlign w:val="center"/>
          </w:tcPr>
          <w:p>
            <w:pPr>
              <w:spacing w:after="0"/>
            </w:pPr>
            <w:r>
              <w:rPr>
                <w:sz w:val="16"/>
              </w:rPr>
              <w:t>Независимая проверка переходных локусов</w:t>
            </w:r>
          </w:p>
        </w:tc>
        <w:tc>
          <w:tcPr>
            <w:tcW w:type="dxa" w:w="1417"/>
            <w:tcMar>
              <w:top w:w="90" w:type="dxa"/>
              <w:start w:w="100" w:type="dxa"/>
              <w:bottom w:w="90" w:type="dxa"/>
              <w:end w:w="100" w:type="dxa"/>
            </w:tcMar>
            <w:vAlign w:val="center"/>
          </w:tcPr>
          <w:p>
            <w:pPr>
              <w:spacing w:after="0"/>
            </w:pPr>
            <w:r>
              <w:rPr>
                <w:sz w:val="16"/>
              </w:rPr>
              <w:t>OPEN</w:t>
            </w:r>
          </w:p>
        </w:tc>
        <w:tc>
          <w:tcPr>
            <w:tcW w:type="dxa" w:w="2835"/>
            <w:tcMar>
              <w:top w:w="90" w:type="dxa"/>
              <w:start w:w="100" w:type="dxa"/>
              <w:bottom w:w="90" w:type="dxa"/>
              <w:end w:w="100" w:type="dxa"/>
            </w:tcMar>
            <w:vAlign w:val="center"/>
          </w:tcPr>
          <w:p>
            <w:pPr>
              <w:spacing w:after="0"/>
            </w:pPr>
            <w:r>
              <w:rPr>
                <w:sz w:val="16"/>
              </w:rPr>
              <w:t>подготовить внешний набор семей алгебр</w:t>
            </w:r>
          </w:p>
        </w:tc>
      </w:tr>
    </w:tbl>
    <w:p>
      <w:pPr>
        <w:widowControl/>
        <w:spacing w:after="40"/>
      </w:pPr>
    </w:p>
    <w:p>
      <w:pPr>
        <w:pStyle w:val="Heading1"/>
        <w:widowControl/>
        <w:keepNext/>
      </w:pPr>
      <w:r>
        <w:rPr>
          <w:rFonts w:ascii="Liberation Sans" w:hAnsi="Liberation Sans" w:eastAsia="Liberation Sans"/>
          <w:b/>
          <w:color w:val="17365D"/>
          <w:sz w:val="36"/>
        </w:rPr>
        <w:t>22. Библиографическая синхронизация v0.3</w:t>
      </w:r>
    </w:p>
    <w:p>
      <w:pPr>
        <w:widowControl/>
      </w:pPr>
      <w:r>
        <w:t>[1] Schafer, R. D. Structure and representation of nonassociative algebras. Bulletin of the American Mathematical Society 61 (1955), 469–484.</w:t>
      </w:r>
    </w:p>
    <w:p>
      <w:pPr>
        <w:widowControl/>
      </w:pPr>
      <w:r>
        <w:t>[2] Baez, J. C. The Octonions. Bulletin of the American Mathematical Society 39 (2002), 145–205; arXiv:math/0105155.</w:t>
      </w:r>
    </w:p>
    <w:p>
      <w:pPr>
        <w:widowControl/>
      </w:pPr>
      <w:r>
        <w:t>[3] Glassman, N. D. Cohomology of nonassociative algebras. Pacific Journal of Mathematics 33 (1970), 617–631.</w:t>
      </w:r>
    </w:p>
    <w:p>
      <w:pPr>
        <w:widowControl/>
      </w:pPr>
      <w:r>
        <w:t>[4] Salzmann, H. et al. The Role of Nonassociative Algebra in Projective Geometry. Graduate Studies in Mathematics 159, American Mathematical Society, 2014.</w:t>
      </w:r>
    </w:p>
    <w:p>
      <w:pPr>
        <w:widowControl/>
      </w:pPr>
      <w:r>
        <w:t>[5] Kaygorodov, I. Non-associative algebraic structures: classification and structure. arXiv:2306.00425, revised 2023.</w:t>
      </w:r>
    </w:p>
    <w:p>
      <w:pPr>
        <w:widowControl/>
      </w:pPr>
      <w:r>
        <w:t>[6] Курпишев И. Б. Том I v197 RU и T2-RP-v0.2: канонические внутренние источники настоящей редакции.</w:t>
      </w:r>
    </w:p>
    <w:p>
      <w:pPr>
        <w:widowControl/>
      </w:pPr>
      <w:r>
        <w:t>Классические определения ассоциатора, ядер, центра, альтернативности и октонионов используются как prior art. Авторская новизна настоящего слоя заявляется в строгом R⋆R-сертификате, соединении с D/Dom и λ-селектором, ассоциаторном профиле KLT-RBD и детерминантном горизонте предсказательного исключения.</w:t>
      </w:r>
    </w:p>
    <w:p>
      <w:pPr>
        <w:pStyle w:val="Heading1"/>
        <w:widowControl/>
        <w:keepNext/>
      </w:pPr>
      <w:r>
        <w:rPr>
          <w:rFonts w:ascii="Liberation Sans" w:hAnsi="Liberation Sans" w:eastAsia="Liberation Sans"/>
          <w:b/>
          <w:color w:val="17365D"/>
          <w:sz w:val="36"/>
        </w:rPr>
        <w:t>23. Контрольная точка T2-RP-v0.3</w:t>
      </w:r>
    </w:p>
    <w:tbl>
      <w:tblPr>
        <w:tblW w:type="auto" w:w="0"/>
        <w:jc w:val="center"/>
        <w:tblLayout w:type="fixed"/>
        <w:tblLook w:firstColumn="1" w:firstRow="1" w:lastColumn="0" w:lastRow="0" w:noHBand="0" w:noVBand="1" w:val="04A0"/>
      </w:tblPr>
      <w:tblGrid>
        <w:gridCol w:w="4876"/>
        <w:gridCol w:w="4876"/>
      </w:tblGrid>
      <w:tr>
        <w:trPr>
          <w:tblHeader w:val="true"/>
        </w:trPr>
        <w:tc>
          <w:tcPr>
            <w:tcW w:type="dxa" w:w="2608"/>
            <w:shd w:fill="DCE7F2"/>
            <w:tcMar>
              <w:top w:w="90" w:type="dxa"/>
              <w:start w:w="100" w:type="dxa"/>
              <w:bottom w:w="90" w:type="dxa"/>
              <w:end w:w="100" w:type="dxa"/>
            </w:tcMar>
            <w:vAlign w:val="center"/>
          </w:tcPr>
          <w:p>
            <w:pPr>
              <w:jc w:val="center"/>
            </w:pPr>
            <w:r>
              <w:rPr>
                <w:b/>
                <w:sz w:val="18"/>
              </w:rPr>
              <w:t>Контроль</w:t>
            </w:r>
          </w:p>
        </w:tc>
        <w:tc>
          <w:tcPr>
            <w:tcW w:type="dxa" w:w="6350"/>
            <w:shd w:fill="DCE7F2"/>
            <w:tcMar>
              <w:top w:w="90" w:type="dxa"/>
              <w:start w:w="100" w:type="dxa"/>
              <w:bottom w:w="90" w:type="dxa"/>
              <w:end w:w="100" w:type="dxa"/>
            </w:tcMar>
            <w:vAlign w:val="center"/>
          </w:tcPr>
          <w:p>
            <w:pPr>
              <w:jc w:val="center"/>
            </w:pPr>
            <w:r>
              <w:rPr>
                <w:b/>
                <w:sz w:val="18"/>
              </w:rPr>
              <w:t>Результат</w:t>
            </w:r>
          </w:p>
        </w:tc>
      </w:tr>
      <w:tr>
        <w:tc>
          <w:tcPr>
            <w:tcW w:type="dxa" w:w="2608"/>
            <w:tcMar>
              <w:top w:w="90" w:type="dxa"/>
              <w:start w:w="100" w:type="dxa"/>
              <w:bottom w:w="90" w:type="dxa"/>
              <w:end w:w="100" w:type="dxa"/>
            </w:tcMar>
            <w:vAlign w:val="center"/>
          </w:tcPr>
          <w:p>
            <w:pPr>
              <w:spacing w:after="0"/>
            </w:pPr>
            <w:r>
              <w:rPr>
                <w:sz w:val="18"/>
              </w:rPr>
              <w:t>Кумулятивность</w:t>
            </w:r>
          </w:p>
        </w:tc>
        <w:tc>
          <w:tcPr>
            <w:tcW w:type="dxa" w:w="6350"/>
            <w:tcMar>
              <w:top w:w="90" w:type="dxa"/>
              <w:start w:w="100" w:type="dxa"/>
              <w:bottom w:w="90" w:type="dxa"/>
              <w:end w:w="100" w:type="dxa"/>
            </w:tcMar>
            <w:vAlign w:val="center"/>
          </w:tcPr>
          <w:p>
            <w:pPr>
              <w:spacing w:after="0"/>
            </w:pPr>
            <w:r>
              <w:rPr>
                <w:sz w:val="18"/>
              </w:rPr>
              <w:t>v0.1 и v0.2 сохранены без удаления</w:t>
            </w:r>
          </w:p>
        </w:tc>
      </w:tr>
      <w:tr>
        <w:tc>
          <w:tcPr>
            <w:tcW w:type="dxa" w:w="2608"/>
            <w:tcMar>
              <w:top w:w="90" w:type="dxa"/>
              <w:start w:w="100" w:type="dxa"/>
              <w:bottom w:w="90" w:type="dxa"/>
              <w:end w:w="100" w:type="dxa"/>
            </w:tcMar>
            <w:vAlign w:val="center"/>
          </w:tcPr>
          <w:p>
            <w:pPr>
              <w:spacing w:after="0"/>
            </w:pPr>
            <w:r>
              <w:rPr>
                <w:sz w:val="18"/>
              </w:rPr>
              <w:t>Глава 5</w:t>
            </w:r>
          </w:p>
        </w:tc>
        <w:tc>
          <w:tcPr>
            <w:tcW w:type="dxa" w:w="6350"/>
            <w:tcMar>
              <w:top w:w="90" w:type="dxa"/>
              <w:start w:w="100" w:type="dxa"/>
              <w:bottom w:w="90" w:type="dxa"/>
              <w:end w:w="100" w:type="dxa"/>
            </w:tcMar>
            <w:vAlign w:val="center"/>
          </w:tcPr>
          <w:p>
            <w:pPr>
              <w:spacing w:after="0"/>
            </w:pPr>
            <w:r>
              <w:rPr>
                <w:sz w:val="18"/>
              </w:rPr>
              <w:t>создано строгое ассоциаторное ядро</w:t>
            </w:r>
          </w:p>
        </w:tc>
      </w:tr>
      <w:tr>
        <w:tc>
          <w:tcPr>
            <w:tcW w:type="dxa" w:w="2608"/>
            <w:tcMar>
              <w:top w:w="90" w:type="dxa"/>
              <w:start w:w="100" w:type="dxa"/>
              <w:bottom w:w="90" w:type="dxa"/>
              <w:end w:w="100" w:type="dxa"/>
            </w:tcMar>
            <w:vAlign w:val="center"/>
          </w:tcPr>
          <w:p>
            <w:pPr>
              <w:spacing w:after="0"/>
            </w:pPr>
            <w:r>
              <w:rPr>
                <w:sz w:val="18"/>
              </w:rPr>
              <w:t>R⋆R</w:t>
            </w:r>
          </w:p>
        </w:tc>
        <w:tc>
          <w:tcPr>
            <w:tcW w:type="dxa" w:w="6350"/>
            <w:tcMar>
              <w:top w:w="90" w:type="dxa"/>
              <w:start w:w="100" w:type="dxa"/>
              <w:bottom w:w="90" w:type="dxa"/>
              <w:end w:w="100" w:type="dxa"/>
            </w:tcMar>
            <w:vAlign w:val="center"/>
          </w:tcPr>
          <w:p>
            <w:pPr>
              <w:spacing w:after="0"/>
            </w:pPr>
            <w:r>
              <w:rPr>
                <w:sz w:val="18"/>
              </w:rPr>
              <w:t>реализован как полный квадратично-чередующийся сертификат</w:t>
            </w:r>
          </w:p>
        </w:tc>
      </w:tr>
      <w:tr>
        <w:tc>
          <w:tcPr>
            <w:tcW w:type="dxa" w:w="2608"/>
            <w:tcMar>
              <w:top w:w="90" w:type="dxa"/>
              <w:start w:w="100" w:type="dxa"/>
              <w:bottom w:w="90" w:type="dxa"/>
              <w:end w:w="100" w:type="dxa"/>
            </w:tcMar>
            <w:vAlign w:val="center"/>
          </w:tcPr>
          <w:p>
            <w:pPr>
              <w:spacing w:after="0"/>
            </w:pPr>
            <w:r>
              <w:rPr>
                <w:sz w:val="18"/>
              </w:rPr>
              <w:t>Предсказательный результат</w:t>
            </w:r>
          </w:p>
        </w:tc>
        <w:tc>
          <w:tcPr>
            <w:tcW w:type="dxa" w:w="6350"/>
            <w:tcMar>
              <w:top w:w="90" w:type="dxa"/>
              <w:start w:w="100" w:type="dxa"/>
              <w:bottom w:w="90" w:type="dxa"/>
              <w:end w:w="100" w:type="dxa"/>
            </w:tcMar>
            <w:vAlign w:val="center"/>
          </w:tcPr>
          <w:p>
            <w:pPr>
              <w:spacing w:after="0"/>
            </w:pPr>
            <w:r>
              <w:rPr>
                <w:sz w:val="18"/>
              </w:rPr>
              <w:t>структурные переходы локализованы детерминантным горизонтом</w:t>
            </w:r>
          </w:p>
        </w:tc>
      </w:tr>
      <w:tr>
        <w:tc>
          <w:tcPr>
            <w:tcW w:type="dxa" w:w="2608"/>
            <w:tcMar>
              <w:top w:w="90" w:type="dxa"/>
              <w:start w:w="100" w:type="dxa"/>
              <w:bottom w:w="90" w:type="dxa"/>
              <w:end w:w="100" w:type="dxa"/>
            </w:tcMar>
            <w:vAlign w:val="center"/>
          </w:tcPr>
          <w:p>
            <w:pPr>
              <w:spacing w:after="0"/>
            </w:pPr>
            <w:r>
              <w:rPr>
                <w:sz w:val="18"/>
              </w:rPr>
              <w:t>Отрицательный результат</w:t>
            </w:r>
          </w:p>
        </w:tc>
        <w:tc>
          <w:tcPr>
            <w:tcW w:type="dxa" w:w="6350"/>
            <w:tcMar>
              <w:top w:w="90" w:type="dxa"/>
              <w:start w:w="100" w:type="dxa"/>
              <w:bottom w:w="90" w:type="dxa"/>
              <w:end w:w="100" w:type="dxa"/>
            </w:tcMar>
            <w:vAlign w:val="center"/>
          </w:tcPr>
          <w:p>
            <w:pPr>
              <w:spacing w:after="0"/>
            </w:pPr>
            <w:r>
              <w:rPr>
                <w:sz w:val="18"/>
              </w:rPr>
              <w:t>вне горизонта изменение профиля исключено в модели</w:t>
            </w:r>
          </w:p>
        </w:tc>
      </w:tr>
      <w:tr>
        <w:tc>
          <w:tcPr>
            <w:tcW w:type="dxa" w:w="2608"/>
            <w:tcMar>
              <w:top w:w="90" w:type="dxa"/>
              <w:start w:w="100" w:type="dxa"/>
              <w:bottom w:w="90" w:type="dxa"/>
              <w:end w:w="100" w:type="dxa"/>
            </w:tcMar>
            <w:vAlign w:val="center"/>
          </w:tcPr>
          <w:p>
            <w:pPr>
              <w:spacing w:after="0"/>
            </w:pPr>
            <w:r>
              <w:rPr>
                <w:sz w:val="18"/>
              </w:rPr>
              <w:t>Физический статус</w:t>
            </w:r>
          </w:p>
        </w:tc>
        <w:tc>
          <w:tcPr>
            <w:tcW w:type="dxa" w:w="6350"/>
            <w:tcMar>
              <w:top w:w="90" w:type="dxa"/>
              <w:start w:w="100" w:type="dxa"/>
              <w:bottom w:w="90" w:type="dxa"/>
              <w:end w:w="100" w:type="dxa"/>
            </w:tcMar>
            <w:vAlign w:val="center"/>
          </w:tcPr>
          <w:p>
            <w:pPr>
              <w:spacing w:after="0"/>
            </w:pPr>
            <w:r>
              <w:rPr>
                <w:sz w:val="18"/>
              </w:rPr>
              <w:t>не повышен</w:t>
            </w:r>
          </w:p>
        </w:tc>
      </w:tr>
      <w:tr>
        <w:tc>
          <w:tcPr>
            <w:tcW w:type="dxa" w:w="2608"/>
            <w:tcMar>
              <w:top w:w="90" w:type="dxa"/>
              <w:start w:w="100" w:type="dxa"/>
              <w:bottom w:w="90" w:type="dxa"/>
              <w:end w:w="100" w:type="dxa"/>
            </w:tcMar>
            <w:vAlign w:val="center"/>
          </w:tcPr>
          <w:p>
            <w:pPr>
              <w:spacing w:after="0"/>
            </w:pPr>
            <w:r>
              <w:rPr>
                <w:sz w:val="18"/>
              </w:rPr>
              <w:t>Следующая точка</w:t>
            </w:r>
          </w:p>
        </w:tc>
        <w:tc>
          <w:tcPr>
            <w:tcW w:type="dxa" w:w="6350"/>
            <w:tcMar>
              <w:top w:w="90" w:type="dxa"/>
              <w:start w:w="100" w:type="dxa"/>
              <w:bottom w:w="90" w:type="dxa"/>
              <w:end w:w="100" w:type="dxa"/>
            </w:tcMar>
            <w:vAlign w:val="center"/>
          </w:tcPr>
          <w:p>
            <w:pPr>
              <w:spacing w:after="0"/>
            </w:pPr>
            <w:r>
              <w:rPr>
                <w:sz w:val="18"/>
              </w:rPr>
              <w:t>T2-RP-v0.4: пакетно-реперная алгебро-геометрическая двойственность</w:t>
            </w:r>
          </w:p>
        </w:tc>
      </w:tr>
      <w:tr>
        <w:tc>
          <w:tcPr>
            <w:tcW w:type="dxa" w:w="2608"/>
            <w:tcMar>
              <w:top w:w="90" w:type="dxa"/>
              <w:start w:w="100" w:type="dxa"/>
              <w:bottom w:w="90" w:type="dxa"/>
              <w:end w:w="100" w:type="dxa"/>
            </w:tcMar>
            <w:vAlign w:val="center"/>
          </w:tcPr>
          <w:p>
            <w:pPr>
              <w:spacing w:after="0"/>
            </w:pPr>
            <w:r>
              <w:rPr>
                <w:sz w:val="18"/>
              </w:rPr>
              <w:t>Статус-замок</w:t>
            </w:r>
          </w:p>
        </w:tc>
        <w:tc>
          <w:tcPr>
            <w:tcW w:type="dxa" w:w="6350"/>
            <w:tcMar>
              <w:top w:w="90" w:type="dxa"/>
              <w:start w:w="100" w:type="dxa"/>
              <w:bottom w:w="90" w:type="dxa"/>
              <w:end w:w="100" w:type="dxa"/>
            </w:tcMar>
            <w:vAlign w:val="center"/>
          </w:tcPr>
          <w:p>
            <w:pPr>
              <w:spacing w:after="0"/>
            </w:pPr>
            <w:r>
              <w:rPr>
                <w:sz w:val="18"/>
              </w:rPr>
              <w:t>truth_layer_promotion=0</w:t>
            </w:r>
          </w:p>
        </w:tc>
      </w:tr>
    </w:tbl>
    <w:p>
      <w:pPr>
        <w:widowControl/>
        <w:spacing w:after="40"/>
      </w:pPr>
    </w:p>
    <w:tbl>
      <w:tblPr>
        <w:tblW w:type="auto" w:w="0"/>
        <w:jc w:val="center"/>
        <w:tblLayout w:type="fixed"/>
        <w:tblLook w:firstColumn="1" w:firstRow="1" w:lastColumn="0" w:lastRow="0" w:noHBand="0" w:noVBand="1" w:val="04A0"/>
      </w:tblPr>
      <w:tblGrid>
        <w:gridCol w:w="9752"/>
      </w:tblGrid>
      <w:tr>
        <w:tc>
          <w:tcPr>
            <w:tcW w:type="dxa" w:w="9071"/>
            <w:shd w:fill="EDECF6"/>
            <w:tcMar>
              <w:top w:w="140" w:type="dxa"/>
              <w:start w:w="180" w:type="dxa"/>
              <w:bottom w:w="140" w:type="dxa"/>
              <w:end w:w="180" w:type="dxa"/>
            </w:tcMar>
          </w:tcPr>
          <w:p>
            <w:pPr>
              <w:spacing w:after="80"/>
            </w:pPr>
            <w:r>
              <w:rPr>
                <w:b/>
                <w:color w:val="1F4468"/>
                <w:sz w:val="21"/>
              </w:rPr>
              <w:t>ТОЧКА ОТКАТА</w:t>
            </w:r>
          </w:p>
          <w:p>
            <w:pPr>
              <w:spacing w:after="0"/>
            </w:pPr>
            <w:r>
              <w:rPr>
                <w:sz w:val="19"/>
              </w:rPr>
              <w:t>T2-RP-v0.3 сохраняет v0.2 как неизменяемый источник. При обнаружении дефекта в R⋆R-сертификате откат выполняется к T2-RP-v0.2, а не к Тому I. Том I v197 RU остаётся замороженной нулевой основой.</w:t>
            </w:r>
          </w:p>
        </w:tc>
      </w:tr>
    </w:tbl>
    <w:p>
      <w:pPr>
        <w:widowControl/>
        <w:spacing w:after="20"/>
      </w:pPr>
    </w:p>
    <w:p>
      <w:pPr>
        <w:pStyle w:val="Heading2"/>
        <w:widowControl/>
        <w:keepNext/>
      </w:pPr>
      <w:r>
        <w:rPr>
          <w:rFonts w:ascii="Liberation Sans" w:hAnsi="Liberation Sans" w:eastAsia="Liberation Sans"/>
          <w:b/>
          <w:color w:val="2F5597"/>
          <w:sz w:val="26"/>
        </w:rPr>
        <w:t>Машиночитаемая фиксация</w:t>
      </w:r>
    </w:p>
    <w:p>
      <w:pPr>
        <w:widowControl/>
        <w:spacing w:before="80" w:after="120"/>
        <w:jc w:val="center"/>
      </w:pPr>
      <w:r>
        <w:rPr>
          <w:rFonts w:ascii="Cambria Math" w:hAnsi="Cambria Math" w:eastAsia="Cambria Math"/>
          <w:sz w:val="23"/>
        </w:rPr>
        <w:t>checkpoint=T2-RP-v0.3; source=T2-RP-v0.2; truth_layer_promotion=0; next=T2-RP-v0.4.</w:t>
      </w:r>
    </w:p>
    <w:p>
      <w:r>
        <w:br w:type="page"/>
      </w:r>
    </w:p>
    <w:p>
      <w:pPr>
        <w:pStyle w:val="Heading1"/>
        <w:spacing w:before="200" w:after="100"/>
        <w:keepNext/>
      </w:pPr>
      <w:r>
        <w:rPr>
          <w:rFonts w:ascii="Liberation Sans" w:hAnsi="Liberation Sans" w:eastAsia="Liberation Sans"/>
          <w:b/>
          <w:color w:val="17365D"/>
          <w:sz w:val="36"/>
        </w:rPr>
        <w:t>ЧАСТЬ IV. АЛГЕБРО-ГЕОМЕТРИЧЕСКАЯ ДВОЙСТВЕННОСТЬ v0.4</w:t>
      </w:r>
    </w:p>
    <w:p>
      <w:pPr>
        <w:pStyle w:val="Lead"/>
        <w:spacing w:after="160" w:before="0" w:line="269" w:lineRule="auto"/>
        <w:jc w:val="center"/>
      </w:pPr>
      <w:r>
        <w:rPr>
          <w:rFonts w:ascii="Liberation Serif" w:hAnsi="Liberation Serif" w:eastAsia="Liberation Serif"/>
          <w:i w:val="0"/>
          <w:sz w:val="20"/>
        </w:rPr>
        <w:t>Контрольная точка T2-RP-v0.4 · углубление главы 6 · источник: T2-RP-v0.3</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Философский шлюз главы 6</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Онтология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 и геометрия не объявляются одним и тем же объектом. Двойственность означает контролируемое взаимное восстановление структур через явно заданные функторы.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Гносеология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Наблюдаемая геометрия есть семейство допустимых проб алгебры. Полнота познания требует доказать, что совокупность проб не теряет существенных данных.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Феноменология</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Объект проявляется не как изолированная вещь, а как согласованный спектр его действий на тестовых объектах, реперных конфигурациях и локальных картах.</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Ограничение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Даже точная двойственность переносит структуру, но не создаёт причинный закон, временную динамику или физическое предсказание. Для них требуются отдельные мосты и данные.</w:t>
            </w:r>
          </w:p>
        </w:tc>
      </w:tr>
    </w:tbl>
    <w:p>
      <w:pPr>
        <w:spacing w:after="40"/>
      </w:pPr>
    </w:p>
    <w:p>
      <w:pPr>
        <w:pStyle w:val="Heading2"/>
        <w:spacing w:before="140" w:after="100"/>
        <w:keepNext/>
      </w:pPr>
      <w:r>
        <w:rPr>
          <w:rFonts w:ascii="Liberation Sans" w:hAnsi="Liberation Sans" w:eastAsia="Liberation Sans"/>
          <w:b/>
          <w:color w:val="2F5597"/>
          <w:sz w:val="26"/>
        </w:rPr>
        <w:t>24. Паспорт углубления v0.4</w:t>
      </w:r>
    </w:p>
    <w:p>
      <w:pPr>
        <w:spacing w:after="80" w:before="0" w:line="269" w:lineRule="auto"/>
      </w:pPr>
      <w:r>
        <w:rPr>
          <w:rFonts w:ascii="Liberation Serif" w:hAnsi="Liberation Serif" w:eastAsia="Liberation Serif"/>
          <w:i w:val="0"/>
          <w:sz w:val="20"/>
        </w:rPr>
        <w:t>Цель редакции v0.4 — заменить неопределённую формулу «алгебра двойственна геометрии» четырёхуровневой конструкцией. Первый уровень является безусловным и представимым; второй вводит условную пространственную реализацию; третий выделяет реконструируемые подкатегории; четвёртый переносит детерминантные и проективно-гармонические кандидаты только через доказанный реконструкционный шлюз.</w:t>
      </w:r>
    </w:p>
    <w:tbl>
      <w:tblPr>
        <w:tblStyle w:val="TableGrid"/>
        <w:tblW w:type="auto" w:w="0"/>
        <w:jc w:val="center"/>
        <w:tblLayout w:type="fixed"/>
        <w:tblLook w:firstColumn="1" w:firstRow="1" w:lastColumn="0" w:lastRow="0" w:noHBand="0" w:noVBand="1" w:val="04A0"/>
      </w:tblPr>
      <w:tblGrid>
        <w:gridCol w:w="936"/>
        <w:gridCol w:w="3096"/>
        <w:gridCol w:w="1296"/>
        <w:gridCol w:w="53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Уровень</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Конструкция</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Допустимый вывод</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D0</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Yoneda/representable duality</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Алгебра полностью кодируется своим функтором точек в представимом слое.</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D1</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Spec_R - Gamma_R adjunction</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Существует естественное соответствие геометрических стрелок и алгебраических морфизмов при заданных гипотезах.</w:t>
            </w:r>
          </w:p>
        </w:tc>
      </w:tr>
      <w:tr>
        <w:tc>
          <w:tcPr>
            <w:tcW w:type="dxa" w:w="936"/>
            <w:vAlign w:val="center"/>
            <w:tcMar>
              <w:top w:w="85" w:type="dxa"/>
              <w:start w:w="95" w:type="dxa"/>
              <w:bottom w:w="85" w:type="dxa"/>
              <w:end w:w="95" w:type="dxa"/>
            </w:tcMar>
          </w:tcPr>
          <w:p>
            <w:pPr>
              <w:jc w:val="left"/>
            </w:pPr>
            <w:r>
              <w:rPr>
                <w:rFonts w:ascii="Liberation Serif" w:hAnsi="Liberation Serif" w:eastAsia="Liberation Serif"/>
                <w:b w:val="0"/>
                <w:sz w:val="17"/>
              </w:rPr>
              <w:t>D2</w:t>
            </w:r>
          </w:p>
        </w:tc>
        <w:tc>
          <w:tcPr>
            <w:tcW w:type="dxa" w:w="3096"/>
            <w:vAlign w:val="center"/>
            <w:tcMar>
              <w:top w:w="85" w:type="dxa"/>
              <w:start w:w="95" w:type="dxa"/>
              <w:bottom w:w="85" w:type="dxa"/>
              <w:end w:w="95" w:type="dxa"/>
            </w:tcMar>
          </w:tcPr>
          <w:p>
            <w:pPr>
              <w:jc w:val="left"/>
            </w:pPr>
            <w:r>
              <w:rPr>
                <w:rFonts w:ascii="Liberation Serif" w:hAnsi="Liberation Serif" w:eastAsia="Liberation Serif"/>
                <w:b w:val="0"/>
                <w:sz w:val="17"/>
              </w:rPr>
              <w:t>Reconstruction anti-equivalence</w:t>
            </w:r>
          </w:p>
        </w:tc>
        <w:tc>
          <w:tcPr>
            <w:tcW w:type="dxa" w:w="1296"/>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5328"/>
            <w:vAlign w:val="center"/>
            <w:tcMar>
              <w:top w:w="85" w:type="dxa"/>
              <w:start w:w="95" w:type="dxa"/>
              <w:bottom w:w="85" w:type="dxa"/>
              <w:end w:w="95" w:type="dxa"/>
            </w:tcMar>
          </w:tcPr>
          <w:p>
            <w:pPr>
              <w:jc w:val="left"/>
            </w:pPr>
            <w:r>
              <w:rPr>
                <w:rFonts w:ascii="Liberation Serif" w:hAnsi="Liberation Serif" w:eastAsia="Liberation Serif"/>
                <w:b w:val="0"/>
                <w:sz w:val="17"/>
              </w:rPr>
              <w:t>На объектах с изоморфными unit/counit алгебра и геометрия взаимно восстанавливаются.</w:t>
            </w:r>
          </w:p>
        </w:tc>
      </w:tr>
      <w:tr>
        <w:tc>
          <w:tcPr>
            <w:tcW w:type="dxa" w:w="93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D3</w:t>
            </w:r>
          </w:p>
        </w:tc>
        <w:tc>
          <w:tcPr>
            <w:tcW w:type="dxa" w:w="309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Predictive dual transport</w:t>
            </w:r>
          </w:p>
        </w:tc>
        <w:tc>
          <w:tcPr>
            <w:tcW w:type="dxa" w:w="1296"/>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53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Ранговый горизонт и harmonic gate переносятся между слоями только при нулевом реконструкционном дефекте.</w:t>
            </w:r>
          </w:p>
        </w:tc>
      </w:tr>
    </w:tbl>
    <w:p>
      <w:pPr>
        <w:spacing w:after="40"/>
      </w:pPr>
    </w:p>
    <w:p>
      <w:pPr>
        <w:pStyle w:val="Heading1"/>
        <w:spacing w:before="200" w:after="100"/>
        <w:keepNext/>
      </w:pPr>
      <w:r>
        <w:rPr>
          <w:rFonts w:ascii="Liberation Sans" w:hAnsi="Liberation Sans" w:eastAsia="Liberation Sans"/>
          <w:b/>
          <w:color w:val="17365D"/>
          <w:sz w:val="36"/>
        </w:rPr>
        <w:t>25. Глава 6. Пакетно-реперная алгебро-геометрическая двойственность</w:t>
      </w:r>
    </w:p>
    <w:p>
      <w:pPr>
        <w:pStyle w:val="Heading2"/>
        <w:spacing w:before="140" w:after="100"/>
        <w:keepNext/>
      </w:pPr>
      <w:r>
        <w:rPr>
          <w:rFonts w:ascii="Liberation Sans" w:hAnsi="Liberation Sans" w:eastAsia="Liberation Sans"/>
          <w:b/>
          <w:color w:val="2F5597"/>
          <w:sz w:val="26"/>
        </w:rPr>
        <w:t>25.1. Граница prior art и авторской конструкции</w:t>
      </w:r>
    </w:p>
    <w:p>
      <w:pPr>
        <w:spacing w:after="80" w:before="0" w:line="269" w:lineRule="auto"/>
      </w:pPr>
      <w:r>
        <w:rPr>
          <w:rFonts w:ascii="Liberation Serif" w:hAnsi="Liberation Serif" w:eastAsia="Liberation Serif"/>
          <w:i w:val="0"/>
          <w:sz w:val="20"/>
        </w:rPr>
        <w:t>Классическая математика содержит несколько различных, несводимых друг к другу парадигм двойственности: антиэквивалентность коммутативных колец и аффинных схем; восстановление компактного пространства по коммутативной C*-алгебре; соответствие векторных расслоений и конечнопорождённых проективных модулей; реконструкцию объекта по функтору Hom. Настоящая глава не переименовывает эти результаты и не заявляет их как авторские.</w:t>
      </w:r>
    </w:p>
    <w:p>
      <w:pPr>
        <w:spacing w:after="80" w:before="0" w:line="269" w:lineRule="auto"/>
      </w:pPr>
      <w:r>
        <w:rPr>
          <w:rFonts w:ascii="Liberation Serif" w:hAnsi="Liberation Serif" w:eastAsia="Liberation Serif"/>
          <w:i w:val="0"/>
          <w:sz w:val="20"/>
        </w:rPr>
        <w:t>Авторская конструкция Тома II состоит в их дисциплинированном переносе в NAPG: вводятся представимый функтор пакетно-реперных точек, реконструкционный дефект, projective Reper-атлас, согласование алгебраического и геометрического детерминантных горизонтов и blocker-safe правило прогнозного переноса.</w:t>
      </w:r>
    </w:p>
    <w:tbl>
      <w:tblPr>
        <w:tblStyle w:val="TableGrid"/>
        <w:tblW w:type="auto" w:w="0"/>
        <w:jc w:val="center"/>
        <w:tblLayout w:type="fixed"/>
        <w:tblLook w:firstColumn="1" w:firstRow="1" w:lastColumn="0" w:lastRow="0" w:noHBand="0" w:noVBand="1" w:val="04A0"/>
      </w:tblPr>
      <w:tblGrid>
        <w:gridCol w:w="1944"/>
        <w:gridCol w:w="4032"/>
        <w:gridCol w:w="4680"/>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Классическая линия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импортируется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Что не переносится автоматически</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Аффинные схемы</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Контравариантность Spec и восстановление по глобальным сечениям на аффинном слое.</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Некоммутативная или неассоциативная алгебра не получает канонический scheme-spectrum без дополнительной конструкции.</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Гельфанд–Наймарк</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Идея восстановления пространства из функциональной алгебры.</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Топологическая C*-структура, положительность и involution не присутствуют в общем NAPG-ядре.</w:t>
            </w:r>
          </w:p>
        </w:tc>
      </w:tr>
      <w:tr>
        <w:tc>
          <w:tcPr>
            <w:tcW w:type="dxa" w:w="1944"/>
            <w:vAlign w:val="center"/>
            <w:tcMar>
              <w:top w:w="85" w:type="dxa"/>
              <w:start w:w="95" w:type="dxa"/>
              <w:bottom w:w="85" w:type="dxa"/>
              <w:end w:w="95" w:type="dxa"/>
            </w:tcMar>
          </w:tcPr>
          <w:p>
            <w:pPr>
              <w:jc w:val="left"/>
            </w:pPr>
            <w:r>
              <w:rPr>
                <w:rFonts w:ascii="Liberation Serif" w:hAnsi="Liberation Serif" w:eastAsia="Liberation Serif"/>
                <w:sz w:val="17"/>
              </w:rPr>
              <w:t>Серр–Суон</w:t>
            </w:r>
          </w:p>
        </w:tc>
        <w:tc>
          <w:tcPr>
            <w:tcW w:type="dxa" w:w="4032"/>
            <w:vAlign w:val="center"/>
            <w:tcMar>
              <w:top w:w="85" w:type="dxa"/>
              <w:start w:w="95" w:type="dxa"/>
              <w:bottom w:w="85" w:type="dxa"/>
              <w:end w:w="95" w:type="dxa"/>
            </w:tcMar>
          </w:tcPr>
          <w:p>
            <w:pPr>
              <w:jc w:val="left"/>
            </w:pPr>
            <w:r>
              <w:rPr>
                <w:rFonts w:ascii="Liberation Serif" w:hAnsi="Liberation Serif" w:eastAsia="Liberation Serif"/>
                <w:sz w:val="17"/>
              </w:rPr>
              <w:t>Связь локальной геометрии расслоений с проективными модулями.</w:t>
            </w:r>
          </w:p>
        </w:tc>
        <w:tc>
          <w:tcPr>
            <w:tcW w:type="dxa" w:w="4680"/>
            <w:vAlign w:val="center"/>
            <w:tcMar>
              <w:top w:w="85" w:type="dxa"/>
              <w:start w:w="95" w:type="dxa"/>
              <w:bottom w:w="85" w:type="dxa"/>
              <w:end w:w="95" w:type="dxa"/>
            </w:tcMar>
          </w:tcPr>
          <w:p>
            <w:pPr>
              <w:jc w:val="left"/>
            </w:pPr>
            <w:r>
              <w:rPr>
                <w:rFonts w:ascii="Liberation Serif" w:hAnsi="Liberation Serif" w:eastAsia="Liberation Serif"/>
                <w:sz w:val="17"/>
              </w:rPr>
              <w:t>Любой NAPG-модуль не является автоматически векторным расслоением.</w:t>
            </w:r>
          </w:p>
        </w:tc>
      </w:tr>
      <w:tr>
        <w:tc>
          <w:tcPr>
            <w:tcW w:type="dxa" w:w="1944"/>
            <w:vAlign w:val="center"/>
            <w:tcMar>
              <w:top w:w="85" w:type="dxa"/>
              <w:start w:w="95" w:type="dxa"/>
              <w:bottom w:w="85" w:type="dxa"/>
              <w:end w:w="95" w:type="dxa"/>
            </w:tcMar>
            <w:shd w:fill="F4F7FB"/>
          </w:tcPr>
          <w:p>
            <w:pPr>
              <w:jc w:val="left"/>
            </w:pPr>
            <w:r>
              <w:rPr>
                <w:rFonts w:ascii="Liberation Serif" w:hAnsi="Liberation Serif" w:eastAsia="Liberation Serif"/>
                <w:sz w:val="17"/>
              </w:rPr>
              <w:t>Йонеда</w:t>
            </w:r>
          </w:p>
        </w:tc>
        <w:tc>
          <w:tcPr>
            <w:tcW w:type="dxa" w:w="4032"/>
            <w:vAlign w:val="center"/>
            <w:tcMar>
              <w:top w:w="85" w:type="dxa"/>
              <w:start w:w="95" w:type="dxa"/>
              <w:bottom w:w="85" w:type="dxa"/>
              <w:end w:w="95" w:type="dxa"/>
            </w:tcMar>
            <w:shd w:fill="F4F7FB"/>
          </w:tcPr>
          <w:p>
            <w:pPr>
              <w:jc w:val="left"/>
            </w:pPr>
            <w:r>
              <w:rPr>
                <w:rFonts w:ascii="Liberation Serif" w:hAnsi="Liberation Serif" w:eastAsia="Liberation Serif"/>
                <w:sz w:val="17"/>
              </w:rPr>
              <w:t>Полная точность представимого Hom-функтора.</w:t>
            </w:r>
          </w:p>
        </w:tc>
        <w:tc>
          <w:tcPr>
            <w:tcW w:type="dxa" w:w="4680"/>
            <w:vAlign w:val="center"/>
            <w:tcMar>
              <w:top w:w="85" w:type="dxa"/>
              <w:start w:w="95" w:type="dxa"/>
              <w:bottom w:w="85" w:type="dxa"/>
              <w:end w:w="95" w:type="dxa"/>
            </w:tcMar>
            <w:shd w:fill="F4F7FB"/>
          </w:tcPr>
          <w:p>
            <w:pPr>
              <w:jc w:val="left"/>
            </w:pPr>
            <w:r>
              <w:rPr>
                <w:rFonts w:ascii="Liberation Serif" w:hAnsi="Liberation Serif" w:eastAsia="Liberation Serif"/>
                <w:sz w:val="17"/>
              </w:rPr>
              <w:t>Представимый функтор ещё не является обычным топологическим пространством.</w:t>
            </w:r>
          </w:p>
        </w:tc>
      </w:tr>
    </w:tbl>
    <w:p>
      <w:pPr>
        <w:spacing w:after="40"/>
      </w:pPr>
    </w:p>
    <w:p>
      <w:pPr>
        <w:pStyle w:val="Heading2"/>
        <w:spacing w:before="140" w:after="100"/>
        <w:keepNext/>
      </w:pPr>
      <w:r>
        <w:rPr>
          <w:rFonts w:ascii="Liberation Sans" w:hAnsi="Liberation Sans" w:eastAsia="Liberation Sans"/>
          <w:b/>
          <w:color w:val="2F5597"/>
          <w:sz w:val="26"/>
        </w:rPr>
        <w:t>25.2. Две различные двойственности</w:t>
      </w:r>
    </w:p>
    <w:p>
      <w:pPr>
        <w:spacing w:after="60"/>
      </w:pPr>
      <w:r>
        <w:rPr>
          <w:rFonts w:ascii="Liberation Sans" w:hAnsi="Liberation Sans" w:eastAsia="Liberation Sans"/>
          <w:b/>
          <w:color w:val="2F5597"/>
          <w:sz w:val="19"/>
        </w:rPr>
        <w:t>Определение 6.1. Представимая двойственность [DEF-A]</w:t>
      </w:r>
    </w:p>
    <w:p>
      <w:pPr>
        <w:spacing w:after="80" w:before="0" w:line="269" w:lineRule="auto"/>
      </w:pPr>
      <w:r>
        <w:rPr>
          <w:rFonts w:ascii="Liberation Serif" w:hAnsi="Liberation Serif" w:eastAsia="Liberation Serif"/>
          <w:i w:val="0"/>
          <w:sz w:val="20"/>
        </w:rPr>
        <w:t>Пусть 𝒞 = NAPG_q^fin — малая категория конечномерных объектов NAPG_q с морфизмами, удовлетворяющими четырём совместимостям главы 3. Для A∈Ob(𝒞) определим ковариантный функтор точек</w:t>
      </w:r>
    </w:p>
    <w:p>
      <w:pPr>
        <w:spacing w:before="60" w:after="100" w:line="240" w:lineRule="auto"/>
        <w:jc w:val="center"/>
      </w:pPr>
      <w:r>
        <w:rPr>
          <w:rFonts w:ascii="Cambria Math" w:hAnsi="Cambria Math" w:eastAsia="Cambria Math"/>
          <w:sz w:val="22"/>
        </w:rPr>
        <w:t>h_A : 𝒞 → Set,        h_A(T) = Hom_𝒞(A,T).</w:t>
      </w:r>
    </w:p>
    <w:p>
      <w:pPr>
        <w:spacing w:after="80" w:before="0" w:line="269" w:lineRule="auto"/>
      </w:pPr>
      <w:r>
        <w:rPr>
          <w:rFonts w:ascii="Liberation Serif" w:hAnsi="Liberation Serif" w:eastAsia="Liberation Serif"/>
          <w:i w:val="0"/>
          <w:sz w:val="20"/>
        </w:rPr>
        <w:t>Алгебраический морфизм f:A→B индуцирует естественное преобразование h_f:h_B→h_A, заданное предварительной композицией h_f(T)(g)=g∘f. Поэтому A↦h_A является контравариантным отображением алгебр в геометрические функторы.</w:t>
      </w:r>
    </w:p>
    <w:p>
      <w:pPr>
        <w:spacing w:after="60"/>
      </w:pPr>
      <w:r>
        <w:rPr>
          <w:rFonts w:ascii="Liberation Sans" w:hAnsi="Liberation Sans" w:eastAsia="Liberation Sans"/>
          <w:b/>
          <w:color w:val="2F5597"/>
          <w:sz w:val="19"/>
        </w:rPr>
        <w:t>Определение 6.2. Пространственная двойственность [DEF-A]</w:t>
      </w:r>
    </w:p>
    <w:p>
      <w:pPr>
        <w:spacing w:after="80" w:before="0" w:line="269" w:lineRule="auto"/>
      </w:pPr>
      <w:r>
        <w:rPr>
          <w:rFonts w:ascii="Liberation Serif" w:hAnsi="Liberation Serif" w:eastAsia="Liberation Serif"/>
          <w:i w:val="0"/>
          <w:sz w:val="20"/>
        </w:rPr>
        <w:t>Пространственная двойственность требует иной категории Geo_R, объекты которой имеют носитель, локальные карты, структурный пучок, пакетно-реперные данные и правила склейки. Она задаётся парой контравариантных функторов Spec_R и Gamma_R и не выводится из одного лишь существования h_A.</w:t>
      </w:r>
    </w:p>
    <w:p>
      <w:pPr>
        <w:spacing w:before="60" w:after="100" w:line="240" w:lineRule="auto"/>
        <w:jc w:val="center"/>
      </w:pPr>
      <w:r>
        <w:rPr>
          <w:rFonts w:ascii="Cambria Math" w:hAnsi="Cambria Math" w:eastAsia="Cambria Math"/>
          <w:sz w:val="22"/>
        </w:rPr>
        <w:t>Spec_R : Alg_R → Geo_R^op,        Gamma_R : Geo_R^op → Alg_R.</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Ограничительный блок: слово «двойственность»</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1</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Полная точность функторного описания не означает существования обычного множества точек с топологией.</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2</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Совпадение множеств характеров не означает изоморфизма алгебр.</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3</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Существование сопряжённой пары не означает, что unit и counit изоморфны.</w:t>
            </w:r>
          </w:p>
        </w:tc>
      </w:tr>
      <w:tr>
        <w:tc>
          <w:tcPr>
            <w:tcW w:type="dxa" w:w="4876"/>
            <w:shd w:fill="FFF6DF"/>
            <w:vAlign w:val="center"/>
            <w:tcMar>
              <w:top w:w="100" w:type="dxa"/>
              <w:start w:w="130" w:type="dxa"/>
              <w:bottom w:w="100" w:type="dxa"/>
              <w:end w:w="130" w:type="dxa"/>
            </w:tcMar>
          </w:tcPr>
          <w:p>
            <w:pPr>
              <w:jc w:val="center"/>
            </w:pPr>
            <w:r>
              <w:rPr>
                <w:rFonts w:ascii="Liberation Sans" w:hAnsi="Liberation Sans" w:eastAsia="Liberation Sans"/>
                <w:b/>
                <w:color w:val="17365D"/>
                <w:sz w:val="18"/>
              </w:rPr>
              <w:t>Запрет 4</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Антиэквивалентность статических категорий не задаёт закон эволюции параметра.</w:t>
            </w:r>
          </w:p>
        </w:tc>
      </w:tr>
    </w:tbl>
    <w:p>
      <w:pPr>
        <w:spacing w:after="40"/>
      </w:pPr>
    </w:p>
    <w:p>
      <w:pPr>
        <w:pStyle w:val="Heading1"/>
        <w:spacing w:before="200" w:after="100"/>
        <w:keepNext/>
      </w:pPr>
      <w:r>
        <w:rPr>
          <w:rFonts w:ascii="Liberation Sans" w:hAnsi="Liberation Sans" w:eastAsia="Liberation Sans"/>
          <w:b/>
          <w:color w:val="17365D"/>
          <w:sz w:val="36"/>
        </w:rPr>
        <w:t>26. Безопасная представимая двойственность Йонеды</w:t>
      </w:r>
    </w:p>
    <w:p>
      <w:pPr>
        <w:pStyle w:val="Heading2"/>
        <w:spacing w:before="140" w:after="100"/>
        <w:keepNext/>
      </w:pPr>
      <w:r>
        <w:rPr>
          <w:rFonts w:ascii="Liberation Sans" w:hAnsi="Liberation Sans" w:eastAsia="Liberation Sans"/>
          <w:b/>
          <w:color w:val="2F5597"/>
          <w:sz w:val="26"/>
        </w:rPr>
        <w:t>26.1. Теорема полной точности</w:t>
      </w:r>
    </w:p>
    <w:p>
      <w:pPr>
        <w:spacing w:after="60"/>
      </w:pPr>
      <w:r>
        <w:rPr>
          <w:rFonts w:ascii="Liberation Sans" w:hAnsi="Liberation Sans" w:eastAsia="Liberation Sans"/>
          <w:b/>
          <w:color w:val="2E6B57"/>
          <w:sz w:val="19"/>
        </w:rPr>
        <w:t>Теорема 6.3. Yoneda-safe anti-equivalence [THM]</w:t>
      </w:r>
    </w:p>
    <w:p>
      <w:pPr>
        <w:spacing w:after="80" w:before="0" w:line="269" w:lineRule="auto"/>
      </w:pPr>
      <w:r>
        <w:rPr>
          <w:rFonts w:ascii="Liberation Serif" w:hAnsi="Liberation Serif" w:eastAsia="Liberation Serif"/>
          <w:i w:val="0"/>
          <w:sz w:val="20"/>
        </w:rPr>
        <w:t>Функтор Spec_Y:𝒞^op→Set^𝒞, определённый формулой Spec_Y(A)=h_A, является полным и точным. Его существенный образ Aff_NAPG^rep образует категорию представимых NAPG-геометрий, и Spec_Y задаёт антиэквивалентность</w:t>
      </w:r>
    </w:p>
    <w:p>
      <w:pPr>
        <w:spacing w:before="60" w:after="100" w:line="240" w:lineRule="auto"/>
        <w:jc w:val="center"/>
      </w:pPr>
      <w:r>
        <w:rPr>
          <w:rFonts w:ascii="Cambria Math" w:hAnsi="Cambria Math" w:eastAsia="Cambria Math"/>
          <w:sz w:val="22"/>
        </w:rPr>
        <w:t>𝒞^op  ≃  Aff_NAPG^rep.</w:t>
      </w:r>
    </w:p>
    <w:p>
      <w:pPr>
        <w:spacing w:after="80" w:before="0" w:line="269" w:lineRule="auto"/>
      </w:pPr>
      <w:r>
        <w:rPr>
          <w:rFonts w:ascii="Liberation Serif" w:hAnsi="Liberation Serif" w:eastAsia="Liberation Serif"/>
          <w:i w:val="0"/>
          <w:sz w:val="20"/>
        </w:rPr>
        <w:t>Доказательство. Для A,B∈𝒞 лемма Йонеды даёт естественную биекцию Nat(h_B,h_A)≅Hom_𝒞(A,B). Она совместима с тождествами и композициями. Следовательно, Spec_Y полон и точен; ограничение на существенный образ является эквивалентностью. □</w:t>
      </w:r>
    </w:p>
    <w:p>
      <w:pPr>
        <w:spacing w:after="80" w:before="0" w:line="269" w:lineRule="auto"/>
      </w:pPr>
      <w:r>
        <w:rPr>
          <w:rFonts w:ascii="Liberation Serif" w:hAnsi="Liberation Serif" w:eastAsia="Liberation Serif"/>
          <w:i w:val="0"/>
          <w:sz w:val="20"/>
        </w:rPr>
        <w:t>Этот результат является безусловным в рамках выбранной малой категории. Он не требует prime-spectrum, максимальных идеалов, нормы, топологии или ассоциативности. Человечество редко получает столь чистый результат, поэтому следует немедленно запретить ему приписывать результату больше, чем там написано.</w:t>
      </w:r>
    </w:p>
    <w:p>
      <w:r>
        <w:drawing>
          <wp:inline xmlns:a="http://schemas.openxmlformats.org/drawingml/2006/main" xmlns:pic="http://schemas.openxmlformats.org/drawingml/2006/picture">
            <wp:extent cx="6217920" cy="2864902"/>
            <wp:docPr id="12" name="Picture 12"/>
            <wp:cNvGraphicFramePr>
              <a:graphicFrameLocks noChangeAspect="1"/>
            </wp:cNvGraphicFramePr>
            <a:graphic>
              <a:graphicData uri="http://schemas.openxmlformats.org/drawingml/2006/picture">
                <pic:pic>
                  <pic:nvPicPr>
                    <pic:cNvPr id="0" name="yoneda_v04.png"/>
                    <pic:cNvPicPr/>
                  </pic:nvPicPr>
                  <pic:blipFill>
                    <a:blip r:embed="rId24"/>
                    <a:stretch>
                      <a:fillRect/>
                    </a:stretch>
                  </pic:blipFill>
                  <pic:spPr>
                    <a:xfrm>
                      <a:off x="0" y="0"/>
                      <a:ext cx="6217920" cy="2864902"/>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8. Безопасная представимая двойственность Йонеды для NAPG_q. Собственная схема Тома II.</w:t>
      </w:r>
    </w:p>
    <w:p>
      <w:pPr>
        <w:pStyle w:val="Heading2"/>
        <w:spacing w:before="140" w:after="100"/>
        <w:keepNext/>
      </w:pPr>
      <w:r>
        <w:rPr>
          <w:rFonts w:ascii="Liberation Sans" w:hAnsi="Liberation Sans" w:eastAsia="Liberation Sans"/>
          <w:b/>
          <w:color w:val="2F5597"/>
          <w:sz w:val="26"/>
        </w:rPr>
        <w:t>26.2. Реперный функтор конфигураций</w:t>
      </w:r>
    </w:p>
    <w:p>
      <w:pPr>
        <w:spacing w:after="60"/>
      </w:pPr>
      <w:r>
        <w:rPr>
          <w:rFonts w:ascii="Liberation Sans" w:hAnsi="Liberation Sans" w:eastAsia="Liberation Sans"/>
          <w:b/>
          <w:color w:val="2F5597"/>
          <w:sz w:val="19"/>
        </w:rPr>
        <w:t>Определение 6.4. Reper_T(A) [DEF-A]</w:t>
      </w:r>
    </w:p>
    <w:p>
      <w:pPr>
        <w:spacing w:after="80" w:before="0" w:line="269" w:lineRule="auto"/>
      </w:pPr>
      <w:r>
        <w:rPr>
          <w:rFonts w:ascii="Liberation Serif" w:hAnsi="Liberation Serif" w:eastAsia="Liberation Serif"/>
          <w:i w:val="0"/>
          <w:sz w:val="20"/>
        </w:rPr>
        <w:t>Для тестового объекта T положим</w:t>
      </w:r>
    </w:p>
    <w:p>
      <w:pPr>
        <w:spacing w:before="60" w:after="100" w:line="240" w:lineRule="auto"/>
        <w:jc w:val="center"/>
      </w:pPr>
      <w:r>
        <w:rPr>
          <w:rFonts w:ascii="Cambria Math" w:hAnsi="Cambria Math" w:eastAsia="Cambria Math"/>
          <w:sz w:val="22"/>
        </w:rPr>
        <w:t>Rep_A(T) = { (r,i,u,d) ∈ h_A(T)^4 : Adm_T(r,i,u,d)=1,  Valid_T(D)=1 }.</w:t>
      </w:r>
    </w:p>
    <w:p>
      <w:pPr>
        <w:spacing w:after="80" w:before="0" w:line="269" w:lineRule="auto"/>
      </w:pPr>
      <w:r>
        <w:rPr>
          <w:rFonts w:ascii="Liberation Serif" w:hAnsi="Liberation Serif" w:eastAsia="Liberation Serif"/>
          <w:i w:val="0"/>
          <w:sz w:val="20"/>
        </w:rPr>
        <w:t>Здесь r,i,u,d — четыре морфизма A→T, Adm_T проверяет доменную допустимость, различимость и отсутствие полюса, а Valid_T(D) проверяет пакет достаточного основания. Семейство Rep_A является подфунктором h_A^4, если допустимость и достаточное основание сохраняются всеми тестовыми морфизмами.</w:t>
      </w:r>
    </w:p>
    <w:p>
      <w:pPr>
        <w:spacing w:after="60"/>
      </w:pPr>
      <w:r>
        <w:rPr>
          <w:rFonts w:ascii="Liberation Sans" w:hAnsi="Liberation Sans" w:eastAsia="Liberation Sans"/>
          <w:b/>
          <w:color w:val="2E6B57"/>
          <w:sz w:val="19"/>
        </w:rPr>
        <w:t>Предложение 6.5. Функториальность Reper-конфигураций [THM]</w:t>
      </w:r>
    </w:p>
    <w:p>
      <w:pPr>
        <w:spacing w:after="80" w:before="0" w:line="269" w:lineRule="auto"/>
      </w:pPr>
      <w:r>
        <w:rPr>
          <w:rFonts w:ascii="Liberation Serif" w:hAnsi="Liberation Serif" w:eastAsia="Liberation Serif"/>
          <w:i w:val="0"/>
          <w:sz w:val="20"/>
        </w:rPr>
        <w:t>Пусть s:T→T′ сохраняет Adm и Valid(D). Тогда (r,i,u,d)↦(s∘r,s∘i,s∘u,s∘d) задаёт отображение Rep_A(T)→Rep_A(T′); тождества и композиции выполняются покомпонентно. Следовательно, Rep_A:𝒞→Set является функтором. □</w:t>
      </w:r>
    </w:p>
    <w:p>
      <w:pPr>
        <w:spacing w:after="60"/>
      </w:pPr>
      <w:r>
        <w:rPr>
          <w:rFonts w:ascii="Liberation Sans" w:hAnsi="Liberation Sans" w:eastAsia="Liberation Sans"/>
          <w:b/>
          <w:color w:val="2E6B57"/>
          <w:sz w:val="19"/>
        </w:rPr>
        <w:t>Следствие 6.6. Изоморфная инвариантность [THM]</w:t>
      </w:r>
    </w:p>
    <w:p>
      <w:pPr>
        <w:spacing w:after="80" w:before="0" w:line="269" w:lineRule="auto"/>
      </w:pPr>
      <w:r>
        <w:rPr>
          <w:rFonts w:ascii="Liberation Serif" w:hAnsi="Liberation Serif" w:eastAsia="Liberation Serif"/>
          <w:i w:val="0"/>
          <w:sz w:val="20"/>
        </w:rPr>
        <w:t>Изоморфизм A≅B индуцирует естественный изоморфизм Rep_B≅Rep_A. Поэтому реперная геометрия на представимом уровне не зависит от выбора изоморфного алгебраического представления.</w:t>
      </w:r>
    </w:p>
    <w:p>
      <w:pPr>
        <w:pStyle w:val="Heading1"/>
        <w:spacing w:before="200" w:after="100"/>
        <w:keepNext/>
      </w:pPr>
      <w:r>
        <w:rPr>
          <w:rFonts w:ascii="Liberation Sans" w:hAnsi="Liberation Sans" w:eastAsia="Liberation Sans"/>
          <w:b/>
          <w:color w:val="17365D"/>
          <w:sz w:val="36"/>
        </w:rPr>
        <w:t>27. Условная пара Spec_R / Gamma_R</w:t>
      </w:r>
    </w:p>
    <w:p>
      <w:pPr>
        <w:pStyle w:val="Heading2"/>
        <w:spacing w:before="140" w:after="100"/>
        <w:keepNext/>
      </w:pPr>
      <w:r>
        <w:rPr>
          <w:rFonts w:ascii="Liberation Sans" w:hAnsi="Liberation Sans" w:eastAsia="Liberation Sans"/>
          <w:b/>
          <w:color w:val="2F5597"/>
          <w:sz w:val="26"/>
        </w:rPr>
        <w:t>27.1. Сопряжение и карты восстановления</w:t>
      </w:r>
    </w:p>
    <w:p>
      <w:pPr>
        <w:spacing w:after="60"/>
      </w:pPr>
      <w:r>
        <w:rPr>
          <w:rFonts w:ascii="Liberation Sans" w:hAnsi="Liberation Sans" w:eastAsia="Liberation Sans"/>
          <w:b/>
          <w:color w:val="9C2F2F"/>
          <w:sz w:val="19"/>
        </w:rPr>
        <w:t>Гипотеза 6.7. Пространственная реализация [COND]</w:t>
      </w:r>
    </w:p>
    <w:p>
      <w:pPr>
        <w:spacing w:after="80" w:before="0" w:line="269" w:lineRule="auto"/>
      </w:pPr>
      <w:r>
        <w:rPr>
          <w:rFonts w:ascii="Liberation Serif" w:hAnsi="Liberation Serif" w:eastAsia="Liberation Serif"/>
          <w:i w:val="0"/>
          <w:sz w:val="20"/>
        </w:rPr>
        <w:t>Предполагается существование категории Geo_R и функторов Spec_R, Gamma_R, для которых имеется естественная биекция</w:t>
      </w:r>
    </w:p>
    <w:p>
      <w:pPr>
        <w:spacing w:before="60" w:after="100" w:line="240" w:lineRule="auto"/>
        <w:jc w:val="center"/>
      </w:pPr>
      <w:r>
        <w:rPr>
          <w:rFonts w:ascii="Cambria Math" w:hAnsi="Cambria Math" w:eastAsia="Cambria Math"/>
          <w:sz w:val="22"/>
        </w:rPr>
        <w:t>Hom_Geo_R(X, Spec_R A)  ≅  Hom_Alg_R(A, Gamma_R X).</w:t>
      </w:r>
    </w:p>
    <w:p>
      <w:pPr>
        <w:spacing w:after="80" w:before="0" w:line="269" w:lineRule="auto"/>
      </w:pPr>
      <w:r>
        <w:rPr>
          <w:rFonts w:ascii="Liberation Serif" w:hAnsi="Liberation Serif" w:eastAsia="Liberation Serif"/>
          <w:i w:val="0"/>
          <w:sz w:val="20"/>
        </w:rPr>
        <w:t>Эта биекция означает сопряжение Spec_R ⊣ Gamma_R между Alg_R и Geo_R^op. Ей соответствуют unit и геометрически записанный counit</w:t>
      </w:r>
    </w:p>
    <w:p>
      <w:pPr>
        <w:spacing w:before="60" w:after="100" w:line="240" w:lineRule="auto"/>
        <w:jc w:val="center"/>
      </w:pPr>
      <w:r>
        <w:rPr>
          <w:rFonts w:ascii="Cambria Math" w:hAnsi="Cambria Math" w:eastAsia="Cambria Math"/>
          <w:sz w:val="22"/>
        </w:rPr>
        <w:t>eta_A : A → Gamma_R Spec_R(A),</w:t>
      </w:r>
    </w:p>
    <w:p>
      <w:pPr>
        <w:spacing w:before="60" w:after="100" w:line="240" w:lineRule="auto"/>
        <w:jc w:val="center"/>
      </w:pPr>
      <w:r>
        <w:rPr>
          <w:rFonts w:ascii="Cambria Math" w:hAnsi="Cambria Math" w:eastAsia="Cambria Math"/>
          <w:sz w:val="22"/>
        </w:rPr>
        <w:t>epsilon_bar_X : X → Spec_R Gamma_R(X).</w:t>
      </w:r>
    </w:p>
    <w:p>
      <w:pPr>
        <w:spacing w:after="80" w:before="0" w:line="269" w:lineRule="auto"/>
      </w:pPr>
      <w:r>
        <w:rPr>
          <w:rFonts w:ascii="Liberation Serif" w:hAnsi="Liberation Serif" w:eastAsia="Liberation Serif"/>
          <w:i w:val="0"/>
          <w:sz w:val="20"/>
        </w:rPr>
        <w:t>Существование этих карт не утверждается для всей NAPG без дополнительной спецификации спектра, пучка и допустимых локализаций. В v0.4 фиксируется точная форма доказательного обязательства, а не его декоративное исчезновение.</w:t>
      </w:r>
    </w:p>
    <w:p>
      <w:r>
        <w:drawing>
          <wp:inline xmlns:a="http://schemas.openxmlformats.org/drawingml/2006/main" xmlns:pic="http://schemas.openxmlformats.org/drawingml/2006/picture">
            <wp:extent cx="6217920" cy="3170133"/>
            <wp:docPr id="13" name="Picture 13"/>
            <wp:cNvGraphicFramePr>
              <a:graphicFrameLocks noChangeAspect="1"/>
            </wp:cNvGraphicFramePr>
            <a:graphic>
              <a:graphicData uri="http://schemas.openxmlformats.org/drawingml/2006/picture">
                <pic:pic>
                  <pic:nvPicPr>
                    <pic:cNvPr id="0" name="adj_v04.png"/>
                    <pic:cNvPicPr/>
                  </pic:nvPicPr>
                  <pic:blipFill>
                    <a:blip r:embed="rId25"/>
                    <a:stretch>
                      <a:fillRect/>
                    </a:stretch>
                  </pic:blipFill>
                  <pic:spPr>
                    <a:xfrm>
                      <a:off x="0" y="0"/>
                      <a:ext cx="6217920" cy="3170133"/>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9. Условная пара Spec_R/Gamma_R и карты реконструкции. Собственная схема Тома II.</w:t>
      </w:r>
    </w:p>
    <w:p>
      <w:pPr>
        <w:pStyle w:val="Heading2"/>
        <w:spacing w:before="140" w:after="100"/>
        <w:keepNext/>
      </w:pPr>
      <w:r>
        <w:rPr>
          <w:rFonts w:ascii="Liberation Sans" w:hAnsi="Liberation Sans" w:eastAsia="Liberation Sans"/>
          <w:b/>
          <w:color w:val="2F5597"/>
          <w:sz w:val="26"/>
        </w:rPr>
        <w:t>27.2. Реконструкционные дефекты</w:t>
      </w:r>
    </w:p>
    <w:p>
      <w:pPr>
        <w:spacing w:after="60"/>
      </w:pPr>
      <w:r>
        <w:rPr>
          <w:rFonts w:ascii="Liberation Sans" w:hAnsi="Liberation Sans" w:eastAsia="Liberation Sans"/>
          <w:b/>
          <w:color w:val="2F5597"/>
          <w:sz w:val="19"/>
        </w:rPr>
        <w:t>Определение 6.8. Алгебраический дефект [DEF-A]</w:t>
      </w:r>
    </w:p>
    <w:p>
      <w:pPr>
        <w:spacing w:after="80" w:before="0" w:line="269" w:lineRule="auto"/>
      </w:pPr>
      <w:r>
        <w:rPr>
          <w:rFonts w:ascii="Liberation Serif" w:hAnsi="Liberation Serif" w:eastAsia="Liberation Serif"/>
          <w:i w:val="0"/>
          <w:sz w:val="20"/>
        </w:rPr>
        <w:t>Для конечномерного A определим</w:t>
      </w:r>
    </w:p>
    <w:p>
      <w:pPr>
        <w:spacing w:before="60" w:after="100" w:line="240" w:lineRule="auto"/>
        <w:jc w:val="center"/>
      </w:pPr>
      <w:r>
        <w:rPr>
          <w:rFonts w:ascii="Cambria Math" w:hAnsi="Cambria Math" w:eastAsia="Cambria Math"/>
          <w:sz w:val="22"/>
        </w:rPr>
        <w:t>K_rec(A)=ker(eta_A),        Q_rec(A)=coker(eta_A),</w:t>
      </w:r>
    </w:p>
    <w:p>
      <w:pPr>
        <w:spacing w:before="60" w:after="100" w:line="240" w:lineRule="auto"/>
        <w:jc w:val="center"/>
      </w:pPr>
      <w:r>
        <w:rPr>
          <w:rFonts w:ascii="Cambria Math" w:hAnsi="Cambria Math" w:eastAsia="Cambria Math"/>
          <w:sz w:val="22"/>
        </w:rPr>
        <w:t>def_alg(A)=dim K_rec(A)+dim Q_rec(A).</w:t>
      </w:r>
    </w:p>
    <w:p>
      <w:pPr>
        <w:spacing w:after="80" w:before="0" w:line="269" w:lineRule="auto"/>
      </w:pPr>
      <w:r>
        <w:rPr>
          <w:rFonts w:ascii="Liberation Serif" w:hAnsi="Liberation Serif" w:eastAsia="Liberation Serif"/>
          <w:i w:val="0"/>
          <w:sz w:val="20"/>
        </w:rPr>
        <w:t>Если категория не аддитивна, используется булев дефект def_alg(A)=0 при изоморфности eta_A и def_alg(A)=1 в противном случае.</w:t>
      </w:r>
    </w:p>
    <w:p>
      <w:pPr>
        <w:spacing w:after="60"/>
      </w:pPr>
      <w:r>
        <w:rPr>
          <w:rFonts w:ascii="Liberation Sans" w:hAnsi="Liberation Sans" w:eastAsia="Liberation Sans"/>
          <w:b/>
          <w:color w:val="2F5597"/>
          <w:sz w:val="19"/>
        </w:rPr>
        <w:t>Определение 6.9. Геометрический дефект [DEF-A]</w:t>
      </w:r>
    </w:p>
    <w:p>
      <w:pPr>
        <w:spacing w:after="80" w:before="0" w:line="269" w:lineRule="auto"/>
      </w:pPr>
      <w:r>
        <w:rPr>
          <w:rFonts w:ascii="Liberation Serif" w:hAnsi="Liberation Serif" w:eastAsia="Liberation Serif"/>
          <w:i w:val="0"/>
          <w:sz w:val="20"/>
        </w:rPr>
        <w:t>Полагаем def_geo(X)=0, если epsilon_bar_X является изоморфизмом в Geo_R, и def_geo(X)=1 иначе. В конечномерной координатной модели допускается ранговая детализация через матрицы отображения локальных координат и структурных пучков.</w:t>
      </w:r>
    </w:p>
    <w:p>
      <w:pPr>
        <w:spacing w:before="60" w:after="100" w:line="240" w:lineRule="auto"/>
        <w:jc w:val="center"/>
      </w:pPr>
      <w:r>
        <w:rPr>
          <w:rFonts w:ascii="Cambria Math" w:hAnsi="Cambria Math" w:eastAsia="Cambria Math"/>
          <w:sz w:val="22"/>
        </w:rPr>
        <w:t>def_rec(A,X)=def_alg(A)+def_geo(X).</w:t>
      </w:r>
    </w:p>
    <w:p>
      <w:pPr>
        <w:spacing w:after="80" w:before="0" w:line="269" w:lineRule="auto"/>
      </w:pPr>
      <w:r>
        <w:rPr>
          <w:rFonts w:ascii="Liberation Serif" w:hAnsi="Liberation Serif" w:eastAsia="Liberation Serif"/>
          <w:i w:val="0"/>
          <w:sz w:val="20"/>
        </w:rPr>
        <w:t>Нулевой реконструкционный дефект является обязательным условием переноса строгого предсказательного статуса. Ненулевой дефект не опровергает объект, но запрещает отождествлять его алгебраическую и геометрическую версии.</w:t>
      </w:r>
    </w:p>
    <w:p>
      <w:pPr>
        <w:pStyle w:val="Heading2"/>
        <w:spacing w:before="140" w:after="100"/>
        <w:keepNext/>
      </w:pPr>
      <w:r>
        <w:rPr>
          <w:rFonts w:ascii="Liberation Sans" w:hAnsi="Liberation Sans" w:eastAsia="Liberation Sans"/>
          <w:b/>
          <w:color w:val="2F5597"/>
          <w:sz w:val="26"/>
        </w:rPr>
        <w:t>27.3. Теорема реконструкционной антиэквивалентности</w:t>
      </w:r>
    </w:p>
    <w:p>
      <w:pPr>
        <w:spacing w:after="60"/>
      </w:pPr>
      <w:r>
        <w:rPr>
          <w:rFonts w:ascii="Liberation Sans" w:hAnsi="Liberation Sans" w:eastAsia="Liberation Sans"/>
          <w:b/>
          <w:color w:val="2E6B57"/>
          <w:sz w:val="19"/>
        </w:rPr>
        <w:t>Теорема 6.10. Restricted reconstruction theorem [THM при гипотезе 6.7]</w:t>
      </w:r>
    </w:p>
    <w:p>
      <w:pPr>
        <w:spacing w:after="80" w:before="0" w:line="269" w:lineRule="auto"/>
      </w:pPr>
      <w:r>
        <w:rPr>
          <w:rFonts w:ascii="Liberation Serif" w:hAnsi="Liberation Serif" w:eastAsia="Liberation Serif"/>
          <w:i w:val="0"/>
          <w:sz w:val="20"/>
        </w:rPr>
        <w:t>Пусть Alg_rec — полная подкатегория объектов A, для которых eta_A является изоморфизмом, а Geo_rec — полная подкатегория объектов X, для которых epsilon_bar_X является изоморфизмом. Тогда Spec_R и Gamma_R ограничиваются до антиэквивалентности</w:t>
      </w:r>
    </w:p>
    <w:p>
      <w:pPr>
        <w:spacing w:before="60" w:after="100" w:line="240" w:lineRule="auto"/>
        <w:jc w:val="center"/>
      </w:pPr>
      <w:r>
        <w:rPr>
          <w:rFonts w:ascii="Cambria Math" w:hAnsi="Cambria Math" w:eastAsia="Cambria Math"/>
          <w:sz w:val="22"/>
        </w:rPr>
        <w:t>Alg_rec^op  ≃  Geo_rec.</w:t>
      </w:r>
    </w:p>
    <w:p>
      <w:pPr>
        <w:spacing w:after="80" w:before="0" w:line="269" w:lineRule="auto"/>
      </w:pPr>
      <w:r>
        <w:rPr>
          <w:rFonts w:ascii="Liberation Serif" w:hAnsi="Liberation Serif" w:eastAsia="Liberation Serif"/>
          <w:i w:val="0"/>
          <w:sz w:val="20"/>
        </w:rPr>
        <w:t>Доказательство. На указанных подкатегориях unit и counit являются естественными изоморфизмами. Треугольные тождества сопряжения показывают, что ограниченные функторы являются квазиобратными. □</w:t>
      </w:r>
    </w:p>
    <w:p>
      <w:pPr>
        <w:spacing w:after="60"/>
      </w:pPr>
      <w:r>
        <w:rPr>
          <w:rFonts w:ascii="Liberation Sans" w:hAnsi="Liberation Sans" w:eastAsia="Liberation Sans"/>
          <w:b/>
          <w:color w:val="2E6B57"/>
          <w:sz w:val="19"/>
        </w:rPr>
        <w:t>Следствие 6.11. Сохранение изоморфных инвариантов [THM при гипотезе 6.7]</w:t>
      </w:r>
    </w:p>
    <w:p>
      <w:pPr>
        <w:spacing w:after="80" w:before="0" w:line="269" w:lineRule="auto"/>
      </w:pPr>
      <w:r>
        <w:rPr>
          <w:rFonts w:ascii="Liberation Serif" w:hAnsi="Liberation Serif" w:eastAsia="Liberation Serif"/>
          <w:i w:val="0"/>
          <w:sz w:val="20"/>
        </w:rPr>
        <w:t>Любой инвариант, функториально определённый на Alg_rec, переносится на Geo_rec и обратно. Однако нефункториальные числовые признаки, выбранные после просмотра результата, не получают такого права.</w:t>
      </w:r>
    </w:p>
    <w:p>
      <w:pPr>
        <w:pStyle w:val="Heading1"/>
        <w:spacing w:before="200" w:after="100"/>
        <w:keepNext/>
      </w:pPr>
      <w:r>
        <w:rPr>
          <w:rFonts w:ascii="Liberation Sans" w:hAnsi="Liberation Sans" w:eastAsia="Liberation Sans"/>
          <w:b/>
          <w:color w:val="17365D"/>
          <w:sz w:val="36"/>
        </w:rPr>
        <w:t>28. Контртеоремы к ложной двойственности</w:t>
      </w:r>
    </w:p>
    <w:p>
      <w:pPr>
        <w:pStyle w:val="Heading2"/>
        <w:spacing w:before="140" w:after="100"/>
        <w:keepNext/>
      </w:pPr>
      <w:r>
        <w:rPr>
          <w:rFonts w:ascii="Liberation Sans" w:hAnsi="Liberation Sans" w:eastAsia="Liberation Sans"/>
          <w:b/>
          <w:color w:val="2F5597"/>
          <w:sz w:val="26"/>
        </w:rPr>
        <w:t>28.1. Множество характеров не восстанавливает алгебру</w:t>
      </w:r>
    </w:p>
    <w:p>
      <w:pPr>
        <w:spacing w:after="60"/>
      </w:pPr>
      <w:r>
        <w:rPr>
          <w:rFonts w:ascii="Liberation Sans" w:hAnsi="Liberation Sans" w:eastAsia="Liberation Sans"/>
          <w:b/>
          <w:color w:val="2E6B57"/>
          <w:sz w:val="19"/>
        </w:rPr>
        <w:t>Теорема 6.12. Character-spectrum no-go [THM]</w:t>
      </w:r>
    </w:p>
    <w:p>
      <w:pPr>
        <w:spacing w:after="80" w:before="0" w:line="269" w:lineRule="auto"/>
      </w:pPr>
      <w:r>
        <w:rPr>
          <w:rFonts w:ascii="Liberation Serif" w:hAnsi="Liberation Serif" w:eastAsia="Liberation Serif"/>
          <w:i w:val="0"/>
          <w:sz w:val="20"/>
        </w:rPr>
        <w:t>Пусть K — поле и V_m — m-мерное K-пространство. На A_m=K⊕V_m зададим коммутативное ассоциативное умножение</w:t>
      </w:r>
    </w:p>
    <w:p>
      <w:pPr>
        <w:spacing w:before="60" w:after="100" w:line="240" w:lineRule="auto"/>
        <w:jc w:val="center"/>
      </w:pPr>
      <w:r>
        <w:rPr>
          <w:rFonts w:ascii="Cambria Math" w:hAnsi="Cambria Math" w:eastAsia="Cambria Math"/>
          <w:sz w:val="22"/>
        </w:rPr>
        <w:t>(a,u)(b,v)=(ab, av+bu),        V_m^2=0.</w:t>
      </w:r>
    </w:p>
    <w:p>
      <w:pPr>
        <w:spacing w:after="80" w:before="0" w:line="269" w:lineRule="auto"/>
      </w:pPr>
      <w:r>
        <w:rPr>
          <w:rFonts w:ascii="Liberation Serif" w:hAnsi="Liberation Serif" w:eastAsia="Liberation Serif"/>
          <w:i w:val="0"/>
          <w:sz w:val="20"/>
        </w:rPr>
        <w:t>Тогда A_m — унитальная алгебра, и всякий унитальный K-алгебраический характер chi:A_m→K совпадает с проекцией chi(a,u)=a. Следовательно, множества K-значных характеров всех A_m одноточечны, хотя A_m и A_n не изоморфны при m≠n.</w:t>
      </w:r>
    </w:p>
    <w:p>
      <w:pPr>
        <w:spacing w:after="80" w:before="0" w:line="269" w:lineRule="auto"/>
      </w:pPr>
      <w:r>
        <w:rPr>
          <w:rFonts w:ascii="Liberation Serif" w:hAnsi="Liberation Serif" w:eastAsia="Liberation Serif"/>
          <w:i w:val="0"/>
          <w:sz w:val="20"/>
        </w:rPr>
        <w:t>Доказательство. Запишем chi(a,u)=a+l(u). Из мультипликативности получаем l(u)l(v)=0 для всех u,v. Над полем это влечёт l=0. Различие размерностей запрещает изоморфизм A_m≅A_n при m≠n. □</w:t>
      </w:r>
    </w:p>
    <w:p>
      <w:pPr>
        <w:spacing w:after="80" w:before="0" w:line="269" w:lineRule="auto"/>
      </w:pPr>
      <w:r>
        <w:rPr>
          <w:rFonts w:ascii="Liberation Serif" w:hAnsi="Liberation Serif" w:eastAsia="Liberation Serif"/>
          <w:i w:val="0"/>
          <w:sz w:val="20"/>
        </w:rPr>
        <w:t>Следовательно, point-set spectrum без структурного пучка или полного функтора точек теряет нильпотентные направления. Эта контртеорема действует уже в ассоциативном случае, поэтому неассоциативность не может быть назначена виновной за все человеческие упрощения.</w:t>
      </w:r>
    </w:p>
    <w:p>
      <w:pPr>
        <w:pStyle w:val="Heading2"/>
        <w:spacing w:before="140" w:after="100"/>
        <w:keepNext/>
      </w:pPr>
      <w:r>
        <w:rPr>
          <w:rFonts w:ascii="Liberation Sans" w:hAnsi="Liberation Sans" w:eastAsia="Liberation Sans"/>
          <w:b/>
          <w:color w:val="2F5597"/>
          <w:sz w:val="26"/>
        </w:rPr>
        <w:t>28.2. Нелинейная смена карты разрушает lambda</w:t>
      </w:r>
    </w:p>
    <w:p>
      <w:pPr>
        <w:spacing w:after="60"/>
      </w:pPr>
      <w:r>
        <w:rPr>
          <w:rFonts w:ascii="Liberation Sans" w:hAnsi="Liberation Sans" w:eastAsia="Liberation Sans"/>
          <w:b/>
          <w:color w:val="2E6B57"/>
          <w:sz w:val="19"/>
        </w:rPr>
        <w:t>Контрпример 6.13. Non-projective chart failure [THM]</w:t>
      </w:r>
    </w:p>
    <w:p>
      <w:pPr>
        <w:spacing w:after="80" w:before="0" w:line="269" w:lineRule="auto"/>
      </w:pPr>
      <w:r>
        <w:rPr>
          <w:rFonts w:ascii="Liberation Serif" w:hAnsi="Liberation Serif" w:eastAsia="Liberation Serif"/>
          <w:i w:val="0"/>
          <w:sz w:val="20"/>
        </w:rPr>
        <w:t>На аффинной прямой возьмём (r,i,u,d)=(0,1,2,3). В принятом порядке</w:t>
      </w:r>
    </w:p>
    <w:p>
      <w:pPr>
        <w:spacing w:before="60" w:after="100" w:line="240" w:lineRule="auto"/>
        <w:jc w:val="center"/>
      </w:pPr>
      <w:r>
        <w:rPr>
          <w:rFonts w:ascii="Cambria Math" w:hAnsi="Cambria Math" w:eastAsia="Cambria Math"/>
          <w:sz w:val="22"/>
        </w:rPr>
        <w:t>lambda(u,i;r,d)=((u-r)(i-d))/((u-d)(i-r))=4.</w:t>
      </w:r>
    </w:p>
    <w:p>
      <w:pPr>
        <w:spacing w:after="80" w:before="0" w:line="269" w:lineRule="auto"/>
      </w:pPr>
      <w:r>
        <w:rPr>
          <w:rFonts w:ascii="Liberation Serif" w:hAnsi="Liberation Serif" w:eastAsia="Liberation Serif"/>
          <w:i w:val="0"/>
          <w:sz w:val="20"/>
        </w:rPr>
        <w:t>После нелинейной замены координаты x↦x² получаем quadruple (0,1,4,9) и</w:t>
      </w:r>
    </w:p>
    <w:p>
      <w:pPr>
        <w:spacing w:before="60" w:after="100" w:line="240" w:lineRule="auto"/>
        <w:jc w:val="center"/>
      </w:pPr>
      <w:r>
        <w:rPr>
          <w:rFonts w:ascii="Cambria Math" w:hAnsi="Cambria Math" w:eastAsia="Cambria Math"/>
          <w:sz w:val="22"/>
        </w:rPr>
        <w:t>lambda′=32/5 ≠ 4.</w:t>
      </w:r>
    </w:p>
    <w:p>
      <w:pPr>
        <w:spacing w:after="80" w:before="0" w:line="269" w:lineRule="auto"/>
      </w:pPr>
      <w:r>
        <w:rPr>
          <w:rFonts w:ascii="Liberation Serif" w:hAnsi="Liberation Serif" w:eastAsia="Liberation Serif"/>
          <w:i w:val="0"/>
          <w:sz w:val="20"/>
        </w:rPr>
        <w:t>Поэтому глобальная реперная lambda-координата существует только при переходах карт из PGL₂(K) либо при отдельном доказанном классе преобразований, сохраняющих cross-ratio.</w:t>
      </w:r>
    </w:p>
    <w:p>
      <w:pPr>
        <w:pStyle w:val="Heading2"/>
        <w:spacing w:before="140" w:after="100"/>
        <w:keepNext/>
      </w:pPr>
      <w:r>
        <w:rPr>
          <w:rFonts w:ascii="Liberation Sans" w:hAnsi="Liberation Sans" w:eastAsia="Liberation Sans"/>
          <w:b/>
          <w:color w:val="2F5597"/>
          <w:sz w:val="26"/>
        </w:rPr>
        <w:t>28.3. Статическая двойственность не создаёт динамику</w:t>
      </w:r>
    </w:p>
    <w:p>
      <w:pPr>
        <w:spacing w:after="60"/>
      </w:pPr>
      <w:r>
        <w:rPr>
          <w:rFonts w:ascii="Liberation Sans" w:hAnsi="Liberation Sans" w:eastAsia="Liberation Sans"/>
          <w:b/>
          <w:color w:val="2E6B57"/>
          <w:sz w:val="19"/>
        </w:rPr>
        <w:t>Предложение 6.14. No-dynamics principle [THM]</w:t>
      </w:r>
    </w:p>
    <w:p>
      <w:pPr>
        <w:spacing w:after="80" w:before="0" w:line="269" w:lineRule="auto"/>
      </w:pPr>
      <w:r>
        <w:rPr>
          <w:rFonts w:ascii="Liberation Serif" w:hAnsi="Liberation Serif" w:eastAsia="Liberation Serif"/>
          <w:i w:val="0"/>
          <w:sz w:val="20"/>
        </w:rPr>
        <w:t>Антиэквивалентность категорий переносит объекты, морфизмы и функториальные инварианты. Она не выделяет параметр времени, генератор потока, вероятностный закон или причинное направление. Следовательно, из Alg_rec^op≃Geo_rec нельзя вывести прогноз события без дополнительной динамической структуры.</w:t>
      </w:r>
    </w:p>
    <w:p>
      <w:pPr>
        <w:spacing w:after="80" w:before="0" w:line="269" w:lineRule="auto"/>
      </w:pPr>
      <w:r>
        <w:rPr>
          <w:rFonts w:ascii="Liberation Serif" w:hAnsi="Liberation Serif" w:eastAsia="Liberation Serif"/>
          <w:i w:val="0"/>
          <w:sz w:val="20"/>
        </w:rPr>
        <w:t>Доказательство. Одна и та же статическая категория допускает различные семейства эндофункторов и различные параметризации путей объектов. Эквивалентность не выбирает одну из них. □</w:t>
      </w:r>
    </w:p>
    <w:p>
      <w:pPr>
        <w:pStyle w:val="Heading1"/>
        <w:spacing w:before="200" w:after="100"/>
        <w:keepNext/>
      </w:pPr>
      <w:r>
        <w:rPr>
          <w:rFonts w:ascii="Liberation Sans" w:hAnsi="Liberation Sans" w:eastAsia="Liberation Sans"/>
          <w:b/>
          <w:color w:val="17365D"/>
          <w:sz w:val="36"/>
        </w:rPr>
        <w:t>29. Проективно-реперные атласы и глобальная harmonic coordinate</w:t>
      </w:r>
    </w:p>
    <w:p>
      <w:pPr>
        <w:pStyle w:val="Heading2"/>
        <w:spacing w:before="140" w:after="100"/>
        <w:keepNext/>
      </w:pPr>
      <w:r>
        <w:rPr>
          <w:rFonts w:ascii="Liberation Sans" w:hAnsi="Liberation Sans" w:eastAsia="Liberation Sans"/>
          <w:b/>
          <w:color w:val="2F5597"/>
          <w:sz w:val="26"/>
        </w:rPr>
        <w:t>29.1. Определение атласа</w:t>
      </w:r>
    </w:p>
    <w:p>
      <w:pPr>
        <w:spacing w:after="60"/>
      </w:pPr>
      <w:r>
        <w:rPr>
          <w:rFonts w:ascii="Liberation Sans" w:hAnsi="Liberation Sans" w:eastAsia="Liberation Sans"/>
          <w:b/>
          <w:color w:val="2F5597"/>
          <w:sz w:val="19"/>
        </w:rPr>
        <w:t>Определение 6.15. Projective Reper atlas [DEF-A]</w:t>
      </w:r>
    </w:p>
    <w:p>
      <w:pPr>
        <w:spacing w:after="80" w:before="0" w:line="269" w:lineRule="auto"/>
      </w:pPr>
      <w:r>
        <w:rPr>
          <w:rFonts w:ascii="Liberation Serif" w:hAnsi="Liberation Serif" w:eastAsia="Liberation Serif"/>
          <w:i w:val="0"/>
          <w:sz w:val="20"/>
        </w:rPr>
        <w:t>Пусть X∈Geo_R. Projective Reper atlas состоит из покрытия {U_alpha} и карт kappa_alpha:U_alpha→P¹(K), причём на каждом непустом пересечении U_alpha∩U_beta переход kappa_beta∘kappa_alpha^{-1} является ограничением элемента PGL₂(K). Допустимая Reper-четвёрка должна лежать в общей карте или иметь согласованное продолжение через цепочку пересечений.</w:t>
      </w:r>
    </w:p>
    <w:p>
      <w:pPr>
        <w:spacing w:after="60"/>
      </w:pPr>
      <w:r>
        <w:rPr>
          <w:rFonts w:ascii="Liberation Sans" w:hAnsi="Liberation Sans" w:eastAsia="Liberation Sans"/>
          <w:b/>
          <w:color w:val="2E6B57"/>
          <w:sz w:val="19"/>
        </w:rPr>
        <w:t>Теорема 6.16. Глобализация lambda [THM]</w:t>
      </w:r>
    </w:p>
    <w:p>
      <w:pPr>
        <w:spacing w:after="80" w:before="0" w:line="269" w:lineRule="auto"/>
      </w:pPr>
      <w:r>
        <w:rPr>
          <w:rFonts w:ascii="Liberation Serif" w:hAnsi="Liberation Serif" w:eastAsia="Liberation Serif"/>
          <w:i w:val="0"/>
          <w:sz w:val="20"/>
        </w:rPr>
        <w:t>На projective Reper atlas величина lambda(u,i;r,d) не зависит от выбора карты и тем самым задаёт глобальную функцию на пространстве допустимых реперных четвёрок.</w:t>
      </w:r>
    </w:p>
    <w:p>
      <w:pPr>
        <w:spacing w:after="80" w:before="0" w:line="269" w:lineRule="auto"/>
      </w:pPr>
      <w:r>
        <w:rPr>
          <w:rFonts w:ascii="Liberation Serif" w:hAnsi="Liberation Serif" w:eastAsia="Liberation Serif"/>
          <w:i w:val="0"/>
          <w:sz w:val="20"/>
        </w:rPr>
        <w:t>Доказательство. На пересечениях карты связаны проективным преобразованием, а cross-ratio инвариантно относительно PGL₂(K). Транзитивность переходов обеспечивает согласованность на тройных пересечениях. □</w:t>
      </w:r>
    </w:p>
    <w:p>
      <w:pPr>
        <w:spacing w:after="60"/>
      </w:pPr>
      <w:r>
        <w:rPr>
          <w:rFonts w:ascii="Liberation Sans" w:hAnsi="Liberation Sans" w:eastAsia="Liberation Sans"/>
          <w:b/>
          <w:color w:val="2E6B57"/>
          <w:sz w:val="19"/>
        </w:rPr>
        <w:t>Следствие 6.17. Глобальность harmonic locus [THM]</w:t>
      </w:r>
    </w:p>
    <w:p>
      <w:pPr>
        <w:spacing w:before="60" w:after="100" w:line="240" w:lineRule="auto"/>
        <w:jc w:val="center"/>
      </w:pPr>
      <w:r>
        <w:rPr>
          <w:rFonts w:ascii="Cambria Math" w:hAnsi="Cambria Math" w:eastAsia="Cambria Math"/>
          <w:sz w:val="22"/>
        </w:rPr>
        <w:t>Harm(X)={rho∈Rep(X): lambda(rho)=-1}</w:t>
      </w:r>
    </w:p>
    <w:p>
      <w:pPr>
        <w:spacing w:after="80" w:before="0" w:line="269" w:lineRule="auto"/>
      </w:pPr>
      <w:r>
        <w:rPr>
          <w:rFonts w:ascii="Liberation Serif" w:hAnsi="Liberation Serif" w:eastAsia="Liberation Serif"/>
          <w:i w:val="0"/>
          <w:sz w:val="20"/>
        </w:rPr>
        <w:t>является корректно определённым подмножеством конфигурационного пространства. Если char K=2, гармоническая маркировка требует отдельной нормировки и в настоящий пакет не включается.</w:t>
      </w:r>
    </w:p>
    <w:p>
      <w:pPr>
        <w:pStyle w:val="Heading2"/>
        <w:spacing w:before="140" w:after="100"/>
        <w:keepNext/>
      </w:pPr>
      <w:r>
        <w:rPr>
          <w:rFonts w:ascii="Liberation Sans" w:hAnsi="Liberation Sans" w:eastAsia="Liberation Sans"/>
          <w:b/>
          <w:color w:val="2F5597"/>
          <w:sz w:val="26"/>
        </w:rPr>
        <w:t>29.2. Естественность относительно морфизмов</w:t>
      </w:r>
    </w:p>
    <w:p>
      <w:pPr>
        <w:spacing w:after="60"/>
      </w:pPr>
      <w:r>
        <w:rPr>
          <w:rFonts w:ascii="Liberation Sans" w:hAnsi="Liberation Sans" w:eastAsia="Liberation Sans"/>
          <w:b/>
          <w:color w:val="2F5597"/>
          <w:sz w:val="19"/>
        </w:rPr>
        <w:t>Определение 6.18. Projective Reper morphism [DEF-A]</w:t>
      </w:r>
    </w:p>
    <w:p>
      <w:pPr>
        <w:spacing w:after="80" w:before="0" w:line="269" w:lineRule="auto"/>
      </w:pPr>
      <w:r>
        <w:rPr>
          <w:rFonts w:ascii="Liberation Serif" w:hAnsi="Liberation Serif" w:eastAsia="Liberation Serif"/>
          <w:i w:val="0"/>
          <w:sz w:val="20"/>
        </w:rPr>
        <w:t>Морфизм F:X→Y называется projective-Reper, если локально выражается элементами PGL₂(K), переносит Adm, Valid(D) и обструкционные метки и согласован со структурными пучками.</w:t>
      </w:r>
    </w:p>
    <w:p>
      <w:pPr>
        <w:spacing w:after="60"/>
      </w:pPr>
      <w:r>
        <w:rPr>
          <w:rFonts w:ascii="Liberation Sans" w:hAnsi="Liberation Sans" w:eastAsia="Liberation Sans"/>
          <w:b/>
          <w:color w:val="2E6B57"/>
          <w:sz w:val="19"/>
        </w:rPr>
        <w:t>Теорема 6.19. Инвариантность harmonic locus [THM]</w:t>
      </w:r>
    </w:p>
    <w:p>
      <w:pPr>
        <w:spacing w:before="60" w:after="100" w:line="240" w:lineRule="auto"/>
        <w:jc w:val="center"/>
      </w:pPr>
      <w:r>
        <w:rPr>
          <w:rFonts w:ascii="Cambria Math" w:hAnsi="Cambria Math" w:eastAsia="Cambria Math"/>
          <w:sz w:val="22"/>
        </w:rPr>
        <w:t>F(Harm(X)) ⊆ Harm(Y).</w:t>
      </w:r>
    </w:p>
    <w:p>
      <w:pPr>
        <w:spacing w:after="80" w:before="0" w:line="269" w:lineRule="auto"/>
      </w:pPr>
      <w:r>
        <w:rPr>
          <w:rFonts w:ascii="Liberation Serif" w:hAnsi="Liberation Serif" w:eastAsia="Liberation Serif"/>
          <w:i w:val="0"/>
          <w:sz w:val="20"/>
        </w:rPr>
        <w:t>Если F является изоморфизмом projective-Reper объектов, то F(Harm(X))=Harm(Y). Доказательство следует из локальной PGL₂-инвариантности и сохранения D/Dom.</w:t>
      </w:r>
    </w:p>
    <w:p>
      <w:pPr>
        <w:pStyle w:val="Heading1"/>
        <w:spacing w:before="200" w:after="100"/>
        <w:keepNext/>
      </w:pPr>
      <w:r>
        <w:rPr>
          <w:rFonts w:ascii="Liberation Sans" w:hAnsi="Liberation Sans" w:eastAsia="Liberation Sans"/>
          <w:b/>
          <w:color w:val="17365D"/>
          <w:sz w:val="36"/>
        </w:rPr>
        <w:t>30. Двойной детерминантный горизонт</w:t>
      </w:r>
    </w:p>
    <w:p>
      <w:pPr>
        <w:pStyle w:val="Heading2"/>
        <w:spacing w:before="140" w:after="100"/>
        <w:keepNext/>
      </w:pPr>
      <w:r>
        <w:rPr>
          <w:rFonts w:ascii="Liberation Sans" w:hAnsi="Liberation Sans" w:eastAsia="Liberation Sans"/>
          <w:b/>
          <w:color w:val="2F5597"/>
          <w:sz w:val="26"/>
        </w:rPr>
        <w:t>30.1. Алгебраический и геометрический каналы</w:t>
      </w:r>
    </w:p>
    <w:p>
      <w:pPr>
        <w:spacing w:after="80" w:before="0" w:line="269" w:lineRule="auto"/>
      </w:pPr>
      <w:r>
        <w:rPr>
          <w:rFonts w:ascii="Liberation Serif" w:hAnsi="Liberation Serif" w:eastAsia="Liberation Serif"/>
          <w:i w:val="0"/>
          <w:sz w:val="20"/>
        </w:rPr>
        <w:t>Пусть t↦A_t — алгебраическая семья главы 5 и X_t=Spec_R(A_t) — её геометрическая реализация на реконструируемом слое. Алгебраический горизонт Delta_alg определяется падением рангов матриц ассоциатора, ядер, центра и идеала J_Ass. Геометрический горизонт Delta_geo определяется падением рангов функториально соответствующих карт касательного, пучкового или инцидентного слоя.</w:t>
      </w:r>
    </w:p>
    <w:p>
      <w:pPr>
        <w:spacing w:after="60"/>
      </w:pPr>
      <w:r>
        <w:rPr>
          <w:rFonts w:ascii="Liberation Sans" w:hAnsi="Liberation Sans" w:eastAsia="Liberation Sans"/>
          <w:b/>
          <w:color w:val="9C2F2F"/>
          <w:sz w:val="19"/>
        </w:rPr>
        <w:t>Гипотеза 6.20. Conjugacy bridge [COND]</w:t>
      </w:r>
    </w:p>
    <w:p>
      <w:pPr>
        <w:spacing w:after="80" w:before="0" w:line="269" w:lineRule="auto"/>
      </w:pPr>
      <w:r>
        <w:rPr>
          <w:rFonts w:ascii="Liberation Serif" w:hAnsi="Liberation Serif" w:eastAsia="Liberation Serif"/>
          <w:i w:val="0"/>
          <w:sz w:val="20"/>
        </w:rPr>
        <w:t>Для каждой структурной карты M_alg(t) существует геометрическая карта M_geo(t) и обратимые матрицы U(t),V(t), такие что</w:t>
      </w:r>
    </w:p>
    <w:p>
      <w:pPr>
        <w:spacing w:before="60" w:after="100" w:line="240" w:lineRule="auto"/>
        <w:jc w:val="center"/>
      </w:pPr>
      <w:r>
        <w:rPr>
          <w:rFonts w:ascii="Cambria Math" w:hAnsi="Cambria Math" w:eastAsia="Cambria Math"/>
          <w:sz w:val="22"/>
        </w:rPr>
        <w:t>M_geo(t)=U(t) M_alg(t) V(t)^{-1}.</w:t>
      </w:r>
    </w:p>
    <w:p>
      <w:pPr>
        <w:spacing w:after="60"/>
      </w:pPr>
      <w:r>
        <w:rPr>
          <w:rFonts w:ascii="Liberation Sans" w:hAnsi="Liberation Sans" w:eastAsia="Liberation Sans"/>
          <w:b/>
          <w:color w:val="2E6B57"/>
          <w:sz w:val="19"/>
        </w:rPr>
        <w:t>Теорема 6.21. Совпадение ранговых горизонтов [THM при гипотезе 6.20]</w:t>
      </w:r>
    </w:p>
    <w:p>
      <w:pPr>
        <w:spacing w:before="60" w:after="100" w:line="240" w:lineRule="auto"/>
        <w:jc w:val="center"/>
      </w:pPr>
      <w:r>
        <w:rPr>
          <w:rFonts w:ascii="Cambria Math" w:hAnsi="Cambria Math" w:eastAsia="Cambria Math"/>
          <w:sz w:val="22"/>
        </w:rPr>
        <w:t>Delta_alg = Delta_geo.</w:t>
      </w:r>
    </w:p>
    <w:p>
      <w:pPr>
        <w:spacing w:after="80" w:before="0" w:line="269" w:lineRule="auto"/>
      </w:pPr>
      <w:r>
        <w:rPr>
          <w:rFonts w:ascii="Liberation Serif" w:hAnsi="Liberation Serif" w:eastAsia="Liberation Serif"/>
          <w:i w:val="0"/>
          <w:sz w:val="20"/>
        </w:rPr>
        <w:t>Доказательство. Умножение слева и справа на обратимые матрицы сохраняет ранг. Поэтому наборы параметров, на которых соответствующая карта теряет общий ранг, совпадают. После объединения по конечному семейству структурных карт получаем равенство горизонтов. □</w:t>
      </w:r>
    </w:p>
    <w:p>
      <w:pPr>
        <w:spacing w:after="60"/>
      </w:pPr>
      <w:r>
        <w:rPr>
          <w:rFonts w:ascii="Liberation Sans" w:hAnsi="Liberation Sans" w:eastAsia="Liberation Sans"/>
          <w:b/>
          <w:color w:val="2E6B57"/>
          <w:sz w:val="19"/>
        </w:rPr>
        <w:t>Следствие 6.22. Двойная теорема отрицательного прогноза [THM при гипотезах 6.7 и 6.20]</w:t>
      </w:r>
    </w:p>
    <w:p>
      <w:pPr>
        <w:spacing w:after="80" w:before="0" w:line="269" w:lineRule="auto"/>
      </w:pPr>
      <w:r>
        <w:rPr>
          <w:rFonts w:ascii="Liberation Serif" w:hAnsi="Liberation Serif" w:eastAsia="Liberation Serif"/>
          <w:i w:val="0"/>
          <w:sz w:val="20"/>
        </w:rPr>
        <w:t>Если путь gamma([t0,t1]) не пересекает общий горизонт и реконструкционный дефект равен нулю, то на всём интервале постоянны как алгебраический профиль Prof_Ass(A_t), так и его геометрический двойственный профиль.</w:t>
      </w:r>
    </w:p>
    <w:p>
      <w:pPr>
        <w:spacing w:after="80" w:before="0" w:line="269" w:lineRule="auto"/>
      </w:pPr>
      <w:r>
        <w:rPr>
          <w:rFonts w:ascii="Liberation Serif" w:hAnsi="Liberation Serif" w:eastAsia="Liberation Serif"/>
          <w:i w:val="0"/>
          <w:sz w:val="20"/>
        </w:rPr>
        <w:t>Это утверждение исключает структурный переход внутри конкретной модели. Оно не утверждает неизменность физической системы, если не доказано, что система реализует данную модель и путь параметров.</w:t>
      </w:r>
    </w:p>
    <w:p>
      <w:pPr>
        <w:pStyle w:val="Heading2"/>
        <w:spacing w:before="140" w:after="100"/>
        <w:keepNext/>
      </w:pPr>
      <w:r>
        <w:rPr>
          <w:rFonts w:ascii="Liberation Sans" w:hAnsi="Liberation Sans" w:eastAsia="Liberation Sans"/>
          <w:b/>
          <w:color w:val="2F5597"/>
          <w:sz w:val="26"/>
        </w:rPr>
        <w:t>30.2. Несовпадение горизонтов как blocker</w:t>
      </w:r>
    </w:p>
    <w:p>
      <w:pPr>
        <w:spacing w:after="60"/>
      </w:pPr>
      <w:r>
        <w:rPr>
          <w:rFonts w:ascii="Liberation Sans" w:hAnsi="Liberation Sans" w:eastAsia="Liberation Sans"/>
          <w:b/>
          <w:color w:val="2F5597"/>
          <w:sz w:val="19"/>
        </w:rPr>
        <w:t>Определение 6.23. Dual mismatch set [DEF-A]</w:t>
      </w:r>
    </w:p>
    <w:p>
      <w:pPr>
        <w:spacing w:before="60" w:after="100" w:line="240" w:lineRule="auto"/>
        <w:jc w:val="center"/>
      </w:pPr>
      <w:r>
        <w:rPr>
          <w:rFonts w:ascii="Cambria Math" w:hAnsi="Cambria Math" w:eastAsia="Cambria Math"/>
          <w:sz w:val="22"/>
        </w:rPr>
        <w:t>Mis_dual = Delta_alg triangle Delta_geo.</w:t>
      </w:r>
    </w:p>
    <w:p>
      <w:pPr>
        <w:spacing w:after="80" w:before="0" w:line="269" w:lineRule="auto"/>
      </w:pPr>
      <w:r>
        <w:rPr>
          <w:rFonts w:ascii="Liberation Serif" w:hAnsi="Liberation Serif" w:eastAsia="Liberation Serif"/>
          <w:i w:val="0"/>
          <w:sz w:val="20"/>
        </w:rPr>
        <w:t>Непустое симметрическое различие означает, что либо реконструкция не точна, либо выбранные структурные карты не являются функториальными соответствиями, либо вычислительный сертификат содержит дефект. В этом случае переходный кандидат не публикуется.</w:t>
      </w:r>
    </w:p>
    <w:tbl>
      <w:tblPr>
        <w:tblStyle w:val="TableGrid"/>
        <w:tblW w:type="auto" w:w="0"/>
        <w:jc w:val="center"/>
        <w:tblLayout w:type="fixed"/>
        <w:tblLook w:firstColumn="1" w:firstRow="1" w:lastColumn="0" w:lastRow="0" w:noHBand="0" w:noVBand="1" w:val="04A0"/>
      </w:tblPr>
      <w:tblGrid>
        <w:gridCol w:w="3240"/>
        <w:gridCol w:w="5472"/>
        <w:gridCol w:w="165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Ситуация</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Вывод</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вне обоих горизонтов</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Структурный профиль постоянен в обоих слоях.</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NO-CHANGE</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 в обоих горизонтах</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Разрешён кандидат перехода; требуются lambda, D/Dom и obstruction gate.</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CANDIDATE</w:t>
            </w:r>
          </w:p>
        </w:tc>
      </w:tr>
      <w:tr>
        <w:tc>
          <w:tcPr>
            <w:tcW w:type="dxa" w:w="3240"/>
            <w:vAlign w:val="center"/>
            <w:tcMar>
              <w:top w:w="85" w:type="dxa"/>
              <w:start w:w="95" w:type="dxa"/>
              <w:bottom w:w="85" w:type="dxa"/>
              <w:end w:w="95" w:type="dxa"/>
            </w:tcMar>
          </w:tcPr>
          <w:p>
            <w:pPr>
              <w:jc w:val="left"/>
            </w:pPr>
            <w:r>
              <w:rPr>
                <w:rFonts w:ascii="Liberation Serif" w:hAnsi="Liberation Serif" w:eastAsia="Liberation Serif"/>
                <w:b w:val="0"/>
                <w:sz w:val="17"/>
              </w:rPr>
              <w:t>t только в одном горизонте</w:t>
            </w:r>
          </w:p>
        </w:tc>
        <w:tc>
          <w:tcPr>
            <w:tcW w:type="dxa" w:w="5472"/>
            <w:vAlign w:val="center"/>
            <w:tcMar>
              <w:top w:w="85" w:type="dxa"/>
              <w:start w:w="95" w:type="dxa"/>
              <w:bottom w:w="85" w:type="dxa"/>
              <w:end w:w="95" w:type="dxa"/>
            </w:tcMar>
          </w:tcPr>
          <w:p>
            <w:pPr>
              <w:jc w:val="left"/>
            </w:pPr>
            <w:r>
              <w:rPr>
                <w:rFonts w:ascii="Liberation Serif" w:hAnsi="Liberation Serif" w:eastAsia="Liberation Serif"/>
                <w:b w:val="0"/>
                <w:sz w:val="17"/>
              </w:rPr>
              <w:t>Реконструкционный конфликт.</w:t>
            </w:r>
          </w:p>
        </w:tc>
        <w:tc>
          <w:tcPr>
            <w:tcW w:type="dxa" w:w="1656"/>
            <w:vAlign w:val="center"/>
            <w:tcMar>
              <w:top w:w="85" w:type="dxa"/>
              <w:start w:w="95" w:type="dxa"/>
              <w:bottom w:w="85" w:type="dxa"/>
              <w:end w:w="95" w:type="dxa"/>
            </w:tcMar>
          </w:tcPr>
          <w:p>
            <w:pPr>
              <w:jc w:val="center"/>
            </w:pPr>
            <w:r>
              <w:rPr>
                <w:rFonts w:ascii="Liberation Serif" w:hAnsi="Liberation Serif" w:eastAsia="Liberation Serif"/>
                <w:b/>
                <w:color w:val="2F5597"/>
                <w:sz w:val="17"/>
              </w:rPr>
              <w:t>ABSTAIN</w:t>
            </w:r>
          </w:p>
        </w:tc>
      </w:tr>
      <w:tr>
        <w:tc>
          <w:tcPr>
            <w:tcW w:type="dxa" w:w="32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eta или epsilon не изоморфны</w:t>
            </w:r>
          </w:p>
        </w:tc>
        <w:tc>
          <w:tcPr>
            <w:tcW w:type="dxa" w:w="5472"/>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Алгебро-геометрический перенос запрещён.</w:t>
            </w:r>
          </w:p>
        </w:tc>
        <w:tc>
          <w:tcPr>
            <w:tcW w:type="dxa" w:w="1656"/>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ABSTAIN</w:t>
            </w:r>
          </w:p>
        </w:tc>
      </w:tr>
    </w:tbl>
    <w:p>
      <w:pPr>
        <w:spacing w:after="40"/>
      </w:pPr>
    </w:p>
    <w:p>
      <w:pPr>
        <w:pStyle w:val="Heading1"/>
        <w:spacing w:before="200" w:after="100"/>
        <w:keepNext/>
      </w:pPr>
      <w:r>
        <w:rPr>
          <w:rFonts w:ascii="Liberation Sans" w:hAnsi="Liberation Sans" w:eastAsia="Liberation Sans"/>
          <w:b/>
          <w:color w:val="17365D"/>
          <w:sz w:val="36"/>
        </w:rPr>
        <w:t>31. Двойной предсказательный шлюз KLT-RBD</w:t>
      </w:r>
    </w:p>
    <w:p>
      <w:pPr>
        <w:pStyle w:val="Heading2"/>
        <w:spacing w:before="140" w:after="100"/>
        <w:keepNext/>
      </w:pPr>
      <w:r>
        <w:rPr>
          <w:rFonts w:ascii="Liberation Sans" w:hAnsi="Liberation Sans" w:eastAsia="Liberation Sans"/>
          <w:b/>
          <w:color w:val="2F5597"/>
          <w:sz w:val="26"/>
        </w:rPr>
        <w:t>31.1. Система блокеров</w:t>
      </w:r>
    </w:p>
    <w:p>
      <w:pPr>
        <w:spacing w:after="60"/>
      </w:pPr>
      <w:r>
        <w:rPr>
          <w:rFonts w:ascii="Liberation Sans" w:hAnsi="Liberation Sans" w:eastAsia="Liberation Sans"/>
          <w:b/>
          <w:color w:val="2F5597"/>
          <w:sz w:val="19"/>
        </w:rPr>
        <w:t>Определение 6.24. Block_dual [DEF-A]</w:t>
      </w:r>
    </w:p>
    <w:p>
      <w:pPr>
        <w:spacing w:before="60" w:after="100" w:line="240" w:lineRule="auto"/>
        <w:jc w:val="center"/>
      </w:pPr>
      <w:r>
        <w:rPr>
          <w:rFonts w:ascii="Cambria Math" w:hAnsi="Cambria Math" w:eastAsia="Cambria Math"/>
          <w:sz w:val="22"/>
        </w:rPr>
        <w:t>Block_dual = B_rec ∪ B_var ∪ B_chart ∪ B_D ∪ B_Dom ∪ B_ob ∪ B_ind.</w:t>
      </w:r>
    </w:p>
    <w:p>
      <w:pPr>
        <w:pStyle w:val="ListBullet"/>
        <w:spacing w:after="40" w:line="259" w:lineRule="auto"/>
      </w:pPr>
      <w:r>
        <w:rPr>
          <w:rFonts w:ascii="Liberation Serif" w:hAnsi="Liberation Serif" w:eastAsia="Liberation Serif"/>
          <w:sz w:val="19"/>
        </w:rPr>
        <w:t>B_rec: unit или counit не являются изоморфизмами;</w:t>
      </w:r>
    </w:p>
    <w:p>
      <w:pPr>
        <w:pStyle w:val="ListBullet"/>
        <w:spacing w:after="40" w:line="259" w:lineRule="auto"/>
      </w:pPr>
      <w:r>
        <w:rPr>
          <w:rFonts w:ascii="Liberation Serif" w:hAnsi="Liberation Serif" w:eastAsia="Liberation Serif"/>
          <w:sz w:val="19"/>
        </w:rPr>
        <w:t>B_var: алгебраический и геометрический горизонты не совпадают;</w:t>
      </w:r>
    </w:p>
    <w:p>
      <w:pPr>
        <w:pStyle w:val="ListBullet"/>
        <w:spacing w:after="40" w:line="259" w:lineRule="auto"/>
      </w:pPr>
      <w:r>
        <w:rPr>
          <w:rFonts w:ascii="Liberation Serif" w:hAnsi="Liberation Serif" w:eastAsia="Liberation Serif"/>
          <w:sz w:val="19"/>
        </w:rPr>
        <w:t>B_chart: переходы реперного атласа не доказаны как проективные;</w:t>
      </w:r>
    </w:p>
    <w:p>
      <w:pPr>
        <w:pStyle w:val="ListBullet"/>
        <w:spacing w:after="40" w:line="259" w:lineRule="auto"/>
      </w:pPr>
      <w:r>
        <w:rPr>
          <w:rFonts w:ascii="Liberation Serif" w:hAnsi="Liberation Serif" w:eastAsia="Liberation Serif"/>
          <w:sz w:val="19"/>
        </w:rPr>
        <w:t>B_D и B_Dom: отсутствует достаточное основание или область применения;</w:t>
      </w:r>
    </w:p>
    <w:p>
      <w:pPr>
        <w:pStyle w:val="ListBullet"/>
        <w:spacing w:after="40" w:line="259" w:lineRule="auto"/>
      </w:pPr>
      <w:r>
        <w:rPr>
          <w:rFonts w:ascii="Liberation Serif" w:hAnsi="Liberation Serif" w:eastAsia="Liberation Serif"/>
          <w:sz w:val="19"/>
        </w:rPr>
        <w:t>B_ob: внутреннее или внешнее препятствие не обнулено;</w:t>
      </w:r>
    </w:p>
    <w:p>
      <w:pPr>
        <w:pStyle w:val="ListBullet"/>
        <w:spacing w:after="40" w:line="259" w:lineRule="auto"/>
      </w:pPr>
      <w:r>
        <w:rPr>
          <w:rFonts w:ascii="Liberation Serif" w:hAnsi="Liberation Serif" w:eastAsia="Liberation Serif"/>
          <w:sz w:val="19"/>
        </w:rPr>
        <w:t>B_ind: отсутствует независимый вычислительный или эмпирический сертификат, когда он требуется.</w:t>
      </w:r>
    </w:p>
    <w:p>
      <w:pPr>
        <w:spacing w:after="60"/>
      </w:pPr>
      <w:r>
        <w:rPr>
          <w:rFonts w:ascii="Liberation Sans" w:hAnsi="Liberation Sans" w:eastAsia="Liberation Sans"/>
          <w:b/>
          <w:color w:val="2F5597"/>
          <w:sz w:val="19"/>
        </w:rPr>
        <w:t>Определение 6.25. Dual harmonic candidate [DEF-A]</w:t>
      </w:r>
    </w:p>
    <w:p>
      <w:pPr>
        <w:spacing w:before="60" w:after="100" w:line="240" w:lineRule="auto"/>
        <w:jc w:val="center"/>
      </w:pPr>
      <w:r>
        <w:rPr>
          <w:rFonts w:ascii="Cambria Math" w:hAnsi="Cambria Math" w:eastAsia="Cambria Math"/>
          <w:sz w:val="22"/>
        </w:rPr>
        <w:t>Cand_dual(t)=1  iff  t∈Delta_alg∩Delta_geo,  lambda_t=-1,  Valid(D_t)=1,  Pi_t=0,  Block_dual=empty.</w:t>
      </w:r>
    </w:p>
    <w:p>
      <w:pPr>
        <w:spacing w:after="80" w:before="0" w:line="269" w:lineRule="auto"/>
      </w:pPr>
      <w:r>
        <w:rPr>
          <w:rFonts w:ascii="Liberation Serif" w:hAnsi="Liberation Serif" w:eastAsia="Liberation Serif"/>
          <w:i w:val="0"/>
          <w:sz w:val="20"/>
        </w:rPr>
        <w:t>В численно релаксированном режиме равенство lambda=-1 заменяется интервалом delta_truth≤tau, но статус остаётся CANDIDATE. Порог tau выбирается до раскрытия результата и входит в D.</w:t>
      </w:r>
    </w:p>
    <w:p>
      <w:r>
        <w:drawing>
          <wp:inline xmlns:a="http://schemas.openxmlformats.org/drawingml/2006/main" xmlns:pic="http://schemas.openxmlformats.org/drawingml/2006/picture">
            <wp:extent cx="6217920" cy="3050506"/>
            <wp:docPr id="14" name="Picture 14"/>
            <wp:cNvGraphicFramePr>
              <a:graphicFrameLocks noChangeAspect="1"/>
            </wp:cNvGraphicFramePr>
            <a:graphic>
              <a:graphicData uri="http://schemas.openxmlformats.org/drawingml/2006/picture">
                <pic:pic>
                  <pic:nvPicPr>
                    <pic:cNvPr id="0" name="pred_v04.png"/>
                    <pic:cNvPicPr/>
                  </pic:nvPicPr>
                  <pic:blipFill>
                    <a:blip r:embed="rId26"/>
                    <a:stretch>
                      <a:fillRect/>
                    </a:stretch>
                  </pic:blipFill>
                  <pic:spPr>
                    <a:xfrm>
                      <a:off x="0" y="0"/>
                      <a:ext cx="6217920" cy="3050506"/>
                    </a:xfrm>
                    <a:prstGeom prst="rect"/>
                  </pic:spPr>
                </pic:pic>
              </a:graphicData>
            </a:graphic>
          </wp:inline>
        </w:drawing>
      </w:r>
    </w:p>
    <w:p>
      <w:pPr>
        <w:pStyle w:val="Caption"/>
        <w:spacing w:before="60" w:after="120"/>
        <w:jc w:val="center"/>
      </w:pPr>
      <w:r>
        <w:rPr>
          <w:rFonts w:ascii="Liberation Serif" w:hAnsi="Liberation Serif" w:eastAsia="Liberation Serif"/>
          <w:b/>
          <w:color w:val="5B6573"/>
          <w:sz w:val="17"/>
        </w:rPr>
        <w:t>Рисунок 10. Двойной предсказательный шлюз NAPG/KLT-RBD. Собственная схема Тома II.</w:t>
      </w:r>
    </w:p>
    <w:p>
      <w:pPr>
        <w:pStyle w:val="Heading2"/>
        <w:spacing w:before="140" w:after="100"/>
        <w:keepNext/>
      </w:pPr>
      <w:r>
        <w:rPr>
          <w:rFonts w:ascii="Liberation Sans" w:hAnsi="Liberation Sans" w:eastAsia="Liberation Sans"/>
          <w:b/>
          <w:color w:val="2F5597"/>
          <w:sz w:val="26"/>
        </w:rPr>
        <w:t>31.2. Основная условная теорема переноса кандидата</w:t>
      </w:r>
    </w:p>
    <w:p>
      <w:pPr>
        <w:spacing w:after="60"/>
      </w:pPr>
      <w:r>
        <w:rPr>
          <w:rFonts w:ascii="Liberation Sans" w:hAnsi="Liberation Sans" w:eastAsia="Liberation Sans"/>
          <w:b/>
          <w:color w:val="9C2F2F"/>
          <w:sz w:val="19"/>
        </w:rPr>
        <w:t>Теорема 6.26. Functorial predictive transport [COND]</w:t>
      </w:r>
    </w:p>
    <w:p>
      <w:pPr>
        <w:spacing w:after="80" w:before="0" w:line="269" w:lineRule="auto"/>
      </w:pPr>
      <w:r>
        <w:rPr>
          <w:rFonts w:ascii="Liberation Serif" w:hAnsi="Liberation Serif" w:eastAsia="Liberation Serif"/>
          <w:i w:val="0"/>
          <w:sz w:val="20"/>
        </w:rPr>
        <w:t>Пусть выполнены условия:</w:t>
      </w:r>
    </w:p>
    <w:p>
      <w:pPr>
        <w:pStyle w:val="ListBullet"/>
        <w:spacing w:after="40" w:line="259" w:lineRule="auto"/>
      </w:pPr>
      <w:r>
        <w:rPr>
          <w:rFonts w:ascii="Liberation Serif" w:hAnsi="Liberation Serif" w:eastAsia="Liberation Serif"/>
          <w:sz w:val="19"/>
        </w:rPr>
        <w:t>H1. t↦A_t является конечномерной алгебраической или аналитической семьёй с вычислимым Delta_alg;</w:t>
      </w:r>
    </w:p>
    <w:p>
      <w:pPr>
        <w:pStyle w:val="ListBullet"/>
        <w:spacing w:after="40" w:line="259" w:lineRule="auto"/>
      </w:pPr>
      <w:r>
        <w:rPr>
          <w:rFonts w:ascii="Liberation Serif" w:hAnsi="Liberation Serif" w:eastAsia="Liberation Serif"/>
          <w:sz w:val="19"/>
        </w:rPr>
        <w:t>H2. существует сопряжённая пара Spec_R ⊣ Gamma_R;</w:t>
      </w:r>
    </w:p>
    <w:p>
      <w:pPr>
        <w:pStyle w:val="ListBullet"/>
        <w:spacing w:after="40" w:line="259" w:lineRule="auto"/>
      </w:pPr>
      <w:r>
        <w:rPr>
          <w:rFonts w:ascii="Liberation Serif" w:hAnsi="Liberation Serif" w:eastAsia="Liberation Serif"/>
          <w:sz w:val="19"/>
        </w:rPr>
        <w:t>H3. eta_{A_t} и epsilon_bar_{X_t} изоморфны в исследуемой окрестности;</w:t>
      </w:r>
    </w:p>
    <w:p>
      <w:pPr>
        <w:pStyle w:val="ListBullet"/>
        <w:spacing w:after="40" w:line="259" w:lineRule="auto"/>
      </w:pPr>
      <w:r>
        <w:rPr>
          <w:rFonts w:ascii="Liberation Serif" w:hAnsi="Liberation Serif" w:eastAsia="Liberation Serif"/>
          <w:sz w:val="19"/>
        </w:rPr>
        <w:t>H4. структурные карты связаны Conjugacy bridge 6.20;</w:t>
      </w:r>
    </w:p>
    <w:p>
      <w:pPr>
        <w:pStyle w:val="ListBullet"/>
        <w:spacing w:after="40" w:line="259" w:lineRule="auto"/>
      </w:pPr>
      <w:r>
        <w:rPr>
          <w:rFonts w:ascii="Liberation Serif" w:hAnsi="Liberation Serif" w:eastAsia="Liberation Serif"/>
          <w:sz w:val="19"/>
        </w:rPr>
        <w:t>H5. на X_t задан projective Reper atlas;</w:t>
      </w:r>
    </w:p>
    <w:p>
      <w:pPr>
        <w:pStyle w:val="ListBullet"/>
        <w:spacing w:after="40" w:line="259" w:lineRule="auto"/>
      </w:pPr>
      <w:r>
        <w:rPr>
          <w:rFonts w:ascii="Liberation Serif" w:hAnsi="Liberation Serif" w:eastAsia="Liberation Serif"/>
          <w:sz w:val="19"/>
        </w:rPr>
        <w:t>H6. D/Dom валидны и зафиксированы до проверки;</w:t>
      </w:r>
    </w:p>
    <w:p>
      <w:pPr>
        <w:pStyle w:val="ListBullet"/>
        <w:spacing w:after="40" w:line="259" w:lineRule="auto"/>
      </w:pPr>
      <w:r>
        <w:rPr>
          <w:rFonts w:ascii="Liberation Serif" w:hAnsi="Liberation Serif" w:eastAsia="Liberation Serif"/>
          <w:sz w:val="19"/>
        </w:rPr>
        <w:t>H7. внутренние препятствия и заявленные внешние препятствия равны нулю;</w:t>
      </w:r>
    </w:p>
    <w:p>
      <w:pPr>
        <w:pStyle w:val="ListBullet"/>
        <w:spacing w:after="40" w:line="259" w:lineRule="auto"/>
      </w:pPr>
      <w:r>
        <w:rPr>
          <w:rFonts w:ascii="Liberation Serif" w:hAnsi="Liberation Serif" w:eastAsia="Liberation Serif"/>
          <w:sz w:val="19"/>
        </w:rPr>
        <w:t>H8. вычислительные сертификаты алгебраического и геометрического каналов воспроизводимы.</w:t>
      </w:r>
    </w:p>
    <w:p>
      <w:pPr>
        <w:spacing w:after="80" w:before="0" w:line="269" w:lineRule="auto"/>
      </w:pPr>
      <w:r>
        <w:rPr>
          <w:rFonts w:ascii="Liberation Serif" w:hAnsi="Liberation Serif" w:eastAsia="Liberation Serif"/>
          <w:i w:val="0"/>
          <w:sz w:val="20"/>
        </w:rPr>
        <w:t>Тогда множество Cand_dual инвариантно относительно изоморфизмов семейства A_t, projective-Reper изоморфизмов X_t и проективных замен координаты параметрической прямой. Если путь не пересекает общий горизонт, алгоритм обязан вернуть NO-STRUCTURAL-CHANGE-IN-MODEL; если Block_dual непуст, он обязан вернуть ABSTAIN.</w:t>
      </w:r>
    </w:p>
    <w:p>
      <w:pPr>
        <w:spacing w:after="80" w:before="0" w:line="269" w:lineRule="auto"/>
      </w:pPr>
      <w:r>
        <w:rPr>
          <w:rFonts w:ascii="Liberation Serif" w:hAnsi="Liberation Serif" w:eastAsia="Liberation Serif"/>
          <w:i w:val="0"/>
          <w:sz w:val="20"/>
        </w:rPr>
        <w:t>Доказательство. Изоморфная инвариантность алгебраического горизонта установлена в главе 5. Теорема 6.21 переносит его в геометрический слой. Теоремы 6.16 и 6.19 обеспечивают инвариантность lambda. H6-H8 сохраняют доказательные ворота. Следовательно, булев селектор Cand_dual не зависит от допустимого представления. Отрицательная ветвь следует из постоянства рангов вне горизонта; ветвь ABSTAIN является определением blocker-safe протокола. □</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Феноменологический смысл двойного шлюза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Наблюдаемое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Геометрический канал показывает, как структурная возможность проявляется в пространстве конфигураций.</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Основание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Алгебраический канал фиксирует, какая операция, ассоциатор и идеал действительно изменяют ранг.</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Согласование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Проективно-гармоническая lambda локализует симметричный Reper-кандидат, но только внутри общего детерминантного горизонта.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Воздержание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При несовпадении каналов система не угадывает скрытый смысл, а выдаёт ABSTAIN и реестр недостающих мостов.</w:t>
            </w:r>
          </w:p>
        </w:tc>
      </w:tr>
    </w:tbl>
    <w:p>
      <w:pPr>
        <w:spacing w:after="40"/>
      </w:pPr>
    </w:p>
    <w:p>
      <w:pPr>
        <w:pStyle w:val="Heading1"/>
        <w:spacing w:before="200" w:after="100"/>
        <w:keepNext/>
      </w:pPr>
      <w:r>
        <w:rPr>
          <w:rFonts w:ascii="Liberation Sans" w:hAnsi="Liberation Sans" w:eastAsia="Liberation Sans"/>
          <w:b/>
          <w:color w:val="17365D"/>
          <w:sz w:val="36"/>
        </w:rPr>
        <w:t>32. Геометрический смысл R-star-R</w:t>
      </w:r>
    </w:p>
    <w:p>
      <w:pPr>
        <w:pStyle w:val="Heading2"/>
        <w:spacing w:before="140" w:after="100"/>
        <w:keepNext/>
      </w:pPr>
      <w:r>
        <w:rPr>
          <w:rFonts w:ascii="Liberation Sans" w:hAnsi="Liberation Sans" w:eastAsia="Liberation Sans"/>
          <w:b/>
          <w:color w:val="2F5597"/>
          <w:sz w:val="26"/>
        </w:rPr>
        <w:t>32.1. Представимый образ ассоциатора</w:t>
      </w:r>
    </w:p>
    <w:p>
      <w:pPr>
        <w:spacing w:after="80" w:before="0" w:line="269" w:lineRule="auto"/>
      </w:pPr>
      <w:r>
        <w:rPr>
          <w:rFonts w:ascii="Liberation Serif" w:hAnsi="Liberation Serif" w:eastAsia="Liberation Serif"/>
          <w:i w:val="0"/>
          <w:sz w:val="20"/>
        </w:rPr>
        <w:t>Для T∈𝒞 каждый T-пункт x:A→T переносит ассоциатор по формуле</w:t>
      </w:r>
    </w:p>
    <w:p>
      <w:pPr>
        <w:spacing w:before="60" w:after="100" w:line="240" w:lineRule="auto"/>
        <w:jc w:val="center"/>
      </w:pPr>
      <w:r>
        <w:rPr>
          <w:rFonts w:ascii="Cambria Math" w:hAnsi="Cambria Math" w:eastAsia="Cambria Math"/>
          <w:sz w:val="22"/>
        </w:rPr>
        <w:t>x(Ass_A(a,b,c)) = Ass_T(xa,xb,xc).</w:t>
      </w:r>
    </w:p>
    <w:p>
      <w:pPr>
        <w:spacing w:after="80" w:before="0" w:line="269" w:lineRule="auto"/>
      </w:pPr>
      <w:r>
        <w:rPr>
          <w:rFonts w:ascii="Liberation Serif" w:hAnsi="Liberation Serif" w:eastAsia="Liberation Serif"/>
          <w:i w:val="0"/>
          <w:sz w:val="20"/>
        </w:rPr>
        <w:t>Поэтому R⋆R-сертификат главы 5 определяет естественное семейство функций на функторе точек. Его нулевой локус на тестовом объекте T задаётся</w:t>
      </w:r>
    </w:p>
    <w:p>
      <w:pPr>
        <w:spacing w:before="60" w:after="100" w:line="240" w:lineRule="auto"/>
        <w:jc w:val="center"/>
      </w:pPr>
      <w:r>
        <w:rPr>
          <w:rFonts w:ascii="Cambria Math" w:hAnsi="Cambria Math" w:eastAsia="Cambria Math"/>
          <w:sz w:val="22"/>
        </w:rPr>
        <w:t>Z_Ass(T)={x∈h_A(T): x(J_Ass(A))=0}.</w:t>
      </w:r>
    </w:p>
    <w:p>
      <w:pPr>
        <w:spacing w:after="60"/>
      </w:pPr>
      <w:r>
        <w:rPr>
          <w:rFonts w:ascii="Liberation Sans" w:hAnsi="Liberation Sans" w:eastAsia="Liberation Sans"/>
          <w:b/>
          <w:color w:val="2E6B57"/>
          <w:sz w:val="19"/>
        </w:rPr>
        <w:t>Предложение 6.27. Представимость ассоциативного отражения [THM]</w:t>
      </w:r>
    </w:p>
    <w:p>
      <w:pPr>
        <w:spacing w:before="60" w:after="100" w:line="240" w:lineRule="auto"/>
        <w:jc w:val="center"/>
      </w:pPr>
      <w:r>
        <w:rPr>
          <w:rFonts w:ascii="Cambria Math" w:hAnsi="Cambria Math" w:eastAsia="Cambria Math"/>
          <w:sz w:val="22"/>
        </w:rPr>
        <w:t>Z_Ass(T) ≅ Hom_𝒞(A/J_Ass(A), T)</w:t>
      </w:r>
    </w:p>
    <w:p>
      <w:pPr>
        <w:spacing w:after="80" w:before="0" w:line="269" w:lineRule="auto"/>
      </w:pPr>
      <w:r>
        <w:rPr>
          <w:rFonts w:ascii="Liberation Serif" w:hAnsi="Liberation Serif" w:eastAsia="Liberation Serif"/>
          <w:i w:val="0"/>
          <w:sz w:val="20"/>
        </w:rPr>
        <w:t>для тех тестовых объектов и морфизмов, для которых фактор A/J_Ass существует в 𝒞.</w:t>
      </w:r>
    </w:p>
    <w:p>
      <w:pPr>
        <w:spacing w:after="80" w:before="0" w:line="269" w:lineRule="auto"/>
      </w:pPr>
      <w:r>
        <w:rPr>
          <w:rFonts w:ascii="Liberation Serif" w:hAnsi="Liberation Serif" w:eastAsia="Liberation Serif"/>
          <w:i w:val="0"/>
          <w:sz w:val="20"/>
        </w:rPr>
        <w:t>Доказательство. Морфизм x:A→T обращает J_Ass в нуль тогда и только тогда, когда он единственным образом факторизуется через универсальное ассоциативное отражение A→A/J_Ass. □</w:t>
      </w:r>
    </w:p>
    <w:p>
      <w:pPr>
        <w:spacing w:after="80" w:before="0" w:line="269" w:lineRule="auto"/>
      </w:pPr>
      <w:r>
        <w:rPr>
          <w:rFonts w:ascii="Liberation Serif" w:hAnsi="Liberation Serif" w:eastAsia="Liberation Serif"/>
          <w:i w:val="0"/>
          <w:sz w:val="20"/>
        </w:rPr>
        <w:t>Следовательно, ассоциативный геометрический слой является представимым подфунктором полной NAPG-геометрии. Это даёт строгий смысл фразе «геометрия видит ассоциатор»: она видит не метафору, а факторизационный локус.</w:t>
      </w:r>
    </w:p>
    <w:p>
      <w:pPr>
        <w:pStyle w:val="Heading2"/>
        <w:spacing w:before="140" w:after="100"/>
        <w:keepNext/>
      </w:pPr>
      <w:r>
        <w:rPr>
          <w:rFonts w:ascii="Liberation Sans" w:hAnsi="Liberation Sans" w:eastAsia="Liberation Sans"/>
          <w:b/>
          <w:color w:val="2F5597"/>
          <w:sz w:val="26"/>
        </w:rPr>
        <w:t>32.2. Геометрия ядер и центра</w:t>
      </w:r>
    </w:p>
    <w:p>
      <w:pPr>
        <w:spacing w:after="80" w:before="0" w:line="269" w:lineRule="auto"/>
      </w:pPr>
      <w:r>
        <w:rPr>
          <w:rFonts w:ascii="Liberation Serif" w:hAnsi="Liberation Serif" w:eastAsia="Liberation Serif"/>
          <w:i w:val="0"/>
          <w:sz w:val="20"/>
        </w:rPr>
        <w:t>Для каждого тестового T можно определить подфункторы N_l,N_m,N_r,N,Z через условия исчезновения соответствующих естественных ассоциаторных и коммутаторных функций. При конечной представимости они задаются системами полиномиальных уравнений в структурных координатах.</w:t>
      </w:r>
    </w:p>
    <w:p>
      <w:pPr>
        <w:spacing w:after="60"/>
      </w:pPr>
      <w:r>
        <w:rPr>
          <w:rFonts w:ascii="Liberation Sans" w:hAnsi="Liberation Sans" w:eastAsia="Liberation Sans"/>
          <w:b/>
          <w:color w:val="2E6B57"/>
          <w:sz w:val="19"/>
        </w:rPr>
        <w:t>Предложение 6.28. Функториальность ядровых локусов [THM]</w:t>
      </w:r>
    </w:p>
    <w:p>
      <w:pPr>
        <w:spacing w:after="80" w:before="0" w:line="269" w:lineRule="auto"/>
      </w:pPr>
      <w:r>
        <w:rPr>
          <w:rFonts w:ascii="Liberation Serif" w:hAnsi="Liberation Serif" w:eastAsia="Liberation Serif"/>
          <w:i w:val="0"/>
          <w:sz w:val="20"/>
        </w:rPr>
        <w:t>Изоморфизмы NAPG переносят локусы N_l,N_m,N_r,N,Z друг в друга. Их размерностные профили являются инвариантами на реконструируемом геометрическом слое.</w:t>
      </w:r>
    </w:p>
    <w:p>
      <w:pPr>
        <w:spacing w:after="80" w:before="0" w:line="269" w:lineRule="auto"/>
      </w:pPr>
      <w:r>
        <w:rPr>
          <w:rFonts w:ascii="Liberation Serif" w:hAnsi="Liberation Serif" w:eastAsia="Liberation Serif"/>
          <w:i w:val="0"/>
          <w:sz w:val="20"/>
        </w:rPr>
        <w:t>Доказательство. Условия определены через естественные тождества Ass=0 и [a,b]=0, сохраняемые морфизмами. □</w:t>
      </w:r>
    </w:p>
    <w:p>
      <w:pPr>
        <w:pStyle w:val="Heading1"/>
        <w:spacing w:before="200" w:after="100"/>
        <w:keepNext/>
      </w:pPr>
      <w:r>
        <w:rPr>
          <w:rFonts w:ascii="Liberation Sans" w:hAnsi="Liberation Sans" w:eastAsia="Liberation Sans"/>
          <w:b/>
          <w:color w:val="17365D"/>
          <w:sz w:val="36"/>
        </w:rPr>
        <w:t>33. Вычислительный сертификат v0.4</w:t>
      </w:r>
    </w:p>
    <w:p>
      <w:pPr>
        <w:pStyle w:val="Heading2"/>
        <w:spacing w:before="140" w:after="100"/>
        <w:keepNext/>
      </w:pPr>
      <w:r>
        <w:rPr>
          <w:rFonts w:ascii="Liberation Sans" w:hAnsi="Liberation Sans" w:eastAsia="Liberation Sans"/>
          <w:b/>
          <w:color w:val="2F5597"/>
          <w:sz w:val="26"/>
        </w:rPr>
        <w:t>33.1. Обязательные объекты данных</w:t>
      </w:r>
    </w:p>
    <w:tbl>
      <w:tblPr>
        <w:tblStyle w:val="TableGrid"/>
        <w:tblW w:type="auto" w:w="0"/>
        <w:jc w:val="center"/>
        <w:tblLayout w:type="fixed"/>
        <w:tblLook w:firstColumn="1" w:firstRow="1" w:lastColumn="0" w:lastRow="0" w:noHBand="0" w:noVBand="1" w:val="04A0"/>
      </w:tblPr>
      <w:tblGrid>
        <w:gridCol w:w="1368"/>
        <w:gridCol w:w="2232"/>
        <w:gridCol w:w="6696"/>
      </w:tblGrid>
      <w:tr>
        <w:trPr>
          <w:tblHeader w:val="true"/>
        </w:trPr>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Объект</w:t>
            </w:r>
          </w:p>
        </w:tc>
        <w:tc>
          <w:tcPr>
            <w:tcW w:type="dxa" w:w="3251"/>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Поля сертификата</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DUAL-OBJ</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Алгебра/геометрия</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object_id, version, basis/atlas, source hash, status</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DUAL-FUN</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Spec/Gamma</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domain, codomain, object map, morphism map, identity/composition tests</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DUAL-UNIT</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eta/epsilon</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matrix or symbolic map, rank, inverse witness, defect</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DUAL-REP</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Reper atlas</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charts, PGL2 transition matrices, overlap tests, pole set</w:t>
            </w:r>
          </w:p>
        </w:tc>
      </w:tr>
      <w:tr>
        <w:tc>
          <w:tcPr>
            <w:tcW w:type="dxa" w:w="1368"/>
            <w:vAlign w:val="center"/>
            <w:tcMar>
              <w:top w:w="85" w:type="dxa"/>
              <w:start w:w="95" w:type="dxa"/>
              <w:bottom w:w="85" w:type="dxa"/>
              <w:end w:w="95" w:type="dxa"/>
            </w:tcMar>
          </w:tcPr>
          <w:p>
            <w:pPr>
              <w:jc w:val="left"/>
            </w:pPr>
            <w:r>
              <w:rPr>
                <w:rFonts w:ascii="Liberation Serif" w:hAnsi="Liberation Serif" w:eastAsia="Liberation Serif"/>
                <w:sz w:val="17"/>
              </w:rPr>
              <w:t>DUAL-HOR</w:t>
            </w:r>
          </w:p>
        </w:tc>
        <w:tc>
          <w:tcPr>
            <w:tcW w:type="dxa" w:w="2232"/>
            <w:vAlign w:val="center"/>
            <w:tcMar>
              <w:top w:w="85" w:type="dxa"/>
              <w:start w:w="95" w:type="dxa"/>
              <w:bottom w:w="85" w:type="dxa"/>
              <w:end w:w="95" w:type="dxa"/>
            </w:tcMar>
          </w:tcPr>
          <w:p>
            <w:pPr>
              <w:jc w:val="left"/>
            </w:pPr>
            <w:r>
              <w:rPr>
                <w:rFonts w:ascii="Liberation Serif" w:hAnsi="Liberation Serif" w:eastAsia="Liberation Serif"/>
                <w:sz w:val="17"/>
              </w:rPr>
              <w:t>Horizons</w:t>
            </w:r>
          </w:p>
        </w:tc>
        <w:tc>
          <w:tcPr>
            <w:tcW w:type="dxa" w:w="6696"/>
            <w:vAlign w:val="center"/>
            <w:tcMar>
              <w:top w:w="85" w:type="dxa"/>
              <w:start w:w="95" w:type="dxa"/>
              <w:bottom w:w="85" w:type="dxa"/>
              <w:end w:w="95" w:type="dxa"/>
            </w:tcMar>
          </w:tcPr>
          <w:p>
            <w:pPr>
              <w:jc w:val="left"/>
            </w:pPr>
            <w:r>
              <w:rPr>
                <w:rFonts w:ascii="Liberation Serif" w:hAnsi="Liberation Serif" w:eastAsia="Liberation Serif"/>
                <w:sz w:val="17"/>
              </w:rPr>
              <w:t>minor polynomials, generic rank, Delta_alg, Delta_geo, symmetric difference</w:t>
            </w:r>
          </w:p>
        </w:tc>
      </w:tr>
      <w:tr>
        <w:tc>
          <w:tcPr>
            <w:tcW w:type="dxa" w:w="1368"/>
            <w:vAlign w:val="center"/>
            <w:tcMar>
              <w:top w:w="85" w:type="dxa"/>
              <w:start w:w="95" w:type="dxa"/>
              <w:bottom w:w="85" w:type="dxa"/>
              <w:end w:w="95" w:type="dxa"/>
            </w:tcMar>
            <w:shd w:fill="F4F7FB"/>
          </w:tcPr>
          <w:p>
            <w:pPr>
              <w:jc w:val="left"/>
            </w:pPr>
            <w:r>
              <w:rPr>
                <w:rFonts w:ascii="Liberation Serif" w:hAnsi="Liberation Serif" w:eastAsia="Liberation Serif"/>
                <w:sz w:val="17"/>
              </w:rPr>
              <w:t>DUAL-GATE</w:t>
            </w:r>
          </w:p>
        </w:tc>
        <w:tc>
          <w:tcPr>
            <w:tcW w:type="dxa" w:w="2232"/>
            <w:vAlign w:val="center"/>
            <w:tcMar>
              <w:top w:w="85" w:type="dxa"/>
              <w:start w:w="95" w:type="dxa"/>
              <w:bottom w:w="85" w:type="dxa"/>
              <w:end w:w="95" w:type="dxa"/>
            </w:tcMar>
            <w:shd w:fill="F4F7FB"/>
          </w:tcPr>
          <w:p>
            <w:pPr>
              <w:jc w:val="left"/>
            </w:pPr>
            <w:r>
              <w:rPr>
                <w:rFonts w:ascii="Liberation Serif" w:hAnsi="Liberation Serif" w:eastAsia="Liberation Serif"/>
                <w:sz w:val="17"/>
              </w:rPr>
              <w:t>Predictive gate</w:t>
            </w:r>
          </w:p>
        </w:tc>
        <w:tc>
          <w:tcPr>
            <w:tcW w:type="dxa" w:w="6696"/>
            <w:vAlign w:val="center"/>
            <w:tcMar>
              <w:top w:w="85" w:type="dxa"/>
              <w:start w:w="95" w:type="dxa"/>
              <w:bottom w:w="85" w:type="dxa"/>
              <w:end w:w="95" w:type="dxa"/>
            </w:tcMar>
            <w:shd w:fill="F4F7FB"/>
          </w:tcPr>
          <w:p>
            <w:pPr>
              <w:jc w:val="left"/>
            </w:pPr>
            <w:r>
              <w:rPr>
                <w:rFonts w:ascii="Liberation Serif" w:hAnsi="Liberation Serif" w:eastAsia="Liberation Serif"/>
                <w:sz w:val="17"/>
              </w:rPr>
              <w:t>lambda, delta_truth, D/Dom, Pi, blockers, output</w:t>
            </w:r>
          </w:p>
        </w:tc>
      </w:tr>
    </w:tbl>
    <w:p>
      <w:pPr>
        <w:spacing w:after="40"/>
      </w:pPr>
    </w:p>
    <w:p>
      <w:pPr>
        <w:pStyle w:val="Heading2"/>
        <w:spacing w:before="140" w:after="100"/>
        <w:keepNext/>
      </w:pPr>
      <w:r>
        <w:rPr>
          <w:rFonts w:ascii="Liberation Sans" w:hAnsi="Liberation Sans" w:eastAsia="Liberation Sans"/>
          <w:b/>
          <w:color w:val="2F5597"/>
          <w:sz w:val="26"/>
        </w:rPr>
        <w:t>33.2. Автоматические тесты</w:t>
      </w:r>
    </w:p>
    <w:p>
      <w:pPr>
        <w:pStyle w:val="ListBullet"/>
        <w:spacing w:after="40" w:line="259" w:lineRule="auto"/>
      </w:pPr>
      <w:r>
        <w:rPr>
          <w:rFonts w:ascii="Liberation Serif" w:hAnsi="Liberation Serif" w:eastAsia="Liberation Serif"/>
          <w:sz w:val="19"/>
        </w:rPr>
        <w:t>TEST-YONEDA-01: проверка биекции Hom(A,B)↔Nat(h_B,h_A) на конечном тестовом подкорпусе;</w:t>
      </w:r>
    </w:p>
    <w:p>
      <w:pPr>
        <w:pStyle w:val="ListBullet"/>
        <w:spacing w:after="40" w:line="259" w:lineRule="auto"/>
      </w:pPr>
      <w:r>
        <w:rPr>
          <w:rFonts w:ascii="Liberation Serif" w:hAnsi="Liberation Serif" w:eastAsia="Liberation Serif"/>
          <w:sz w:val="19"/>
        </w:rPr>
        <w:t>TEST-FUN-02: сохранение тождеств и композиции Spec_R/Gamma_R;</w:t>
      </w:r>
    </w:p>
    <w:p>
      <w:pPr>
        <w:pStyle w:val="ListBullet"/>
        <w:spacing w:after="40" w:line="259" w:lineRule="auto"/>
      </w:pPr>
      <w:r>
        <w:rPr>
          <w:rFonts w:ascii="Liberation Serif" w:hAnsi="Liberation Serif" w:eastAsia="Liberation Serif"/>
          <w:sz w:val="19"/>
        </w:rPr>
        <w:t>TEST-ADJ-03: проверка естественной Hom-биекции и треугольных тождеств;</w:t>
      </w:r>
    </w:p>
    <w:p>
      <w:pPr>
        <w:pStyle w:val="ListBullet"/>
        <w:spacing w:after="40" w:line="259" w:lineRule="auto"/>
      </w:pPr>
      <w:r>
        <w:rPr>
          <w:rFonts w:ascii="Liberation Serif" w:hAnsi="Liberation Serif" w:eastAsia="Liberation Serif"/>
          <w:sz w:val="19"/>
        </w:rPr>
        <w:t>TEST-REC-04: точная проверка обратимости eta и epsilon;</w:t>
      </w:r>
    </w:p>
    <w:p>
      <w:pPr>
        <w:pStyle w:val="ListBullet"/>
        <w:spacing w:after="40" w:line="259" w:lineRule="auto"/>
      </w:pPr>
      <w:r>
        <w:rPr>
          <w:rFonts w:ascii="Liberation Serif" w:hAnsi="Liberation Serif" w:eastAsia="Liberation Serif"/>
          <w:sz w:val="19"/>
        </w:rPr>
        <w:t>TEST-PGL-05: проверка, что каждая переходная карта представлена обратимой матрицей 2x2 с точностью до скаляра;</w:t>
      </w:r>
    </w:p>
    <w:p>
      <w:pPr>
        <w:pStyle w:val="ListBullet"/>
        <w:spacing w:after="40" w:line="259" w:lineRule="auto"/>
      </w:pPr>
      <w:r>
        <w:rPr>
          <w:rFonts w:ascii="Liberation Serif" w:hAnsi="Liberation Serif" w:eastAsia="Liberation Serif"/>
          <w:sz w:val="19"/>
        </w:rPr>
        <w:t>TEST-CR-06: равенство cross-ratio во всех перекрывающихся картах;</w:t>
      </w:r>
    </w:p>
    <w:p>
      <w:pPr>
        <w:pStyle w:val="ListBullet"/>
        <w:spacing w:after="40" w:line="259" w:lineRule="auto"/>
      </w:pPr>
      <w:r>
        <w:rPr>
          <w:rFonts w:ascii="Liberation Serif" w:hAnsi="Liberation Serif" w:eastAsia="Liberation Serif"/>
          <w:sz w:val="19"/>
        </w:rPr>
        <w:t>TEST-NONPGL-07: обязательный отрицательный тест на нелинейной карте;</w:t>
      </w:r>
    </w:p>
    <w:p>
      <w:pPr>
        <w:pStyle w:val="ListBullet"/>
        <w:spacing w:after="40" w:line="259" w:lineRule="auto"/>
      </w:pPr>
      <w:r>
        <w:rPr>
          <w:rFonts w:ascii="Liberation Serif" w:hAnsi="Liberation Serif" w:eastAsia="Liberation Serif"/>
          <w:sz w:val="19"/>
        </w:rPr>
        <w:t>TEST-HOR-08: совпадение Delta_alg и Delta_geo;</w:t>
      </w:r>
    </w:p>
    <w:p>
      <w:pPr>
        <w:pStyle w:val="ListBullet"/>
        <w:spacing w:after="40" w:line="259" w:lineRule="auto"/>
      </w:pPr>
      <w:r>
        <w:rPr>
          <w:rFonts w:ascii="Liberation Serif" w:hAnsi="Liberation Serif" w:eastAsia="Liberation Serif"/>
          <w:sz w:val="19"/>
        </w:rPr>
        <w:t>TEST-GATE-09: ABSTAIN при любом ненулевом blocker;</w:t>
      </w:r>
    </w:p>
    <w:p>
      <w:pPr>
        <w:pStyle w:val="ListBullet"/>
        <w:spacing w:after="40" w:line="259" w:lineRule="auto"/>
      </w:pPr>
      <w:r>
        <w:rPr>
          <w:rFonts w:ascii="Liberation Serif" w:hAnsi="Liberation Serif" w:eastAsia="Liberation Serif"/>
          <w:sz w:val="19"/>
        </w:rPr>
        <w:t>TEST-HASH-10: контрольные хеши кода, данных, матриц и отчёта.</w:t>
      </w:r>
    </w:p>
    <w:p>
      <w:pPr>
        <w:pStyle w:val="Heading2"/>
        <w:spacing w:before="140" w:after="100"/>
        <w:keepNext/>
      </w:pPr>
      <w:r>
        <w:rPr>
          <w:rFonts w:ascii="Liberation Sans" w:hAnsi="Liberation Sans" w:eastAsia="Liberation Sans"/>
          <w:b/>
          <w:color w:val="2F5597"/>
          <w:sz w:val="26"/>
        </w:rPr>
        <w:t>33.3. Псевдокод blocker-safe алгоритма</w:t>
      </w:r>
    </w:p>
    <w:p>
      <w:pPr>
        <w:spacing w:before="60" w:after="100" w:line="240" w:lineRule="auto"/>
        <w:jc w:val="center"/>
      </w:pPr>
      <w:r>
        <w:rPr>
          <w:rFonts w:ascii="Cambria Math" w:hAnsi="Cambria Math" w:eastAsia="Cambria Math"/>
          <w:sz w:val="22"/>
        </w:rPr>
        <w:t>INPUT: family A_t, realization X_t, Reper rho_t, evidence D_t</w:t>
      </w:r>
    </w:p>
    <w:p>
      <w:pPr>
        <w:spacing w:before="60" w:after="100" w:line="240" w:lineRule="auto"/>
        <w:jc w:val="center"/>
      </w:pPr>
      <w:r>
        <w:rPr>
          <w:rFonts w:ascii="Cambria Math" w:hAnsi="Cambria Math" w:eastAsia="Cambria Math"/>
          <w:sz w:val="22"/>
        </w:rPr>
        <w:t>1. compute Delta_alg;  2. compute Delta_geo;  3. test eta, epsilon;</w:t>
      </w:r>
    </w:p>
    <w:p>
      <w:pPr>
        <w:spacing w:before="60" w:after="100" w:line="240" w:lineRule="auto"/>
        <w:jc w:val="center"/>
      </w:pPr>
      <w:r>
        <w:rPr>
          <w:rFonts w:ascii="Cambria Math" w:hAnsi="Cambria Math" w:eastAsia="Cambria Math"/>
          <w:sz w:val="22"/>
        </w:rPr>
        <w:t>4. verify PGL2 atlas and lambda;  5. evaluate Pi and D/Dom;</w:t>
      </w:r>
    </w:p>
    <w:p>
      <w:pPr>
        <w:spacing w:before="60" w:after="100" w:line="240" w:lineRule="auto"/>
        <w:jc w:val="center"/>
      </w:pPr>
      <w:r>
        <w:rPr>
          <w:rFonts w:ascii="Cambria Math" w:hAnsi="Cambria Math" w:eastAsia="Cambria Math"/>
          <w:sz w:val="22"/>
        </w:rPr>
        <w:t>6. if Block_dual != empty: return ABSTAIN;</w:t>
      </w:r>
    </w:p>
    <w:p>
      <w:pPr>
        <w:spacing w:before="60" w:after="100" w:line="240" w:lineRule="auto"/>
        <w:jc w:val="center"/>
      </w:pPr>
      <w:r>
        <w:rPr>
          <w:rFonts w:ascii="Cambria Math" w:hAnsi="Cambria Math" w:eastAsia="Cambria Math"/>
          <w:sz w:val="22"/>
        </w:rPr>
        <w:t>7. if path ∩ Delta_alg = empty: return NO-STRUCTURAL-CHANGE-IN-MODEL;</w:t>
      </w:r>
    </w:p>
    <w:p>
      <w:pPr>
        <w:spacing w:before="60" w:after="100" w:line="240" w:lineRule="auto"/>
        <w:jc w:val="center"/>
      </w:pPr>
      <w:r>
        <w:rPr>
          <w:rFonts w:ascii="Cambria Math" w:hAnsi="Cambria Math" w:eastAsia="Cambria Math"/>
          <w:sz w:val="22"/>
        </w:rPr>
        <w:t>8. if t ∈ Delta_alg=Delta_geo and lambda=-1: return CANDIDATE;</w:t>
      </w:r>
    </w:p>
    <w:p>
      <w:pPr>
        <w:spacing w:before="60" w:after="100" w:line="240" w:lineRule="auto"/>
        <w:jc w:val="center"/>
      </w:pPr>
      <w:r>
        <w:rPr>
          <w:rFonts w:ascii="Cambria Math" w:hAnsi="Cambria Math" w:eastAsia="Cambria Math"/>
          <w:sz w:val="22"/>
        </w:rPr>
        <w:t>9. otherwise: return UNRESOLVED-HORIZON.</w:t>
      </w:r>
    </w:p>
    <w:p>
      <w:pPr>
        <w:pStyle w:val="Heading1"/>
        <w:spacing w:before="200" w:after="100"/>
        <w:keepNext/>
      </w:pPr>
      <w:r>
        <w:rPr>
          <w:rFonts w:ascii="Liberation Sans" w:hAnsi="Liberation Sans" w:eastAsia="Liberation Sans"/>
          <w:b/>
          <w:color w:val="17365D"/>
          <w:sz w:val="36"/>
        </w:rPr>
        <w:t>34. Теоремный пакет и доказательные обязательства v0.4</w:t>
      </w:r>
    </w:p>
    <w:p>
      <w:pPr>
        <w:pStyle w:val="Heading2"/>
        <w:spacing w:before="140" w:after="100"/>
        <w:keepNext/>
      </w:pPr>
      <w:r>
        <w:rPr>
          <w:rFonts w:ascii="Liberation Sans" w:hAnsi="Liberation Sans" w:eastAsia="Liberation Sans"/>
          <w:b/>
          <w:color w:val="2F5597"/>
          <w:sz w:val="26"/>
        </w:rPr>
        <w:t>34.1. Реестр формальных результатов</w:t>
      </w:r>
    </w:p>
    <w:tbl>
      <w:tblPr>
        <w:tblStyle w:val="TableGrid"/>
        <w:tblW w:type="auto" w:w="0"/>
        <w:jc w:val="center"/>
        <w:tblLayout w:type="fixed"/>
        <w:tblLook w:firstColumn="1" w:firstRow="1" w:lastColumn="0" w:lastRow="0" w:noHBand="0" w:noVBand="1" w:val="04A0"/>
      </w:tblPr>
      <w:tblGrid>
        <w:gridCol w:w="1584"/>
        <w:gridCol w:w="3816"/>
        <w:gridCol w:w="1440"/>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ID</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Результат</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Зависимости</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T2-THM-603</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Yoneda-safe anti-equivalence</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Категория NAPG_q^fin</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T2-THM-605</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Функториальность Reper_A</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T2-THM-610</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Restricted reconstruction</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Сопряжение Spec_R ⊣ Gamma_R</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T2-THM-612</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Character-spectrum no-go</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Square-zero extensions</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T2-THM-616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Глобализация lambda</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Projective Reper atlas</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T2-THM-621</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Совпадение горизонтов</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F5597"/>
                <w:sz w:val="17"/>
              </w:rPr>
              <w:t>COND/THM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w:t>
            </w:r>
          </w:p>
        </w:tc>
      </w:tr>
      <w:tr>
        <w:tc>
          <w:tcPr>
            <w:tcW w:type="dxa" w:w="1584"/>
            <w:vAlign w:val="center"/>
            <w:tcMar>
              <w:top w:w="85" w:type="dxa"/>
              <w:start w:w="95" w:type="dxa"/>
              <w:bottom w:w="85" w:type="dxa"/>
              <w:end w:w="95" w:type="dxa"/>
            </w:tcMar>
          </w:tcPr>
          <w:p>
            <w:pPr>
              <w:jc w:val="left"/>
            </w:pPr>
            <w:r>
              <w:rPr>
                <w:rFonts w:ascii="Liberation Serif" w:hAnsi="Liberation Serif" w:eastAsia="Liberation Serif"/>
                <w:b w:val="0"/>
                <w:sz w:val="17"/>
              </w:rPr>
              <w:t>T2-THM-626</w:t>
            </w:r>
          </w:p>
        </w:tc>
        <w:tc>
          <w:tcPr>
            <w:tcW w:type="dxa" w:w="3816"/>
            <w:vAlign w:val="center"/>
            <w:tcMar>
              <w:top w:w="85" w:type="dxa"/>
              <w:start w:w="95" w:type="dxa"/>
              <w:bottom w:w="85" w:type="dxa"/>
              <w:end w:w="95" w:type="dxa"/>
            </w:tcMar>
          </w:tcPr>
          <w:p>
            <w:pPr>
              <w:jc w:val="left"/>
            </w:pPr>
            <w:r>
              <w:rPr>
                <w:rFonts w:ascii="Liberation Serif" w:hAnsi="Liberation Serif" w:eastAsia="Liberation Serif"/>
                <w:b w:val="0"/>
                <w:sz w:val="17"/>
              </w:rPr>
              <w:t>Functorial predictive transport</w:t>
            </w:r>
          </w:p>
        </w:tc>
        <w:tc>
          <w:tcPr>
            <w:tcW w:type="dxa" w:w="1440"/>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H1-H8</w:t>
            </w:r>
          </w:p>
        </w:tc>
      </w:tr>
      <w:tr>
        <w:tc>
          <w:tcPr>
            <w:tcW w:type="dxa" w:w="1584"/>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T2-THM-627</w:t>
            </w:r>
          </w:p>
        </w:tc>
        <w:tc>
          <w:tcPr>
            <w:tcW w:type="dxa" w:w="3816"/>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Локус A/J_Ass</w:t>
            </w:r>
          </w:p>
        </w:tc>
        <w:tc>
          <w:tcPr>
            <w:tcW w:type="dxa" w:w="1440"/>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THM</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Универсальность фактора</w:t>
            </w:r>
          </w:p>
        </w:tc>
      </w:tr>
    </w:tbl>
    <w:p>
      <w:pPr>
        <w:spacing w:after="40"/>
      </w:pPr>
    </w:p>
    <w:p>
      <w:pPr>
        <w:pStyle w:val="Heading2"/>
        <w:spacing w:before="140" w:after="100"/>
        <w:keepNext/>
      </w:pPr>
      <w:r>
        <w:rPr>
          <w:rFonts w:ascii="Liberation Sans" w:hAnsi="Liberation Sans" w:eastAsia="Liberation Sans"/>
          <w:b/>
          <w:color w:val="2F5597"/>
          <w:sz w:val="26"/>
        </w:rPr>
        <w:t>34.2.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Pr>
      <w:tblGrid>
        <w:gridCol w:w="1440"/>
        <w:gridCol w:w="3960"/>
        <w:gridCol w:w="1512"/>
        <w:gridCol w:w="3528"/>
      </w:tblGrid>
      <w:tr>
        <w:trPr>
          <w:tblHeader w:val="true"/>
        </w:trPr>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PO</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Содержание</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Статус</w:t>
            </w:r>
          </w:p>
        </w:tc>
        <w:tc>
          <w:tcPr>
            <w:tcW w:type="dxa" w:w="2438"/>
            <w:shd w:fill="17365D"/>
            <w:vAlign w:val="center"/>
            <w:tcMar>
              <w:top w:w="90" w:type="dxa"/>
              <w:start w:w="90" w:type="dxa"/>
              <w:bottom w:w="90" w:type="dxa"/>
              <w:end w:w="90" w:type="dxa"/>
            </w:tcMar>
          </w:tcPr>
          <w:p>
            <w:pPr>
              <w:jc w:val="center"/>
            </w:pPr>
            <w:r>
              <w:rPr>
                <w:rFonts w:ascii="Liberation Sans" w:hAnsi="Liberation Sans" w:eastAsia="Liberation Sans"/>
                <w:b/>
                <w:color w:val="FFFFFF"/>
                <w:sz w:val="17"/>
              </w:rPr>
              <w:t>Следующее действие</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Полная точность представимого NAPG-функтора</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Поддерживать типовую дисциплину при расширении категории.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T2-PO-017</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Натуральность Adm и Valid(D)</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Формализовать классы допустимых тестовых морфизмов.</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T2-PO-018</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Глобальное существование Spec_R/Gamma_R</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Выбрать конкретный спектр и структурный пучок для целевой подкategории.</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T2-PO-019</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Реконструкция unit/counit</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eta, epsilon на явных моделях A2, M2 и octonion layer.</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T2-PO-020</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Faithfulness point-set spectrum</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CLOSED-NEG</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Сохранять no-go как обязательный контртест.</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T2-PO-021</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Projective Reper atlas</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2E6B57"/>
                <w:sz w:val="17"/>
              </w:rPr>
              <w:t>CLOSED-FORMAL</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Построить нетривиальный атлас с несколькими картами.</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T2-PO-022</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Non-PGL chart counterexample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2E6B57"/>
                <w:sz w:val="17"/>
              </w:rPr>
              <w:t>CLOSED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Включить в автоматический тест TEST-NONPGL-07.</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T2-PO-023</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Conjugacy bridge algebra-geometry</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Определить геометрические структурные карты главы 7-9.</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T2-PO-024</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Dual horizon equality</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COND</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Закрыть после T2-PO-023 на явной семье.</w:t>
            </w:r>
          </w:p>
        </w:tc>
      </w:tr>
      <w:tr>
        <w:tc>
          <w:tcPr>
            <w:tcW w:type="dxa" w:w="144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T2-PO-025</w:t>
            </w:r>
          </w:p>
        </w:tc>
        <w:tc>
          <w:tcPr>
            <w:tcW w:type="dxa" w:w="3960"/>
            <w:vAlign w:val="center"/>
            <w:tcMar>
              <w:top w:w="85" w:type="dxa"/>
              <w:start w:w="95" w:type="dxa"/>
              <w:bottom w:w="85" w:type="dxa"/>
              <w:end w:w="95" w:type="dxa"/>
            </w:tcMar>
            <w:shd w:fill="F4F7FB"/>
          </w:tcPr>
          <w:p>
            <w:pPr>
              <w:jc w:val="left"/>
            </w:pPr>
            <w:r>
              <w:rPr>
                <w:rFonts w:ascii="Liberation Serif" w:hAnsi="Liberation Serif" w:eastAsia="Liberation Serif"/>
                <w:b w:val="0"/>
                <w:sz w:val="17"/>
              </w:rPr>
              <w:t>Banach/Hilbert completion</w:t>
            </w:r>
          </w:p>
        </w:tc>
        <w:tc>
          <w:tcPr>
            <w:tcW w:type="dxa" w:w="1512"/>
            <w:vAlign w:val="center"/>
            <w:tcMar>
              <w:top w:w="85" w:type="dxa"/>
              <w:start w:w="95" w:type="dxa"/>
              <w:bottom w:w="85" w:type="dxa"/>
              <w:end w:w="95" w:type="dxa"/>
            </w:tcMar>
            <w:shd w:fill="F4F7FB"/>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shd w:fill="F4F7FB"/>
          </w:tcPr>
          <w:p>
            <w:pPr>
              <w:jc w:val="left"/>
            </w:pPr>
            <w:r>
              <w:rPr>
                <w:rFonts w:ascii="Liberation Serif" w:hAnsi="Liberation Serif" w:eastAsia="Liberation Serif"/>
                <w:b w:val="0"/>
                <w:sz w:val="17"/>
              </w:rPr>
              <w:t>Перенести в аналитический слой после главы 11.</w:t>
            </w:r>
          </w:p>
        </w:tc>
      </w:tr>
      <w:tr>
        <w:tc>
          <w:tcPr>
            <w:tcW w:type="dxa" w:w="1440"/>
            <w:vAlign w:val="center"/>
            <w:tcMar>
              <w:top w:w="85" w:type="dxa"/>
              <w:start w:w="95" w:type="dxa"/>
              <w:bottom w:w="85" w:type="dxa"/>
              <w:end w:w="95" w:type="dxa"/>
            </w:tcMar>
          </w:tcPr>
          <w:p>
            <w:pPr>
              <w:jc w:val="left"/>
            </w:pPr>
            <w:r>
              <w:rPr>
                <w:rFonts w:ascii="Liberation Serif" w:hAnsi="Liberation Serif" w:eastAsia="Liberation Serif"/>
                <w:b w:val="0"/>
                <w:sz w:val="17"/>
              </w:rPr>
              <w:t>T2-PO-026</w:t>
            </w:r>
          </w:p>
        </w:tc>
        <w:tc>
          <w:tcPr>
            <w:tcW w:type="dxa" w:w="3960"/>
            <w:vAlign w:val="center"/>
            <w:tcMar>
              <w:top w:w="85" w:type="dxa"/>
              <w:start w:w="95" w:type="dxa"/>
              <w:bottom w:w="85" w:type="dxa"/>
              <w:end w:w="95" w:type="dxa"/>
            </w:tcMar>
          </w:tcPr>
          <w:p>
            <w:pPr>
              <w:jc w:val="left"/>
            </w:pPr>
            <w:r>
              <w:rPr>
                <w:rFonts w:ascii="Liberation Serif" w:hAnsi="Liberation Serif" w:eastAsia="Liberation Serif"/>
                <w:b w:val="0"/>
                <w:sz w:val="17"/>
              </w:rPr>
              <w:t>Independent predictive certificate</w:t>
            </w:r>
          </w:p>
        </w:tc>
        <w:tc>
          <w:tcPr>
            <w:tcW w:type="dxa" w:w="1512"/>
            <w:vAlign w:val="center"/>
            <w:tcMar>
              <w:top w:w="85" w:type="dxa"/>
              <w:start w:w="95" w:type="dxa"/>
              <w:bottom w:w="85" w:type="dxa"/>
              <w:end w:w="95" w:type="dxa"/>
            </w:tcMar>
          </w:tcPr>
          <w:p>
            <w:pPr>
              <w:jc w:val="center"/>
            </w:pPr>
            <w:r>
              <w:rPr>
                <w:rFonts w:ascii="Liberation Serif" w:hAnsi="Liberation Serif" w:eastAsia="Liberation Serif"/>
                <w:b/>
                <w:color w:val="9C2F2F"/>
                <w:sz w:val="17"/>
              </w:rPr>
              <w:t>OPEN</w:t>
            </w:r>
          </w:p>
        </w:tc>
        <w:tc>
          <w:tcPr>
            <w:tcW w:type="dxa" w:w="3528"/>
            <w:vAlign w:val="center"/>
            <w:tcMar>
              <w:top w:w="85" w:type="dxa"/>
              <w:start w:w="95" w:type="dxa"/>
              <w:bottom w:w="85" w:type="dxa"/>
              <w:end w:w="95" w:type="dxa"/>
            </w:tcMar>
          </w:tcPr>
          <w:p>
            <w:pPr>
              <w:jc w:val="left"/>
            </w:pPr>
            <w:r>
              <w:rPr>
                <w:rFonts w:ascii="Liberation Serif" w:hAnsi="Liberation Serif" w:eastAsia="Liberation Serif"/>
                <w:b w:val="0"/>
                <w:sz w:val="17"/>
              </w:rPr>
              <w:t>Предрегистрация вычислительного теста без физических утверждений.</w:t>
            </w:r>
          </w:p>
        </w:tc>
      </w:tr>
    </w:tbl>
    <w:p>
      <w:pPr>
        <w:spacing w:after="40"/>
      </w:pPr>
    </w:p>
    <w:p>
      <w:pPr>
        <w:pStyle w:val="Heading2"/>
        <w:spacing w:before="140" w:after="100"/>
        <w:keepNext/>
      </w:pPr>
      <w:r>
        <w:rPr>
          <w:rFonts w:ascii="Liberation Sans" w:hAnsi="Liberation Sans" w:eastAsia="Liberation Sans"/>
          <w:b/>
          <w:color w:val="2F5597"/>
          <w:sz w:val="26"/>
        </w:rPr>
        <w:t>34.3. Библиографическая синхронизация v0.4</w:t>
      </w:r>
    </w:p>
    <w:p>
      <w:pPr>
        <w:spacing w:after="40" w:before="0" w:line="269" w:lineRule="auto"/>
      </w:pPr>
      <w:r>
        <w:rPr>
          <w:rFonts w:ascii="Liberation Serif" w:hAnsi="Liberation Serif" w:eastAsia="Liberation Serif"/>
          <w:i w:val="0"/>
          <w:sz w:val="20"/>
        </w:rPr>
        <w:t>[V0.4-1] Eilenberg, S.; Mac Lane, S. General Theory of Natural Equivalences. Transactions of the AMS 58 (1945), 231-294. DOI 10.1090/S0002-9947-1945-0013131-6.</w:t>
      </w:r>
    </w:p>
    <w:p>
      <w:pPr>
        <w:spacing w:after="40" w:before="0" w:line="269" w:lineRule="auto"/>
      </w:pPr>
      <w:r>
        <w:rPr>
          <w:rFonts w:ascii="Liberation Serif" w:hAnsi="Liberation Serif" w:eastAsia="Liberation Serif"/>
          <w:i w:val="0"/>
          <w:sz w:val="20"/>
        </w:rPr>
        <w:t>[V0.4-2] Yoneda, N. On the Homology Theory of Modules. Journal of the Faculty of Science, University of Tokyo, Section I 7 (1954), 193-227.</w:t>
      </w:r>
    </w:p>
    <w:p>
      <w:pPr>
        <w:spacing w:after="40" w:before="0" w:line="269" w:lineRule="auto"/>
      </w:pPr>
      <w:r>
        <w:rPr>
          <w:rFonts w:ascii="Liberation Serif" w:hAnsi="Liberation Serif" w:eastAsia="Liberation Serif"/>
          <w:i w:val="0"/>
          <w:sz w:val="20"/>
        </w:rPr>
        <w:t>[V0.4-3] The Stacks Project, Tag 01HX, Lemma 26.6.5: the category of affine schemes is equivalent to the opposite category of rings.</w:t>
      </w:r>
    </w:p>
    <w:p>
      <w:pPr>
        <w:spacing w:after="40" w:before="0" w:line="269" w:lineRule="auto"/>
      </w:pPr>
      <w:r>
        <w:rPr>
          <w:rFonts w:ascii="Liberation Serif" w:hAnsi="Liberation Serif" w:eastAsia="Liberation Serif"/>
          <w:i w:val="0"/>
          <w:sz w:val="20"/>
        </w:rPr>
        <w:t>[V0.4-4] Gelfand, I.; Naimark, M. On the imbedding of normed rings into the ring of operators in Hilbert space. Matematicheskii Sbornik 12(54):2 (1943), 197-217.</w:t>
      </w:r>
    </w:p>
    <w:p>
      <w:pPr>
        <w:spacing w:after="40" w:before="0" w:line="269" w:lineRule="auto"/>
      </w:pPr>
      <w:r>
        <w:rPr>
          <w:rFonts w:ascii="Liberation Serif" w:hAnsi="Liberation Serif" w:eastAsia="Liberation Serif"/>
          <w:i w:val="0"/>
          <w:sz w:val="20"/>
        </w:rPr>
        <w:t>[V0.4-5] Swan, R. G. Vector Bundles and Projective Modules. Transactions of the AMS 105 (1962), 264-277. DOI 10.1090/S0002-9947-1962-0143225-6.</w:t>
      </w:r>
    </w:p>
    <w:p>
      <w:pPr>
        <w:spacing w:after="40" w:before="0" w:line="269" w:lineRule="auto"/>
      </w:pPr>
      <w:r>
        <w:rPr>
          <w:rFonts w:ascii="Liberation Serif" w:hAnsi="Liberation Serif" w:eastAsia="Liberation Serif"/>
          <w:i w:val="0"/>
          <w:sz w:val="20"/>
        </w:rPr>
        <w:t>[V0.4-6] Kurpishev, I. B. Базовый проект KLT-RBD. Том I. v197 RU; Том II, T2-RP-v0.1-v0.3. Канонические внутренние источники проекта.</w:t>
      </w:r>
    </w:p>
    <w:p>
      <w:pPr>
        <w:spacing w:after="80" w:before="0" w:line="269" w:lineRule="auto"/>
      </w:pPr>
      <w:r>
        <w:rPr>
          <w:rFonts w:ascii="Liberation Serif" w:hAnsi="Liberation Serif" w:eastAsia="Liberation Serif"/>
          <w:i w:val="0"/>
          <w:sz w:val="20"/>
        </w:rPr>
        <w:t>Граница новизны. Классические формы duality, Yoneda embedding, affine Spec, Gelfand-Naimark и Serre-Swan относятся к prior art. Авторская новизна v0.4 заявляется в четырёхуровневой NAPG-duality, Reper-конфигурационном подфункторе, реконструкционном дефекте, projective Reper atlas, dual mismatch set и blocker-safe predictive gate.</w:t>
      </w:r>
    </w:p>
    <w:p>
      <w:pPr>
        <w:pStyle w:val="Heading2"/>
        <w:spacing w:before="140" w:after="100"/>
        <w:keepNext/>
      </w:pPr>
      <w:r>
        <w:rPr>
          <w:rFonts w:ascii="Liberation Sans" w:hAnsi="Liberation Sans" w:eastAsia="Liberation Sans"/>
          <w:b/>
          <w:color w:val="2F5597"/>
          <w:sz w:val="26"/>
        </w:rPr>
        <w:t>34.4. Контрольная точка T2-RP-v0.4</w:t>
      </w:r>
    </w:p>
    <w:tbl>
      <w:tblPr>
        <w:tblStyle w:val="TableGrid"/>
        <w:tblW w:type="auto" w:w="0"/>
        <w:jc w:val="center"/>
        <w:tblLayout w:type="fixed"/>
        <w:tblLook w:firstColumn="1" w:firstRow="1" w:lastColumn="0" w:lastRow="0" w:noHBand="0" w:noVBand="1" w:val="04A0"/>
      </w:tblPr>
      <w:tblGrid>
        <w:gridCol w:w="2088"/>
        <w:gridCol w:w="8568"/>
      </w:tblGrid>
      <w:tr>
        <w:tc>
          <w:tcPr>
            <w:tcW w:type="dxa" w:w="9752"/>
            <w:gridSpan w:val="2"/>
            <w:shd w:fill="17365D"/>
          </w:tcPr>
          <w:p>
            <w:pPr>
              <w:jc w:val="center"/>
            </w:pPr>
            <w:r>
              <w:rPr>
                <w:rFonts w:ascii="Liberation Sans" w:hAnsi="Liberation Sans" w:eastAsia="Liberation Sans"/>
                <w:b/>
                <w:color w:val="FFFFFF"/>
                <w:sz w:val="21"/>
              </w:rPr>
              <w:t>Фиксация выпуска</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Нулевая основа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Том I v197 RU остаётся замороженным и не редактируется.</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Наследование</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T2-RP-v0.1, v0.2 и v0.3 сохранены в полном кумулятивном документе.</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Статус</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Ни условные теоремы, ни ПН.2, ни F-1-F-14, ни физические мосты не повышены.</w:t>
            </w:r>
          </w:p>
        </w:tc>
      </w:tr>
      <w:tr>
        <w:tc>
          <w:tcPr>
            <w:tcW w:type="dxa" w:w="4876"/>
            <w:shd w:fill="EAF0F7"/>
            <w:vAlign w:val="center"/>
            <w:tcMar>
              <w:top w:w="100" w:type="dxa"/>
              <w:start w:w="130" w:type="dxa"/>
              <w:bottom w:w="100" w:type="dxa"/>
              <w:end w:w="130" w:type="dxa"/>
            </w:tcMar>
          </w:tcPr>
          <w:p>
            <w:pPr>
              <w:jc w:val="center"/>
            </w:pPr>
            <w:r>
              <w:rPr>
                <w:rFonts w:ascii="Liberation Sans" w:hAnsi="Liberation Sans" w:eastAsia="Liberation Sans"/>
                <w:b/>
                <w:color w:val="17365D"/>
                <w:sz w:val="18"/>
              </w:rPr>
              <w:t>Следующая точка</w:t>
            </w:r>
          </w:p>
        </w:tc>
        <w:tc>
          <w:tcPr>
            <w:tcW w:type="dxa" w:w="4876"/>
            <w:shd w:fill="FFFFFF"/>
            <w:vAlign w:val="center"/>
            <w:tcMar>
              <w:top w:w="100" w:type="dxa"/>
              <w:start w:w="130" w:type="dxa"/>
              <w:bottom w:w="100" w:type="dxa"/>
              <w:end w:w="130" w:type="dxa"/>
            </w:tcMar>
          </w:tcPr>
          <w:p>
            <w:pPr>
              <w:jc w:val="left"/>
            </w:pPr>
            <w:r>
              <w:rPr>
                <w:rFonts w:ascii="Liberation Serif" w:hAnsi="Liberation Serif" w:eastAsia="Liberation Serif"/>
                <w:sz w:val="19"/>
              </w:rPr>
              <w:t>T2-RP-v0.5: глава 7 — атласы, расслоения, пакетные многообразия и cocycle-obstruction.</w:t>
            </w:r>
          </w:p>
        </w:tc>
      </w:tr>
    </w:tbl>
    <w:p>
      <w:pPr>
        <w:spacing w:after="40"/>
      </w:pPr>
    </w:p>
    <w:p>
      <w:pPr>
        <w:pStyle w:val="Small"/>
        <w:spacing w:after="0" w:before="0" w:line="269" w:lineRule="auto"/>
        <w:jc w:val="center"/>
      </w:pPr>
      <w:r>
        <w:rPr>
          <w:rFonts w:ascii="Liberation Serif" w:hAnsi="Liberation Serif" w:eastAsia="Liberation Serif"/>
          <w:i w:val="0"/>
          <w:sz w:val="20"/>
        </w:rPr>
        <w:t>checkpoint=T2-RP-v0.4; source=T2-RP-v0.3; truth_layer_promotion=0; next=T2-RP-v0.5.</w:t>
      </w:r>
    </w:p>
    <w:p>
      <w:r>
        <w:br w:type="page"/>
      </w:r>
    </w:p>
    <w:p>
      <w:pPr>
        <w:pStyle w:val="Heading1"/>
        <w:keepNext/>
        <w:jc w:val="center"/>
      </w:pPr>
      <w:r>
        <w:rPr>
          <w:rFonts w:ascii="Liberation Sans" w:hAnsi="Liberation Sans" w:eastAsia="Liberation Sans"/>
          <w:b/>
          <w:color w:val="17365D"/>
          <w:sz w:val="36"/>
        </w:rPr>
        <w:t>ЧАСТЬ V. АТЛАСЫ, РАССЛОЕНИЯ И ПРЕПЯТСТВИЯ ГЛОБАЛИЗАЦИИ v0.5</w:t>
      </w:r>
    </w:p>
    <w:p>
      <w:pPr>
        <w:pStyle w:val="Small"/>
        <w:jc w:val="center"/>
      </w:pPr>
      <w:r>
        <w:rPr>
          <w:rFonts w:ascii="Liberation Serif" w:hAnsi="Liberation Serif" w:eastAsia="Liberation Serif"/>
          <w:color w:val="5B6573"/>
          <w:sz w:val="19"/>
        </w:rPr>
        <w:t>Контрольная точка T2-RP-v0.5 · углубление главы 7 · источник: T2-RP-v0.4</w:t>
      </w:r>
    </w:p>
    <w:p>
      <w:pPr>
        <w:pStyle w:val="Heading1"/>
        <w:keepNext/>
      </w:pPr>
      <w:r>
        <w:t>35. Паспорт углубления v0.5</w:t>
      </w:r>
    </w:p>
    <w:p>
      <w:pPr>
        <w:pStyle w:val="Lead"/>
        <w:spacing w:after="100" w:line="278" w:lineRule="auto"/>
      </w:pPr>
      <w:r>
        <w:rPr>
          <w:rFonts w:ascii="Liberation Serif" w:hAnsi="Liberation Serif" w:eastAsia="Liberation Serif"/>
          <w:sz w:val="21"/>
        </w:rPr>
        <w:t>Цель редакции v0.5 - построить строгий переход от локальной NAPG-структуры к глобальному объекту. В предыдущих выпусках были определены категория, ассоциаторный слой и алгебро-геометрическая двойственность. Однако локальные определения ещё не образуют многообразие, расслоение или глобальный предсказательный объект. Для этого нужны переходные изоморфизмы, cocycle-условия, effective descent и отдельный контроль препятствий глобализации.</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7</w:t>
            </w:r>
          </w:p>
          <w:p>
            <w:pPr>
              <w:spacing w:after="0" w:line="269" w:lineRule="auto"/>
            </w:pPr>
            <w:r>
              <w:rPr>
                <w:rFonts w:ascii="Liberation Serif" w:hAnsi="Liberation Serif" w:eastAsia="Liberation Serif"/>
                <w:color w:val="27313F"/>
                <w:sz w:val="20"/>
              </w:rPr>
              <w:t>Локальная структура отвечает на вопрос «что существует в одной карте?». Глобальная структура отвечает на другой вопрос: «можно ли считать локальные проявления частями одного и того же объекта?». Склейка не является косметической операцией. Она определяет саму онтологическую идентичность объекта через совместимость перекрытий.</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7</w:t>
            </w:r>
          </w:p>
          <w:p>
            <w:pPr>
              <w:spacing w:after="0" w:line="269" w:lineRule="auto"/>
            </w:pPr>
            <w:r>
              <w:rPr>
                <w:rFonts w:ascii="Liberation Serif" w:hAnsi="Liberation Serif" w:eastAsia="Liberation Serif"/>
                <w:color w:val="27313F"/>
                <w:sz w:val="20"/>
              </w:rPr>
              <w:t>Наблюдатель обычно получает локальные данные: отдельные источники, измерительные окна, реперные карты и частичные модели. Знание становится глобальным только после проверки переходов, происхождения данных, cocycle-условия и независимости результата от выбранного атласа. Совпадение локальных чисел без такой проверки не создаёт глобального знания.</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7</w:t>
            </w:r>
          </w:p>
          <w:p>
            <w:pPr>
              <w:spacing w:after="0" w:line="269" w:lineRule="auto"/>
            </w:pPr>
            <w:r>
              <w:rPr>
                <w:rFonts w:ascii="Liberation Serif" w:hAnsi="Liberation Serif" w:eastAsia="Liberation Serif"/>
                <w:color w:val="27313F"/>
                <w:sz w:val="20"/>
              </w:rPr>
              <w:t>Один и тот же объект может выглядеть различно в разных локальных описаниях. Феноменологическая устойчивость означает не тождество записей, а наличие допустимых переходов, сохраняющих существенную структуру. Для KLT-RBD это превращается в проверяемый вопрос: существует ли путь согласования локальных Reper-описаний без потери D/Dom и без возникновения обструкции.</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7</w:t>
            </w:r>
          </w:p>
          <w:p>
            <w:pPr>
              <w:spacing w:after="0" w:line="269" w:lineRule="auto"/>
            </w:pPr>
            <w:r>
              <w:rPr>
                <w:rFonts w:ascii="Liberation Serif" w:hAnsi="Liberation Serif" w:eastAsia="Liberation Serif"/>
                <w:color w:val="27313F"/>
                <w:sz w:val="20"/>
              </w:rPr>
              <w:t>Том II не утверждает, что любой набор локальных реперов глобализуется, что всякий локальный гармонический кандидат соответствует событию или что топологическое препятствие имеет физическое значение. Всякий такой вывод допускается только после отдельной теоремы спуска, существования глобального сечения и независимой предметной интерпретации.</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0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Слой</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Локальные данные</w:t>
            </w:r>
          </w:p>
        </w:tc>
        <w:tc>
          <w:tcPr>
            <w:tcW w:type="dxa" w:w="362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Глобальное требование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 v0.5</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Атлас</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карты U_i и локальные модели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в groupoid изоморфизмов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DEF-A/THM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Расслоение</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U_i × F</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cocycle и effective descent</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Операция</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⊙_i</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переходы являются изоморфизмами алгебр</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Reper</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(R,I,U;D)</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PGL2-совместимость и перенос Evidence-D</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THM/COND</w:t>
            </w:r>
          </w:p>
        </w:tc>
      </w:tr>
      <w:tr>
        <w:tc>
          <w:tcPr>
            <w:tcW w:type="dxa" w:w="130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Hodge</w:t>
            </w:r>
          </w:p>
        </w:tc>
        <w:tc>
          <w:tcPr>
            <w:tcW w:type="dxa" w:w="238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локальные метрики и ориентации</w:t>
            </w:r>
          </w:p>
        </w:tc>
        <w:tc>
          <w:tcPr>
            <w:tcW w:type="dxa" w:w="362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SO-совместимость переходов</w:t>
            </w:r>
          </w:p>
        </w:tc>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THM</w:t>
            </w:r>
          </w:p>
        </w:tc>
      </w:tr>
      <w:tr>
        <w:tc>
          <w:tcPr>
            <w:tcW w:type="dxa" w:w="130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Прогноз</w:t>
            </w:r>
          </w:p>
        </w:tc>
        <w:tc>
          <w:tcPr>
            <w:tcW w:type="dxa" w:w="238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кандидаты</w:t>
            </w:r>
          </w:p>
        </w:tc>
        <w:tc>
          <w:tcPr>
            <w:tcW w:type="dxa" w:w="362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глобальное допустимое сечение и пустой Block</w:t>
            </w:r>
          </w:p>
        </w:tc>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COND</w:t>
            </w:r>
          </w:p>
        </w:tc>
      </w:tr>
    </w:tbl>
    <w:p>
      <w:pPr>
        <w:spacing w:after="40"/>
      </w:pPr>
    </w:p>
    <w:p>
      <w:pPr>
        <w:pStyle w:val="Heading1"/>
        <w:keepNext/>
      </w:pPr>
      <w:r>
        <w:t>36. NAPG-атласы и группоид переходов</w:t>
      </w:r>
    </w:p>
    <w:p>
      <w:pPr>
        <w:pStyle w:val="Heading2"/>
        <w:keepNext/>
      </w:pPr>
      <w:r>
        <w:t>36.1. Локальная модель и структурный группоид</w:t>
      </w:r>
    </w:p>
    <w:p>
      <w:pPr>
        <w:spacing w:after="100" w:line="278" w:lineRule="auto"/>
        <w:ind w:firstLine="0"/>
      </w:pPr>
      <w:r>
        <w:rPr>
          <w:rFonts w:ascii="Liberation Serif" w:hAnsi="Liberation Serif" w:eastAsia="Liberation Serif"/>
          <w:b/>
          <w:color w:val="17365D"/>
          <w:sz w:val="21"/>
        </w:rPr>
        <w:t>Определение 7.1. Локальная NAPG-модель.</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Локальной моделью называется объект F категории NAPG_q, снабжённый выбранной топологией или гладкой структурой на носителях, так что группа Aut_NAPG(F) допустимых непрерывных или гладких автоморфизмов определена как топологическая группа. Если топология на Aut_NAPG(F) не задана, далее допускается только категориальная, но не топологическая формулировка.</w:t>
      </w:r>
    </w:p>
    <w:p>
      <w:pPr>
        <w:spacing w:after="100" w:line="278" w:lineRule="auto"/>
        <w:ind w:firstLine="0"/>
      </w:pPr>
      <w:r>
        <w:rPr>
          <w:rFonts w:ascii="Liberation Serif" w:hAnsi="Liberation Serif" w:eastAsia="Liberation Serif"/>
          <w:b/>
          <w:color w:val="17365D"/>
          <w:sz w:val="21"/>
        </w:rPr>
        <w:t>Определение 7.2. NAPG-атлас.</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 пространстве X NAPG-атлас типа F есть открытое покрытие U={U_i} и локальные объекты E_i=U_i×F вместе с изоморфизмами φ_ij:E_i|_{U_ij}→E_j|_{U_ij}, где U_ij=U_i∩U_j. Изоморфизмы обязаны сохранять градуировку, операцию ⊙, структурные данные G, допустимые области, R-star-R-слой и маркированные доказательные поля, которые заявлены глобальными.</w:t>
      </w:r>
    </w:p>
    <w:p>
      <w:pPr>
        <w:spacing w:before="60" w:after="140"/>
        <w:ind w:firstLine="0"/>
        <w:jc w:val="center"/>
      </w:pPr>
      <w:r>
        <w:rPr>
          <w:rFonts w:ascii="Cambria Math" w:hAnsi="Cambria Math" w:eastAsia="Cambria Math"/>
          <w:sz w:val="22"/>
        </w:rPr>
        <w:t>φ_ii = id,    φ_ji = φ_ij^{-1},    φ_jk ∘ φ_ij = φ_ik  on  U_ijk.</w:t>
      </w:r>
    </w:p>
    <w:p>
      <w:pPr>
        <w:spacing w:after="100" w:line="278" w:lineRule="auto"/>
        <w:ind w:firstLine="0"/>
      </w:pPr>
      <w:r>
        <w:rPr>
          <w:rFonts w:ascii="Liberation Serif" w:hAnsi="Liberation Serif" w:eastAsia="Liberation Serif"/>
          <w:b/>
          <w:color w:val="17365D"/>
          <w:sz w:val="21"/>
        </w:rPr>
        <w:t>Определение 7.3. Структурный группоид.</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Объекты группоида - локальные NAPG-модели над картами; стрелки - допустимые изоморфизмы на перекрытиях; композиция - обычная композиция отображений. Эта композиция ассоциативна независимо от неассоциативности операции внутри волокна.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7E6E6"/>
            <w:tcMar>
              <w:top w:w="150" w:type="dxa"/>
              <w:start w:w="180" w:type="dxa"/>
              <w:bottom w:w="150" w:type="dxa"/>
              <w:end w:w="180" w:type="dxa"/>
            </w:tcMar>
            <w:vAlign w:val="center"/>
          </w:tcPr>
          <w:p>
            <w:pPr>
              <w:spacing w:after="60"/>
            </w:pPr>
            <w:r>
              <w:rPr>
                <w:rFonts w:ascii="Liberation Sans" w:hAnsi="Liberation Sans" w:eastAsia="Liberation Sans"/>
                <w:b/>
                <w:color w:val="404040"/>
                <w:sz w:val="21"/>
              </w:rPr>
              <w:t>Ключевое различение</w:t>
            </w:r>
          </w:p>
          <w:p>
            <w:pPr>
              <w:spacing w:after="0" w:line="269" w:lineRule="auto"/>
            </w:pPr>
            <w:r>
              <w:rPr>
                <w:rFonts w:ascii="Liberation Serif" w:hAnsi="Liberation Serif" w:eastAsia="Liberation Serif"/>
                <w:color w:val="27313F"/>
                <w:sz w:val="20"/>
              </w:rPr>
              <w:t>Неассоциативность волокна и ассоциативность переходов принадлежат разным уровням. Внутри F может выполняться (a⊙b)⊙c ≠ a⊙(b⊙c). Но переходы φ_ij являются отображениями, и их композиция обязана быть ассоциативной. Иначе отношение склейки перестаёт быть однозначным.</w:t>
            </w:r>
          </w:p>
        </w:tc>
      </w:tr>
    </w:tbl>
    <w:p>
      <w:pPr>
        <w:spacing w:after="40"/>
      </w:pPr>
    </w:p>
    <w:p>
      <w:pPr>
        <w:spacing w:after="100" w:line="278" w:lineRule="auto"/>
        <w:ind w:firstLine="0"/>
      </w:pPr>
      <w:r>
        <w:rPr>
          <w:rFonts w:ascii="Liberation Serif" w:hAnsi="Liberation Serif" w:eastAsia="Liberation Serif"/>
          <w:b/>
          <w:color w:val="17365D"/>
          <w:sz w:val="21"/>
        </w:rPr>
        <w:t>Теорема 7.4. Необходимость ассоциативного группоида переходов.</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стандартной склейки локальных NAPG-объектов переходные данные должны образовывать категорию или группоид с ассоциативной композицией. Использование самой неассоциативной операции ⊙ как закона композиции переходов не задаёт обычного расслоения без дополнительных 2-морфизмов и когерентностей.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Эквивалентность точек в дизъюнктном объединении локальных тривиализаций должна быть транзитивной. На четырёхкратном перекрытии переход из первой карты в четвёртую вычисляется как (φ_34∘φ_23)∘φ_12 и как φ_34∘(φ_23∘φ_12). Для отображений эти выражения совпадают. Если вместо композиции используется закон с ненулевым ассоциатором, результаты могут различаться; тогда класс эквивалентности зависит от скобок и фактор-пространство не определено. Для исправления требуется bicategory/2-groupoid и явный associator coherence, что в v0.5 оставлено отдельным OPEN-слоем. □</w:t>
      </w:r>
    </w:p>
    <w:p>
      <w:pPr>
        <w:pStyle w:val="Heading2"/>
        <w:keepNext/>
      </w:pPr>
      <w:r>
        <w:t>36.2. Projective-Reper атлас</w:t>
      </w:r>
    </w:p>
    <w:p>
      <w:pPr>
        <w:spacing w:after="100" w:line="278" w:lineRule="auto"/>
        <w:ind w:firstLine="0"/>
      </w:pPr>
      <w:r>
        <w:rPr>
          <w:rFonts w:ascii="Liberation Serif" w:hAnsi="Liberation Serif" w:eastAsia="Liberation Serif"/>
          <w:b/>
          <w:color w:val="17365D"/>
          <w:sz w:val="21"/>
        </w:rPr>
        <w:t>Определение 7.5. Проективно-реперная карта.</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Проективно-реперная карта на U_i состоит из локального отображения κ_i:U_i→P¹(K), локального Evidence-D пакета E_{D,i} и класса допустимых реперных четвёрок. На перекрытии требуется κ_j∘κ_i^{-1}∈PGL₂(K) и совместимый перенос E_{D,i}→E_{D,j}.</w:t>
      </w:r>
    </w:p>
    <w:p>
      <w:pPr>
        <w:spacing w:after="100" w:line="278" w:lineRule="auto"/>
        <w:ind w:firstLine="0"/>
      </w:pPr>
      <w:r>
        <w:rPr>
          <w:rFonts w:ascii="Liberation Serif" w:hAnsi="Liberation Serif" w:eastAsia="Liberation Serif"/>
          <w:b/>
          <w:color w:val="17365D"/>
          <w:sz w:val="21"/>
        </w:rPr>
        <w:t>Теорема 7.6. Глобальность λ.</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все переходы проективно-реперного атласа принадлежат PGL₂(K), то cross-ratio λ(u,i;r,d) и гармонический локус λ=-1 не зависят от выбора карты. Если хотя бы одна переходная карта не сохраняет cross-ratio, λ является только локальной координатой.</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Инвариантность cross-ratio относительно PGL₂ была доказана в v0.2. На каждом перекрытии значения совпадают, поэтому они склеиваются в глобальную функцию на пространстве допустимых четвёрок. Обратное утверждение в полной общности не заявляется: возможны частные преобразования, сохраняющие выбранный конечный набор значений, но не весь cross-ratio. □</w:t>
      </w:r>
    </w:p>
    <w:p>
      <w:pPr>
        <w:keepNext/>
        <w:jc w:val="center"/>
      </w:pPr>
      <w:r>
        <w:drawing>
          <wp:inline xmlns:a="http://schemas.openxmlformats.org/drawingml/2006/main" xmlns:pic="http://schemas.openxmlformats.org/drawingml/2006/picture">
            <wp:extent cx="5715000" cy="7740337"/>
            <wp:docPr id="15" name="Picture 15"/>
            <wp:cNvGraphicFramePr>
              <a:graphicFrameLocks noChangeAspect="1"/>
            </wp:cNvGraphicFramePr>
            <a:graphic>
              <a:graphicData uri="http://schemas.openxmlformats.org/drawingml/2006/picture">
                <pic:pic>
                  <pic:nvPicPr>
                    <pic:cNvPr id="0" name="fig11_gluing.png"/>
                    <pic:cNvPicPr/>
                  </pic:nvPicPr>
                  <pic:blipFill>
                    <a:blip r:embed="rId27"/>
                    <a:stretch>
                      <a:fillRect/>
                    </a:stretch>
                  </pic:blipFill>
                  <pic:spPr>
                    <a:xfrm>
                      <a:off x="0" y="0"/>
                      <a:ext cx="5715000" cy="7740337"/>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11. Cocycle-условие и дефект склейки локальных NAPG-объектов. Собственная схема Тома II.</w:t>
      </w:r>
    </w:p>
    <w:p>
      <w:pPr>
        <w:pStyle w:val="Heading1"/>
        <w:keepNext/>
      </w:pPr>
      <w:r>
        <w:t>37. Descent-данные и теорема склейки</w:t>
      </w:r>
    </w:p>
    <w:p>
      <w:pPr>
        <w:pStyle w:val="Heading2"/>
        <w:keepNext/>
      </w:pPr>
      <w:r>
        <w:t>37.1. Категориальная формулировка</w:t>
      </w:r>
    </w:p>
    <w:p>
      <w:pPr>
        <w:spacing w:after="100" w:line="278" w:lineRule="auto"/>
        <w:ind w:firstLine="0"/>
      </w:pPr>
      <w:r>
        <w:rPr>
          <w:rFonts w:ascii="Liberation Serif" w:hAnsi="Liberation Serif" w:eastAsia="Liberation Serif"/>
          <w:b/>
          <w:color w:val="17365D"/>
          <w:sz w:val="21"/>
        </w:rPr>
        <w:t>Определение 7.7. Descent datum.</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p:S→C - расслоенная категория, U_i→U - покрытие. Descent datum есть семейство объектов X_i над U_i и изоморфизмов φ_ij:pr₀*X_i→pr₁*X_j над U_i×_U U_j, удовлетворяющих коммутативности треугольника на тройных fibre product. Для NAPG объектами X_i служат локальные пакетно-реперные структуры.</w:t>
      </w:r>
    </w:p>
    <w:p>
      <w:pPr>
        <w:spacing w:before="60" w:after="140"/>
        <w:ind w:firstLine="0"/>
        <w:jc w:val="center"/>
      </w:pPr>
      <w:r>
        <w:rPr>
          <w:rFonts w:ascii="Cambria Math" w:hAnsi="Cambria Math" w:eastAsia="Cambria Math"/>
          <w:sz w:val="22"/>
        </w:rPr>
        <w:t>pr_12*φ_jk ∘ pr_01*φ_ij = pr_02*φ_ik  on  U_i ×_U U_j ×_U U_k.</w:t>
      </w:r>
    </w:p>
    <w:p>
      <w:pPr>
        <w:spacing w:after="100" w:line="278" w:lineRule="auto"/>
        <w:ind w:firstLine="0"/>
      </w:pPr>
      <w:r>
        <w:rPr>
          <w:rFonts w:ascii="Liberation Serif" w:hAnsi="Liberation Serif" w:eastAsia="Liberation Serif"/>
          <w:b/>
          <w:color w:val="17365D"/>
          <w:sz w:val="21"/>
        </w:rPr>
        <w:t>Определение 7.8. Effective descent.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Descent datum называется эффективным, если существует глобальный объект X над U, ограничения которого изоморфны X_i и индуцируют заданные φ_ij. Само cocycle-условие является необходимым, но в произвольной расслоенной категории не всегда достаточным; достаточность является свойством stack/effective-descent выбранного класса объектов.</w:t>
      </w:r>
    </w:p>
    <w:p>
      <w:pPr>
        <w:spacing w:after="100" w:line="278" w:lineRule="auto"/>
        <w:ind w:firstLine="0"/>
      </w:pPr>
      <w:r>
        <w:rPr>
          <w:rFonts w:ascii="Liberation Serif" w:hAnsi="Liberation Serif" w:eastAsia="Liberation Serif"/>
          <w:b/>
          <w:color w:val="17365D"/>
          <w:sz w:val="21"/>
        </w:rPr>
        <w:t>Теорема 7.9. Склейка NAPG-расслоения.</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X - паракомпактное хаусдорфово пространство, F - топологический NAPG-объект, G=Aut_NAPG(F) - топологическая группа. Пусть g_ij:U_ij→G непрерывны и удовлетворяют g_ii=e, g_ji=g_ij^{-1}, g_ij g_jk=g_ik. Тогда фактор E=(⊔_i U_i×F)/~ является локально тривиальным NAPG-расслоением над X с волокном F. Изоморфный класс зависит только от gauge-класса cocycle.</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Положим (x,v,i)~(x,g_ji(x)v,j). Рефлексивность и симметрия следуют из первых двух условий, транзитивность - из cocycle. Локальные включения U_i×F дают тривиализации фактора. Так как g_ij являются NAPG-автоморфизмами, градуировка, ⊙, структурные данные и указанные инварианты согласуются на перекрытиях и задают волоконные глобальные объекты. Замена g_ij на h_j g_ij h_i^{-1} строит явный изоморфизм расслоений. □</w:t>
      </w:r>
    </w:p>
    <w:p>
      <w:pPr>
        <w:pStyle w:val="Heading2"/>
        <w:keepNext/>
      </w:pPr>
      <w:r>
        <w:t>37.2. Pairwise compatibility is not enough</w:t>
      </w:r>
    </w:p>
    <w:p>
      <w:pPr>
        <w:spacing w:after="100" w:line="278" w:lineRule="auto"/>
        <w:ind w:firstLine="0"/>
      </w:pPr>
      <w:r>
        <w:rPr>
          <w:rFonts w:ascii="Liberation Serif" w:hAnsi="Liberation Serif" w:eastAsia="Liberation Serif"/>
          <w:b/>
          <w:color w:val="17365D"/>
          <w:sz w:val="21"/>
        </w:rPr>
        <w:t>Контрпример 7.10. Тройной дефект.</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три карты имеют непустое тройное перекрытие, а переходы g_12,g_23,g_13 выбраны так, что g_23 g_12≠g_13. Каждая пара карт отдельно склеивается, но переход из первой карты в третью зависит от маршрута. Факторизация не задаёт однозначного глобального объекта.</w:t>
      </w:r>
    </w:p>
    <w:p>
      <w:pPr>
        <w:spacing w:after="100" w:line="278" w:lineRule="auto"/>
        <w:ind w:firstLine="369"/>
      </w:pPr>
      <w:r>
        <w:rPr>
          <w:rFonts w:ascii="Liberation Serif" w:hAnsi="Liberation Serif" w:eastAsia="Liberation Serif"/>
          <w:sz w:val="21"/>
        </w:rPr>
        <w:t>Этот контрпример имеет прямой смысл для KLT-RBD: попарная согласованность источников или моделей не обеспечивает согласованность полного формульного цикла. Тройной и более высокий аудит обязателен там, где существуют альтернативные маршруты вывода.</w:t>
      </w:r>
    </w:p>
    <w:p>
      <w:pPr>
        <w:pStyle w:val="Heading1"/>
        <w:keepNext/>
      </w:pPr>
      <w:r>
        <w:t>38. Пакетные, реперные и Hodge-расслоения</w:t>
      </w:r>
    </w:p>
    <w:p>
      <w:pPr>
        <w:pStyle w:val="Heading2"/>
        <w:keepNext/>
      </w:pPr>
      <w:r>
        <w:t>38.1. Спуск операции и ассоциатора</w:t>
      </w:r>
    </w:p>
    <w:p>
      <w:pPr>
        <w:spacing w:after="100" w:line="278" w:lineRule="auto"/>
        <w:ind w:firstLine="0"/>
      </w:pPr>
      <w:r>
        <w:rPr>
          <w:rFonts w:ascii="Liberation Serif" w:hAnsi="Liberation Serif" w:eastAsia="Liberation Serif"/>
          <w:b/>
          <w:color w:val="17365D"/>
          <w:sz w:val="21"/>
        </w:rPr>
        <w:t>Определение 7.11. Bundle of NAPG algebras.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NAPG-алгебраическое расслоение - локально тривиальное векторное или модульное расслоение E→X с локальными операциями ⊙_i, для которых переходы g_ij удовлетворяют g_ij(a⊙_j b)=g_ij(a)⊙_i g_ij(b) на каждом перекрытии и сохраняют Dom_⊙.</w:t>
      </w:r>
    </w:p>
    <w:p>
      <w:pPr>
        <w:spacing w:after="100" w:line="278" w:lineRule="auto"/>
        <w:ind w:firstLine="0"/>
      </w:pPr>
      <w:r>
        <w:rPr>
          <w:rFonts w:ascii="Liberation Serif" w:hAnsi="Liberation Serif" w:eastAsia="Liberation Serif"/>
          <w:b/>
          <w:color w:val="17365D"/>
          <w:sz w:val="21"/>
        </w:rPr>
        <w:t>Теорема 7.12. Спуск операции.</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При условиях определения 7.11 локальные операции склеиваются в единственную волоконную операцию ⊙:Dom_⊙⊂E×_X E→E. Ассоциатор, левые/средние/правые nucleus-слои и идеал J_Ass являются глобальными подрасслоениями там, где их ранги локально постоянны.</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Если представители a_i,b_i в карте i и a_j,b_j в карте j описывают одни и те же элементы волокна, то a_i=g_ij a_j и b_i=g_ij b_j. Совместимость операции даёт a_i⊙_i b_i=g_ij(a_j⊙_j b_j), поэтому результат независим от карты. Ассоциатор естественен относительно алгебраических изоморфизмов; ядра его линейных операторов образуют подрасслоения на областях постоянного ранга. □</w:t>
      </w:r>
    </w:p>
    <w:p>
      <w:pPr>
        <w:spacing w:after="100" w:line="278" w:lineRule="auto"/>
        <w:ind w:firstLine="0"/>
      </w:pPr>
      <w:r>
        <w:rPr>
          <w:rFonts w:ascii="Liberation Serif" w:hAnsi="Liberation Serif" w:eastAsia="Liberation Serif"/>
          <w:b/>
          <w:color w:val="17365D"/>
          <w:sz w:val="21"/>
        </w:rPr>
        <w:t>Определение 7.13. Дефект спуска операции.</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Если переходы являются лишь линейными изоморфизмами, вводится q_ij(a,b)=g_ij(a⊙_j b)-g_ij(a)⊙_i g_ij(b). Ненулевой q_ij блокирует глобальную операцию даже при идеальном cocycle переходов.</w:t>
      </w:r>
    </w:p>
    <w:p>
      <w:pPr>
        <w:spacing w:before="60" w:after="140"/>
        <w:ind w:firstLine="0"/>
        <w:jc w:val="center"/>
      </w:pPr>
      <w:r>
        <w:rPr>
          <w:rFonts w:ascii="Cambria Math" w:hAnsi="Cambria Math" w:eastAsia="Cambria Math"/>
          <w:sz w:val="22"/>
        </w:rPr>
        <w:t>q_ij = 0 for all i,j   is necessary and sufficient for operation descent.</w:t>
      </w:r>
    </w:p>
    <w:p>
      <w:pPr>
        <w:pStyle w:val="Heading2"/>
        <w:keepNext/>
      </w:pPr>
      <w:r>
        <w:t>38.2. Реперное подрасслоение и Evidence-D</w:t>
      </w:r>
    </w:p>
    <w:p>
      <w:pPr>
        <w:spacing w:after="100" w:line="278" w:lineRule="auto"/>
        <w:ind w:firstLine="0"/>
      </w:pPr>
      <w:r>
        <w:rPr>
          <w:rFonts w:ascii="Liberation Serif" w:hAnsi="Liberation Serif" w:eastAsia="Liberation Serif"/>
          <w:b/>
          <w:color w:val="17365D"/>
          <w:sz w:val="21"/>
        </w:rPr>
        <w:t>Определение 7.14.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E→X - NAPG-расслоение. Реперное подрасслоение Rep(E)→X имеет в волокне допустимые четвёрки (R,I,U;d) вместе с Evidence-D пакетом. Переходы действуют одновременно на геометрический якорь d и на provenance-структуру E_D, причём перенос E_D должен быть трассируемым и обратимым.</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Трудное место: D не является обычной координатой</w:t>
            </w:r>
          </w:p>
          <w:p>
            <w:pPr>
              <w:spacing w:after="0" w:line="269" w:lineRule="auto"/>
            </w:pPr>
            <w:r>
              <w:rPr>
                <w:rFonts w:ascii="Liberation Serif" w:hAnsi="Liberation Serif" w:eastAsia="Liberation Serif"/>
                <w:color w:val="27313F"/>
                <w:sz w:val="20"/>
              </w:rPr>
              <w:t>Проективная точка d может переноситься PGL₂-преобразованием. Evidence-D включает источники, версии, контрольные хеши, области применения и доказательные статусы. Его нельзя «склеить» одной формулой координатного перехода. Требуется отдельный функтор provenance и проверка его cocycle.</w:t>
            </w:r>
          </w:p>
        </w:tc>
      </w:tr>
    </w:tbl>
    <w:p>
      <w:pPr>
        <w:spacing w:after="40"/>
      </w:pPr>
    </w:p>
    <w:p>
      <w:pPr>
        <w:spacing w:after="100" w:line="278" w:lineRule="auto"/>
        <w:ind w:firstLine="0"/>
      </w:pPr>
      <w:r>
        <w:rPr>
          <w:rFonts w:ascii="Liberation Serif" w:hAnsi="Liberation Serif" w:eastAsia="Liberation Serif"/>
          <w:b/>
          <w:color w:val="17365D"/>
          <w:sz w:val="21"/>
        </w:rPr>
        <w:t>Теорема 7.15. Двойной спуск Reper.</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Глобальный Reper-объект существует, если одновременно эффективны геометрический descent четвёрки и доказательный descent Evidence-D. Нарушение любого канала переводит результат в ABSTAIN, даже когда λ=-1 во всех локальных картах.</w:t>
      </w:r>
    </w:p>
    <w:p>
      <w:pPr>
        <w:pStyle w:val="Heading2"/>
        <w:keepNext/>
      </w:pPr>
      <w:r>
        <w:t>38.3. Hodge-слой</w:t>
      </w:r>
    </w:p>
    <w:p>
      <w:pPr>
        <w:spacing w:after="100" w:line="278" w:lineRule="auto"/>
        <w:ind w:firstLine="0"/>
      </w:pPr>
      <w:r>
        <w:rPr>
          <w:rFonts w:ascii="Liberation Serif" w:hAnsi="Liberation Serif" w:eastAsia="Liberation Serif"/>
          <w:b/>
          <w:color w:val="17365D"/>
          <w:sz w:val="21"/>
        </w:rPr>
        <w:t>Определение 7.16. Hodge-compatible atlas.</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волокна имеют фиксированный ранг, метрику и ориентацию. Атлас Hodge-совместим, если переходы являются ориентированными изометриями, то есть принимают значения в SO(V,g), и сохраняют выбранный класс дифференциальных форм.</w:t>
      </w:r>
    </w:p>
    <w:p>
      <w:pPr>
        <w:spacing w:after="100" w:line="278" w:lineRule="auto"/>
        <w:ind w:firstLine="0"/>
      </w:pPr>
      <w:r>
        <w:rPr>
          <w:rFonts w:ascii="Liberation Serif" w:hAnsi="Liberation Serif" w:eastAsia="Liberation Serif"/>
          <w:b/>
          <w:color w:val="17365D"/>
          <w:sz w:val="21"/>
        </w:rPr>
        <w:t>Теорема 7.17. Спуск Hodge star.</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Hodge-совместимом атласе локальные операторы star_Hdg склеиваются в глобальный волоконный Hodge-оператор. При ориентационно обращающем переходе возникает знак, поэтому O(n)-совместимость без дополнительного orientation local system недостаточна для заявленного глобального оператора.</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Hodge star характеризуется равенством α∧star β=&lt;α,β&gt;vol. Ориентированная изометрия сохраняет скалярное произведение и форму объёма, следовательно, коммутирует со star. Ориентационно обращающая изометрия меняет знак vol, что требует отдельного знакового локального коэффициентного слоя. □</w:t>
      </w:r>
    </w:p>
    <w:p>
      <w:pPr>
        <w:pStyle w:val="Heading1"/>
        <w:keepNext/>
      </w:pPr>
      <w:r>
        <w:t>39. Когомологические препятствия глобализации</w:t>
      </w:r>
    </w:p>
    <w:p>
      <w:pPr>
        <w:pStyle w:val="Heading2"/>
        <w:keepNext/>
      </w:pPr>
      <w:r>
        <w:t>39.1. Центральный lifting obstruction</w:t>
      </w:r>
    </w:p>
    <w:p>
      <w:pPr>
        <w:spacing w:after="100" w:line="278" w:lineRule="auto"/>
        <w:ind w:firstLine="0"/>
      </w:pPr>
      <w:r>
        <w:rPr>
          <w:rFonts w:ascii="Liberation Serif" w:hAnsi="Liberation Serif" w:eastAsia="Liberation Serif"/>
          <w:b/>
          <w:color w:val="17365D"/>
          <w:sz w:val="21"/>
        </w:rPr>
        <w:t>Постановка 7.18.</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Пусть 1→Z→G_tilde→G→1 - центральное расширение топологических групп, P→X - principal G-bundle с transition cocycle g_ij. На достаточно мелком покрытии выберем локальные подъёмы g_tilde_ij.</w:t>
      </w:r>
    </w:p>
    <w:p>
      <w:pPr>
        <w:spacing w:before="60" w:after="140"/>
        <w:ind w:firstLine="0"/>
        <w:jc w:val="center"/>
      </w:pPr>
      <w:r>
        <w:rPr>
          <w:rFonts w:ascii="Cambria Math" w:hAnsi="Cambria Math" w:eastAsia="Cambria Math"/>
          <w:sz w:val="22"/>
        </w:rPr>
        <w:t>z_ijk = g_tilde_ij g_tilde_jk g_tilde_ki  ∈ Z.</w:t>
      </w:r>
    </w:p>
    <w:p>
      <w:pPr>
        <w:spacing w:after="100" w:line="278" w:lineRule="auto"/>
        <w:ind w:firstLine="0"/>
      </w:pPr>
      <w:r>
        <w:rPr>
          <w:rFonts w:ascii="Liberation Serif" w:hAnsi="Liberation Serif" w:eastAsia="Liberation Serif"/>
          <w:b/>
          <w:color w:val="17365D"/>
          <w:sz w:val="21"/>
        </w:rPr>
        <w:t>Теорема 7.19. Центральный класс препятствия.</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Семейство z_ijk является Čech 2-cocycle с коэффициентами в пучке Z. Его класс [z]∈Čech H²(X,Z) не зависит от выбора локальных подъёмов. Principal G-bundle допускает G_tilde-подъём тогда и только тогда, когда [z]=0, при стандартных гипотезах эффективности Čech-описания.</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Центральность Z позволяет переставлять возникающие дефектные множители и получить δz=1 на четырёхкратных перекрытиях. Другая система подъёмов имеет вид a_ij g_tilde_ij, a_ij∈Z, поэтому z изменяется на Čech coboundary δa. Если [z]=0, выбирается a с z=δa и скорректированные подъёмы удовлетворяют точному cocycle; обратное очевидно. □</w:t>
      </w:r>
    </w:p>
    <w:p>
      <w:pPr>
        <w:spacing w:after="100" w:line="278" w:lineRule="auto"/>
        <w:ind w:firstLine="369"/>
      </w:pPr>
      <w:r>
        <w:rPr>
          <w:rFonts w:ascii="Liberation Serif" w:hAnsi="Liberation Serif" w:eastAsia="Liberation Serif"/>
          <w:sz w:val="21"/>
        </w:rPr>
        <w:t>Классический пример - расширение Spin(n)→SO(n): препятствие подъёма ориентированного frame bundle к Spin-структуре выражается вторым классом Stiefel-Whitney. В Том II этот пример используется только как prior art и модель дисциплины препятствий; он не отождествляется с внутренним 𝒪_B.</w:t>
      </w:r>
    </w:p>
    <w:p>
      <w:pPr>
        <w:keepNext/>
        <w:jc w:val="center"/>
      </w:pPr>
      <w:r>
        <w:drawing>
          <wp:inline xmlns:a="http://schemas.openxmlformats.org/drawingml/2006/main" xmlns:pic="http://schemas.openxmlformats.org/drawingml/2006/picture">
            <wp:extent cx="5715000" cy="1778000"/>
            <wp:docPr id="16" name="Picture 16"/>
            <wp:cNvGraphicFramePr>
              <a:graphicFrameLocks noChangeAspect="1"/>
            </wp:cNvGraphicFramePr>
            <a:graphic>
              <a:graphicData uri="http://schemas.openxmlformats.org/drawingml/2006/picture">
                <pic:pic>
                  <pic:nvPicPr>
                    <pic:cNvPr id="0" name="fig12_lifting.png"/>
                    <pic:cNvPicPr/>
                  </pic:nvPicPr>
                  <pic:blipFill>
                    <a:blip r:embed="rId28"/>
                    <a:stretch>
                      <a:fillRect/>
                    </a:stretch>
                  </pic:blipFill>
                  <pic:spPr>
                    <a:xfrm>
                      <a:off x="0" y="0"/>
                      <a:ext cx="5715000" cy="1778000"/>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12. Центральное расширение и Čech H²-препятствие подъёма структурной группы. Собственная схема Тома II.</w:t>
      </w:r>
    </w:p>
    <w:p>
      <w:pPr>
        <w:pStyle w:val="Heading2"/>
        <w:keepNext/>
      </w:pPr>
      <w:r>
        <w:t>39.2. Внутреннее NAPG-препятствие и внешний Čech-слой</w:t>
      </w:r>
    </w:p>
    <w:p>
      <w:pPr>
        <w:spacing w:after="100" w:line="278" w:lineRule="auto"/>
        <w:ind w:firstLine="0"/>
      </w:pPr>
      <w:r>
        <w:rPr>
          <w:rFonts w:ascii="Liberation Serif" w:hAnsi="Liberation Serif" w:eastAsia="Liberation Serif"/>
          <w:b/>
          <w:color w:val="17365D"/>
          <w:sz w:val="21"/>
        </w:rPr>
        <w:t>Определение 7.20. Globalization defect vector.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атласа A вводится вектор дефектов Def_glue(A)=(c,q,a,p,h,d,s), где c - cocycle defect переходов, q - defect спуска операции, a - дефект когерентности ассоциаторного слоя, p - непроективность Reper-карт, h - Hodge-несовместимость, d - дефект Evidence-D/Dom, s - препятствие существования требуемого глобального сечения.</w:t>
      </w:r>
    </w:p>
    <w:p>
      <w:pPr>
        <w:spacing w:before="60" w:after="140"/>
        <w:ind w:firstLine="0"/>
        <w:jc w:val="center"/>
      </w:pPr>
      <w:r>
        <w:rPr>
          <w:rFonts w:ascii="Cambria Math" w:hAnsi="Cambria Math" w:eastAsia="Cambria Math"/>
          <w:sz w:val="22"/>
        </w:rPr>
        <w:t>Def_glue(A)=0  is a gate condition, not a consequence of local λ-harmonicity.</w:t>
      </w:r>
    </w:p>
    <w:p>
      <w:pPr>
        <w:spacing w:after="100" w:line="278" w:lineRule="auto"/>
        <w:ind w:firstLine="369"/>
      </w:pPr>
      <w:r>
        <w:rPr>
          <w:rFonts w:ascii="Liberation Serif" w:hAnsi="Liberation Serif" w:eastAsia="Liberation Serif"/>
          <w:sz w:val="21"/>
        </w:rPr>
        <w:t>Внутреннее препятствие Π(x)∈𝒪_B и внешнее Čech-препятствие [c] живут в разных носителях. Карта между ними может быть построена только после задания конкретного функторного моста. До этого запрещены записи 𝒪_B=H²(X,Z) или Π=[c].</w:t>
      </w:r>
    </w:p>
    <w:p>
      <w:pPr>
        <w:pStyle w:val="Heading2"/>
        <w:keepNext/>
      </w:pPr>
      <w:r>
        <w:t>39.3. Препятствия к глобальному сечению</w:t>
      </w:r>
    </w:p>
    <w:p>
      <w:pPr>
        <w:spacing w:after="100" w:line="278" w:lineRule="auto"/>
        <w:ind w:firstLine="0"/>
      </w:pPr>
      <w:r>
        <w:rPr>
          <w:rFonts w:ascii="Liberation Serif" w:hAnsi="Liberation Serif" w:eastAsia="Liberation Serif"/>
          <w:b/>
          <w:color w:val="17365D"/>
          <w:sz w:val="21"/>
        </w:rPr>
        <w:t>Теорема 7.21. Клеточная башня препятствий.</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Пусть p:E→X - фибрация над CW-комплексом, F - связное простое волокно с заданным действием π₁(X) на π_k(F). Продление частичного сечения с k-скелета на (k+1)-скелет контролируется классом o_{k+1}∈H^{k+1}(X;π_k(F)_ρ). При исчезновении последовательных классов и выполнении стандартных полнотных гипотез существует глобальное сечение. Поэтому локально допустимые сценарии не гарантируют единого глобального сценария; коэффициентный модуль и монодромия строятся для каждой модели отдельно.</w:t>
      </w:r>
    </w:p>
    <w:p>
      <w:pPr>
        <w:pStyle w:val="Heading1"/>
        <w:keepNext/>
      </w:pPr>
      <w:r>
        <w:t>40. Глобализационные горизонты и отрицательные теоремы прогноза</w:t>
      </w:r>
    </w:p>
    <w:p>
      <w:pPr>
        <w:pStyle w:val="Heading2"/>
        <w:keepNext/>
      </w:pPr>
      <w:r>
        <w:t>40.1. Семейство атласов</w:t>
      </w:r>
    </w:p>
    <w:p>
      <w:pPr>
        <w:spacing w:after="100" w:line="278" w:lineRule="auto"/>
        <w:ind w:firstLine="0"/>
      </w:pPr>
      <w:r>
        <w:rPr>
          <w:rFonts w:ascii="Liberation Serif" w:hAnsi="Liberation Serif" w:eastAsia="Liberation Serif"/>
          <w:b/>
          <w:color w:val="17365D"/>
          <w:sz w:val="21"/>
        </w:rPr>
        <w:t>Определение 7.22. Параметрическое NAPG-расслоение.</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I - интервал параметров. Параметрическое расслоение есть NAPG-объект E→X×I, ограничение E_t→X которого задаёт состояние при t. Семейство переходов g_ij(x,t) непрерывно и остаётся в Aut_NAPG(F) на admissible domain.</w:t>
      </w:r>
    </w:p>
    <w:p>
      <w:pPr>
        <w:spacing w:after="100" w:line="278" w:lineRule="auto"/>
        <w:ind w:firstLine="0"/>
      </w:pPr>
      <w:r>
        <w:rPr>
          <w:rFonts w:ascii="Liberation Serif" w:hAnsi="Liberation Serif" w:eastAsia="Liberation Serif"/>
          <w:b/>
          <w:color w:val="17365D"/>
          <w:sz w:val="21"/>
        </w:rPr>
        <w:t>Теорема 7.23. Homotopy constancy.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Если E→X×I является numerable NAPG-расслоением с фиксированным структурным groupoid и effective descent на всём X×I, то ограничения E_{t0} и E_{t1} изоморфны для любых t0,t1∈I. Следовательно, дискретный изоморфный класс расслоения не меняется внутри одной допустимой непрерывной семьи.</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Вложения i_{t0},i_{t1}:X→X×I гомотопны. Pullback numerable bundles вдоль гомотопных отображений эквивалентны. Но E_t=i_t*E, поэтому концевые ограничения изоморфны. □</w:t>
      </w:r>
    </w:p>
    <w:p>
      <w:pPr>
        <w:spacing w:after="100" w:line="278" w:lineRule="auto"/>
        <w:ind w:firstLine="0"/>
      </w:pPr>
      <w:r>
        <w:rPr>
          <w:rFonts w:ascii="Liberation Serif" w:hAnsi="Liberation Serif" w:eastAsia="Liberation Serif"/>
          <w:b/>
          <w:color w:val="17365D"/>
          <w:sz w:val="21"/>
        </w:rPr>
        <w:t>Следствие 7.24. Отрицательный глобальный прогноз.</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Топологическая смена NAPG-расслоения невозможна, пока семейство остаётся определённым и эффективным на X×I, структурный groupoid не меняется и не пересекается глобализационный горизонт. Наблюдаемая смена дискретного класса требует выхода хотя бы из одной гипотезы.</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Что именно запрещает теорема</w:t>
            </w:r>
          </w:p>
          <w:p>
            <w:pPr>
              <w:spacing w:after="0" w:line="269" w:lineRule="auto"/>
            </w:pPr>
            <w:r>
              <w:rPr>
                <w:rFonts w:ascii="Liberation Serif" w:hAnsi="Liberation Serif" w:eastAsia="Liberation Serif"/>
                <w:color w:val="27313F"/>
                <w:sz w:val="20"/>
              </w:rPr>
              <w:t>Она не запрещает непрерывное изменение коэффициентов, метрик, связностей или λ-значений внутри одного bundle class. Она запрещает объявлять топологический переход без обнаруженного разрыва admissibility, изменения структурной группы, потери cocycle/effective descent или иного явно указанного механизма.</w:t>
            </w:r>
          </w:p>
        </w:tc>
      </w:tr>
    </w:tbl>
    <w:p>
      <w:pPr>
        <w:spacing w:after="40"/>
      </w:pPr>
    </w:p>
    <w:p>
      <w:pPr>
        <w:pStyle w:val="Heading2"/>
        <w:keepNext/>
      </w:pPr>
      <w:r>
        <w:t>40.2. Глобализационный горизонт</w:t>
      </w:r>
    </w:p>
    <w:p>
      <w:pPr>
        <w:spacing w:after="100" w:line="278" w:lineRule="auto"/>
        <w:ind w:firstLine="0"/>
      </w:pPr>
      <w:r>
        <w:rPr>
          <w:rFonts w:ascii="Liberation Serif" w:hAnsi="Liberation Serif" w:eastAsia="Liberation Serif"/>
          <w:b/>
          <w:color w:val="17365D"/>
          <w:sz w:val="21"/>
        </w:rPr>
        <w:t>Определение 7.25. Globalization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параметрической семьи определяется объединение Δ_glue=Δ_coc∪Δ_eff∪Δ_op∪Δ_ass∪Δ_chart∪Δ_Hdg∪Δ_Dom∪Δ_D∪Δ_sec, где каждый компонент есть множество параметров, на котором соответствующее условие склейки, спуска или существования сечения теряет доказанность.</w:t>
      </w:r>
    </w:p>
    <w:p>
      <w:pPr>
        <w:spacing w:before="60" w:after="140"/>
        <w:ind w:firstLine="0"/>
        <w:jc w:val="center"/>
      </w:pPr>
      <w:r>
        <w:rPr>
          <w:rFonts w:ascii="Cambria Math" w:hAnsi="Cambria Math" w:eastAsia="Cambria Math"/>
          <w:sz w:val="22"/>
        </w:rPr>
        <w:t>Δ_total = Δ_alg ∪ Δ_geo ∪ Δ_glue.</w:t>
      </w:r>
    </w:p>
    <w:p>
      <w:pPr>
        <w:spacing w:after="100" w:line="278" w:lineRule="auto"/>
        <w:ind w:firstLine="0"/>
      </w:pPr>
      <w:r>
        <w:rPr>
          <w:rFonts w:ascii="Liberation Serif" w:hAnsi="Liberation Serif" w:eastAsia="Liberation Serif"/>
          <w:b/>
          <w:color w:val="17365D"/>
          <w:sz w:val="21"/>
        </w:rPr>
        <w:t>Теорема 7.26. Локализация возможного глобального перехода.</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гипотезах теоремы 7.23 изменение дискретного алгебро-геометрического bundle profile может происходить только на Δ_total. Вне Δ_total профиль локально постоянен. Попадание в Δ_total является необходимым, но не достаточным условием перехода.</w:t>
      </w:r>
    </w:p>
    <w:p>
      <w:pPr>
        <w:pStyle w:val="Heading1"/>
        <w:keepNext/>
      </w:pPr>
      <w:r>
        <w:t>41. Предсказательное реперное расслоение</w:t>
      </w:r>
    </w:p>
    <w:p>
      <w:pPr>
        <w:pStyle w:val="Heading2"/>
        <w:keepNext/>
      </w:pPr>
      <w:r>
        <w:t>41.1. Пространство сценариев как волокно</w:t>
      </w:r>
    </w:p>
    <w:p>
      <w:pPr>
        <w:spacing w:after="100" w:line="278" w:lineRule="auto"/>
        <w:ind w:firstLine="0"/>
      </w:pPr>
      <w:r>
        <w:rPr>
          <w:rFonts w:ascii="Liberation Serif" w:hAnsi="Liberation Serif" w:eastAsia="Liberation Serif"/>
          <w:b/>
          <w:color w:val="17365D"/>
          <w:sz w:val="21"/>
        </w:rPr>
        <w:t>Определение 7.27. Predictive Reper bundle.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X кодирует домены, источники или пространственно-временные окна, а F_x - множество допустимых будущих Reper-состояний в точке x. Предсказательное реперное расслоение p:𝒫→X имеет волокна F_x, переходы между локальными системами координат и подпространство Adm(𝒫), заданное ограничениями D/Dom, препятствиями и предметными пределами.</w:t>
      </w:r>
    </w:p>
    <w:p>
      <w:pPr>
        <w:spacing w:after="100" w:line="278" w:lineRule="auto"/>
        <w:ind w:firstLine="0"/>
      </w:pPr>
      <w:r>
        <w:rPr>
          <w:rFonts w:ascii="Liberation Serif" w:hAnsi="Liberation Serif" w:eastAsia="Liberation Serif"/>
          <w:b/>
          <w:color w:val="17365D"/>
          <w:sz w:val="21"/>
        </w:rPr>
        <w:t>Определение 7.28. Глобально допустимый сценарий.</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Сценарий есть сечение s:X→𝒫. Он глобально допустим, если s(x)∈Adm(𝒫)_x, локальные представления согласованы переходами, Evidence-D образует эффективный descent, а все обязательные blockers пусты.</w:t>
      </w:r>
    </w:p>
    <w:p>
      <w:pPr>
        <w:spacing w:before="60" w:after="140"/>
        <w:ind w:firstLine="0"/>
        <w:jc w:val="center"/>
      </w:pPr>
      <w:r>
        <w:rPr>
          <w:rFonts w:ascii="Cambria Math" w:hAnsi="Cambria Math" w:eastAsia="Cambria Math"/>
          <w:sz w:val="22"/>
        </w:rPr>
        <w:t>Block_glue = B_coc ∪ B_eff ∪ B_op ∪ B_ass ∪ B_chart ∪ B_Hdg ∪ B_Dom ∪ B_D ∪ B_sec.</w:t>
      </w:r>
    </w:p>
    <w:p>
      <w:pPr>
        <w:spacing w:after="100" w:line="278" w:lineRule="auto"/>
        <w:ind w:firstLine="0"/>
      </w:pPr>
      <w:r>
        <w:rPr>
          <w:rFonts w:ascii="Liberation Serif" w:hAnsi="Liberation Serif" w:eastAsia="Liberation Serif"/>
          <w:b/>
          <w:color w:val="17365D"/>
          <w:sz w:val="21"/>
        </w:rPr>
        <w:t>Определение 7.29. Global structural candidate.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Сечение s получает статус GLOBAL-CANDIDATE, если Block_glue=∅, внутреннее препятствие Π(s)=0, заявленные внешние классы препятствий обнулены, λ(s) удовлетворяет заранее фиксированному точному или интервальному критерию и пройдены независимые вычислительные проверки.</w:t>
      </w:r>
    </w:p>
    <w:p>
      <w:pPr>
        <w:spacing w:after="100" w:line="278" w:lineRule="auto"/>
        <w:ind w:firstLine="0"/>
      </w:pPr>
      <w:r>
        <w:rPr>
          <w:rFonts w:ascii="Liberation Serif" w:hAnsi="Liberation Serif" w:eastAsia="Liberation Serif"/>
          <w:b/>
          <w:color w:val="17365D"/>
          <w:sz w:val="21"/>
        </w:rPr>
        <w:t>Теорема 7.30. Запрет локально-глобальной подмены.</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Пусть на каждой карте U_i существует локальный кандидат s_i с λ_i=-1 и Π_i=0. Если семейство {s_i} не удовлетворяет transition compatibility или имеет ненулевой класс препятствия к глобальному сечению, глобального кандидата не существует. Любой алгоритм, возвращающий EVENT в такой ситуации, некорректен относительно спецификации v0.5.</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Глобальный кандидат по определению является сечением. Несовместимые локальные кандидаты не задают отображение X→𝒫, а ненулевое препятствие исключает его существование. Локальные значения λ и Π не устраняют дефект склейки. □</w:t>
      </w:r>
    </w:p>
    <w:p>
      <w:pPr>
        <w:spacing w:after="100" w:line="278" w:lineRule="auto"/>
        <w:ind w:firstLine="0"/>
      </w:pPr>
      <w:r>
        <w:rPr>
          <w:rFonts w:ascii="Liberation Serif" w:hAnsi="Liberation Serif" w:eastAsia="Liberation Serif"/>
          <w:b/>
          <w:color w:val="17365D"/>
          <w:sz w:val="21"/>
        </w:rPr>
        <w:t>Основная условная теорема 7.31. Globalization-safe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выполнены: H1 - effective NAPG descent; H2 - operation/associator descent; H3 - projective-Reper atlas; H4 - Hodge compatibility, если Hodge-слой используется; H5 - доказанный перенос Evidence-D; H6 - исчезновение внутренних и заявленных внешних препятствий; H7 - существование глобального admissible section; H8 - воспроизводимый двойной сертификат v0.4 и глобализационный сертификат v0.5. Тогда статус GLOBAL-CANDIDATE инвариантен относительно refinement покрытия, gauge-эквивалентности cocycle, NAPG-изоморфизмов и проективной смены Reper-карт.</w:t>
      </w:r>
    </w:p>
    <w:p>
      <w:pPr>
        <w:spacing w:after="100" w:line="278" w:lineRule="auto"/>
        <w:ind w:firstLine="0"/>
      </w:pPr>
      <w:r>
        <w:rPr>
          <w:rFonts w:ascii="Liberation Serif" w:hAnsi="Liberation Serif" w:eastAsia="Liberation Serif"/>
          <w:b/>
          <w:color w:val="17365D"/>
          <w:sz w:val="21"/>
        </w:rPr>
        <w:t>Граница вывода.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Теорема утверждает инвариантность структурного кандидата внутри формальной модели. Она не доказывает наступление физического, химического, биологического или экономического события; такой вывод требует доменного адаптера, данных и независимой проверки.</w:t>
      </w:r>
    </w:p>
    <w:p>
      <w:pPr>
        <w:keepNext/>
        <w:jc w:val="center"/>
      </w:pPr>
      <w:r>
        <w:drawing>
          <wp:inline xmlns:a="http://schemas.openxmlformats.org/drawingml/2006/main" xmlns:pic="http://schemas.openxmlformats.org/drawingml/2006/picture">
            <wp:extent cx="5715000" cy="9013521"/>
            <wp:docPr id="17" name="Picture 17"/>
            <wp:cNvGraphicFramePr>
              <a:graphicFrameLocks noChangeAspect="1"/>
            </wp:cNvGraphicFramePr>
            <a:graphic>
              <a:graphicData uri="http://schemas.openxmlformats.org/drawingml/2006/picture">
                <pic:pic>
                  <pic:nvPicPr>
                    <pic:cNvPr id="0" name="fig13_global_gate.png"/>
                    <pic:cNvPicPr/>
                  </pic:nvPicPr>
                  <pic:blipFill>
                    <a:blip r:embed="rId29"/>
                    <a:stretch>
                      <a:fillRect/>
                    </a:stretch>
                  </pic:blipFill>
                  <pic:spPr>
                    <a:xfrm>
                      <a:off x="0" y="0"/>
                      <a:ext cx="5715000" cy="9013521"/>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13. Глобальный предсказательный шлюз: локальный кандидат допускается только после effective descent и существования сечения. Собственная схема Тома II.</w:t>
      </w:r>
    </w:p>
    <w:p>
      <w:pPr>
        <w:pStyle w:val="Heading1"/>
        <w:keepNext/>
      </w:pPr>
      <w:r>
        <w:t>42. Модели и контрмодели глобализации</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81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Модель</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Локально</w:t>
            </w:r>
          </w:p>
        </w:tc>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Глобально</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Урок для KLT-RBD</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Тривиальное line bundle над S¹</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U_i×R</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S¹×R</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нулевой cocycle class</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Лента Мёбиуса</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каждая карта U_i×R</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нет глобальной ненулевой секции выбранного знака; bundle нетривиален</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одинаковые локальные волокна не фиксируют глобальный класс</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Тройной cocycle defect</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каждая пара карт согласована</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маршрут-зависимая склейка</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pairwise audit недостаточен</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Non-PGL Reper chart</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λ вычислима в каждой карте</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значения λ не совпадают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гармоничность не глобальна</w:t>
            </w:r>
          </w:p>
        </w:tc>
      </w:tr>
      <w:tr>
        <w:tc>
          <w:tcPr>
            <w:tcW w:type="dxa" w:w="181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q_ij≠0</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в каждой карте есть ⊙_i</w:t>
            </w:r>
          </w:p>
        </w:tc>
        <w:tc>
          <w:tcPr>
            <w:tcW w:type="dxa" w:w="283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глобальной операции нет</w:t>
            </w:r>
          </w:p>
        </w:tc>
        <w:tc>
          <w:tcPr>
            <w:tcW w:type="dxa" w:w="232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алгебраический слой требует отдельного descent</w:t>
            </w:r>
          </w:p>
        </w:tc>
      </w:tr>
      <w:tr>
        <w:tc>
          <w:tcPr>
            <w:tcW w:type="dxa" w:w="181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Ненулевой [z]∈H²</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локальные G_tilde-подъёмы существуют</w:t>
            </w:r>
          </w:p>
        </w:tc>
        <w:tc>
          <w:tcPr>
            <w:tcW w:type="dxa" w:w="283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глобальный подъём отсутствует</w:t>
            </w:r>
          </w:p>
        </w:tc>
        <w:tc>
          <w:tcPr>
            <w:tcW w:type="dxa" w:w="232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локальная разрешимость не устраняет глобальное препятствие</w:t>
            </w:r>
          </w:p>
        </w:tc>
      </w:tr>
    </w:tbl>
    <w:p>
      <w:pPr>
        <w:spacing w:after="40"/>
      </w:pPr>
    </w:p>
    <w:p>
      <w:pPr>
        <w:spacing w:after="100" w:line="278" w:lineRule="auto"/>
        <w:ind w:firstLine="0"/>
      </w:pPr>
      <w:r>
        <w:rPr>
          <w:rFonts w:ascii="Liberation Serif" w:hAnsi="Liberation Serif" w:eastAsia="Liberation Serif"/>
          <w:b/>
          <w:color w:val="17365D"/>
          <w:sz w:val="21"/>
        </w:rPr>
        <w:t>Пример 7.32. Möbius no-go.</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Лента Мёбиуса и цилиндр локально являются произведениями интервала и прямой. Различие заключено в transition function на перекрытии: +1 для цилиндра и -1 для Мёбиуса. Поэтому восстановление глобального объекта по одной локальной модели F невозможно без cocycle.</w:t>
      </w:r>
    </w:p>
    <w:p>
      <w:pPr>
        <w:spacing w:after="100" w:line="278" w:lineRule="auto"/>
        <w:ind w:firstLine="0"/>
      </w:pPr>
      <w:r>
        <w:rPr>
          <w:rFonts w:ascii="Liberation Serif" w:hAnsi="Liberation Serif" w:eastAsia="Liberation Serif"/>
          <w:b/>
          <w:color w:val="17365D"/>
          <w:sz w:val="21"/>
        </w:rPr>
        <w:t>Пример 7.33. Ассоциаторный rank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Пусть локальные алгебры A_t имеют матрицу ассоциатора M_Ass(t), а переходы сохраняют операцию. На области, где ранг M_Ass(t) постоянен и bundle descent эффективен, ядровые подрасслоения имеют постоянный ранг. Изменение ранга возможно только на детерминантном локусе главы 5 или при потере operation descent.</w:t>
      </w:r>
    </w:p>
    <w:p>
      <w:pPr>
        <w:pStyle w:val="Heading1"/>
        <w:keepNext/>
      </w:pPr>
      <w:r>
        <w:t>43. Вычислительный сертификат глобализации v0.5</w:t>
      </w:r>
    </w:p>
    <w:p>
      <w:pPr>
        <w:pStyle w:val="Heading2"/>
        <w:keepNext/>
      </w:pPr>
      <w:r>
        <w:t>43.1. Объекты данных</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09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600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Минимальные поля сертификата</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ATLAS-01</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карта U_i</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domain_id, coordinate_map, model_id, version, hash</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TRANS-02</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переход φ_ij</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source, target, overlap, inverse, regularity, matrix/algorithm</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COC-03</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тройная проверка</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i,j,k, residual φ_jk∘φ_ij-φ_ik, tolerance, exact flag</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OP-04</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q_ij, Dom_⊙, test vectors, symbolic certificate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REP-05</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Reper descent</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PGL2 witness, λ equality, Evidence-D transport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HDG-06</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Hodge descent</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orientation, SO witness, star commutator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OBS-07</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обструкции</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Π, Čech class, coefficient sheaf, proof object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SEC-08</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сечение</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sections, compatibility, global witness or blocker</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HOR-09</w:t>
            </w:r>
          </w:p>
        </w:tc>
        <w:tc>
          <w:tcPr>
            <w:tcW w:type="dxa" w:w="209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горизонт</w:t>
            </w:r>
          </w:p>
        </w:tc>
        <w:tc>
          <w:tcPr>
            <w:tcW w:type="dxa" w:w="600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Δ components, parameter interval, crossing certificate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09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воспроизводимость</w:t>
            </w:r>
          </w:p>
        </w:tc>
        <w:tc>
          <w:tcPr>
            <w:tcW w:type="dxa" w:w="600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 hash, data hash, environment, timestamp, independent run</w:t>
            </w:r>
          </w:p>
        </w:tc>
      </w:tr>
    </w:tbl>
    <w:p>
      <w:pPr>
        <w:spacing w:after="40"/>
      </w:pPr>
    </w:p>
    <w:p>
      <w:pPr>
        <w:pStyle w:val="Heading2"/>
        <w:keepNext/>
      </w:pPr>
      <w:r>
        <w:t>43.2. Автоматические тесты</w:t>
      </w:r>
    </w:p>
    <w:p>
      <w:pPr>
        <w:pStyle w:val="ListBullet"/>
        <w:spacing w:after="50" w:line="264" w:lineRule="auto"/>
      </w:pPr>
      <w:r>
        <w:rPr>
          <w:rFonts w:ascii="Liberation Serif" w:hAnsi="Liberation Serif" w:eastAsia="Liberation Serif"/>
          <w:sz w:val="20"/>
        </w:rPr>
        <w:t>TEST-ATLAS-01: покрытие X локальными картами и отсутствие непомеченных областей;</w:t>
      </w:r>
    </w:p>
    <w:p>
      <w:pPr>
        <w:pStyle w:val="ListBullet"/>
        <w:spacing w:after="50" w:line="264" w:lineRule="auto"/>
      </w:pPr>
      <w:r>
        <w:rPr>
          <w:rFonts w:ascii="Liberation Serif" w:hAnsi="Liberation Serif" w:eastAsia="Liberation Serif"/>
          <w:sz w:val="20"/>
        </w:rPr>
        <w:t>TEST-INV-02: φ_ji∘φ_ij=id на каждом двойном перекрытии;</w:t>
      </w:r>
    </w:p>
    <w:p>
      <w:pPr>
        <w:pStyle w:val="ListBullet"/>
        <w:spacing w:after="50" w:line="264" w:lineRule="auto"/>
      </w:pPr>
      <w:r>
        <w:rPr>
          <w:rFonts w:ascii="Liberation Serif" w:hAnsi="Liberation Serif" w:eastAsia="Liberation Serif"/>
          <w:sz w:val="20"/>
        </w:rPr>
        <w:t>TEST-COC-03: φ_jk∘φ_ij=φ_ik на каждом тройном перекрытии;</w:t>
      </w:r>
    </w:p>
    <w:p>
      <w:pPr>
        <w:pStyle w:val="ListBullet"/>
        <w:spacing w:after="50" w:line="264" w:lineRule="auto"/>
      </w:pPr>
      <w:r>
        <w:rPr>
          <w:rFonts w:ascii="Liberation Serif" w:hAnsi="Liberation Serif" w:eastAsia="Liberation Serif"/>
          <w:sz w:val="20"/>
        </w:rPr>
        <w:t>TEST-REF-04: инвариантность результата при refinement покрытия;</w:t>
      </w:r>
    </w:p>
    <w:p>
      <w:pPr>
        <w:pStyle w:val="ListBullet"/>
        <w:spacing w:after="50" w:line="264" w:lineRule="auto"/>
      </w:pPr>
      <w:r>
        <w:rPr>
          <w:rFonts w:ascii="Liberation Serif" w:hAnsi="Liberation Serif" w:eastAsia="Liberation Serif"/>
          <w:sz w:val="20"/>
        </w:rPr>
        <w:t>TEST-OP-05: q_ij=0 и сохранение Dom_⊙;</w:t>
      </w:r>
    </w:p>
    <w:p>
      <w:pPr>
        <w:pStyle w:val="ListBullet"/>
        <w:spacing w:after="50" w:line="264" w:lineRule="auto"/>
      </w:pPr>
      <w:r>
        <w:rPr>
          <w:rFonts w:ascii="Liberation Serif" w:hAnsi="Liberation Serif" w:eastAsia="Liberation Serif"/>
          <w:sz w:val="20"/>
        </w:rPr>
        <w:t>TEST-ASS-06: естественность Ass и согласование J_Ass;</w:t>
      </w:r>
    </w:p>
    <w:p>
      <w:pPr>
        <w:pStyle w:val="ListBullet"/>
        <w:spacing w:after="50" w:line="264" w:lineRule="auto"/>
      </w:pPr>
      <w:r>
        <w:rPr>
          <w:rFonts w:ascii="Liberation Serif" w:hAnsi="Liberation Serif" w:eastAsia="Liberation Serif"/>
          <w:sz w:val="20"/>
        </w:rPr>
        <w:t>TEST-PGL-07: переходные карты Reper представлены PGL₂ и сохраняют λ;</w:t>
      </w:r>
    </w:p>
    <w:p>
      <w:pPr>
        <w:pStyle w:val="ListBullet"/>
        <w:spacing w:after="50" w:line="264" w:lineRule="auto"/>
      </w:pPr>
      <w:r>
        <w:rPr>
          <w:rFonts w:ascii="Liberation Serif" w:hAnsi="Liberation Serif" w:eastAsia="Liberation Serif"/>
          <w:sz w:val="20"/>
        </w:rPr>
        <w:t>TEST-D-08: Evidence-D transport обратим и имеет provenance hash;</w:t>
      </w:r>
    </w:p>
    <w:p>
      <w:pPr>
        <w:pStyle w:val="ListBullet"/>
        <w:spacing w:after="50" w:line="264" w:lineRule="auto"/>
      </w:pPr>
      <w:r>
        <w:rPr>
          <w:rFonts w:ascii="Liberation Serif" w:hAnsi="Liberation Serif" w:eastAsia="Liberation Serif"/>
          <w:sz w:val="20"/>
        </w:rPr>
        <w:t>TEST-HDG-09: переходы сохраняют метрику и ориентацию либо активирован orientation local system;</w:t>
      </w:r>
    </w:p>
    <w:p>
      <w:pPr>
        <w:pStyle w:val="ListBullet"/>
        <w:spacing w:after="50" w:line="264" w:lineRule="auto"/>
      </w:pPr>
      <w:r>
        <w:rPr>
          <w:rFonts w:ascii="Liberation Serif" w:hAnsi="Liberation Serif" w:eastAsia="Liberation Serif"/>
          <w:sz w:val="20"/>
        </w:rPr>
        <w:t>TEST-OBS-10: внутренний и внешний obstruction channels не смешаны;</w:t>
      </w:r>
    </w:p>
    <w:p>
      <w:pPr>
        <w:pStyle w:val="ListBullet"/>
        <w:spacing w:after="50" w:line="264" w:lineRule="auto"/>
      </w:pPr>
      <w:r>
        <w:rPr>
          <w:rFonts w:ascii="Liberation Serif" w:hAnsi="Liberation Serif" w:eastAsia="Liberation Serif"/>
          <w:sz w:val="20"/>
        </w:rPr>
        <w:t>TEST-SEC-11: локальные секции согласованы и образуют глобальный witness;</w:t>
      </w:r>
    </w:p>
    <w:p>
      <w:pPr>
        <w:pStyle w:val="ListBullet"/>
        <w:spacing w:after="50" w:line="264" w:lineRule="auto"/>
      </w:pPr>
      <w:r>
        <w:rPr>
          <w:rFonts w:ascii="Liberation Serif" w:hAnsi="Liberation Serif" w:eastAsia="Liberation Serif"/>
          <w:sz w:val="20"/>
        </w:rPr>
        <w:t>TEST-GATE-12: любой ненулевой blocker принудительно возвращает ABSTAIN;</w:t>
      </w:r>
    </w:p>
    <w:p>
      <w:pPr>
        <w:pStyle w:val="ListBullet"/>
        <w:spacing w:after="50" w:line="264" w:lineRule="auto"/>
      </w:pPr>
      <w:r>
        <w:rPr>
          <w:rFonts w:ascii="Liberation Serif" w:hAnsi="Liberation Serif" w:eastAsia="Liberation Serif"/>
          <w:sz w:val="20"/>
        </w:rPr>
        <w:t>TEST-HOMO-13: endpoints непрерывной admissible family имеют одинаковый discrete bundle profile;</w:t>
      </w:r>
    </w:p>
    <w:p>
      <w:pPr>
        <w:pStyle w:val="ListBullet"/>
        <w:spacing w:after="50" w:line="264" w:lineRule="auto"/>
      </w:pPr>
      <w:r>
        <w:rPr>
          <w:rFonts w:ascii="Liberation Serif" w:hAnsi="Liberation Serif" w:eastAsia="Liberation Serif"/>
          <w:sz w:val="20"/>
        </w:rPr>
        <w:t>TEST-HASH-14: контрольные хеши кода, данных, cocycle и отчёта совпадают.</w:t>
      </w:r>
    </w:p>
    <w:p>
      <w:pPr>
        <w:pStyle w:val="Heading2"/>
        <w:keepNext/>
      </w:pPr>
      <w:r>
        <w:t>43.3.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cover U, local objects E_i, transitions phi_ij, candidates s_i</w:t>
              <w:br/>
              <w:t>1. verify cover, inverses, triple cocycles and effective descent; else ABSTAIN</w:t>
              <w:br/>
              <w:t>2. test operation/associator, PGL2-lambda, Hodge, Evidence-D and obstructions</w:t>
              <w:br/>
              <w:t>3. glue local sections; if no global witness, return ABSTAIN(B_sec)</w:t>
              <w:br/>
              <w:t>4. Delta_total := Delta_alg union Delta_geo union Delta_glue</w:t>
              <w:br/>
              <w:t>5. if path avoids Delta_total: return NO-DISCRETE-STRUCTURAL-CHANGE-IN-MODEL</w:t>
              <w:br/>
              <w:t>6. if every gate and criterion(lambda,Pi,D,Dom) pass: GLOBAL-CANDIDATE; else UNRESOLVED.</w:t>
            </w:r>
          </w:p>
        </w:tc>
      </w:tr>
    </w:tbl>
    <w:p>
      <w:pPr>
        <w:spacing w:after="40"/>
      </w:pPr>
    </w:p>
    <w:p>
      <w:pPr>
        <w:pStyle w:val="Heading1"/>
        <w:keepNext/>
      </w:pPr>
      <w:r>
        <w:t>44. Теоремный пакет и доказательные обязательства v0.5</w:t>
      </w:r>
    </w:p>
    <w:p>
      <w:pPr>
        <w:pStyle w:val="Heading2"/>
        <w:keepNext/>
      </w:pPr>
      <w:r>
        <w:t>44.1.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19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T7.4</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необходимость ассоциативного groupoid переходов</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определение склейки</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глобальность λ в PGL₂-атласе</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v0.2</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склейка NAPG-расслоения</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topological Aut_NAPG(F)</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T7.12</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операции и ассоциатора</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operation-preserving transitions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T7.15</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двойной спуск Reper/Evidence-D</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provenance functor</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T7.17</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спуск Hodge star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metric + orientation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T7.19</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центральный H² obstruction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Čech effectiveness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клеточная башня section obstructions</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CW + local coefficients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T7.23</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homotopy constancy bundle class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numerable bundle</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T7.26</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локализация перехода на Δ_total</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v0.3-v0.5</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T7.30</w:t>
            </w:r>
          </w:p>
        </w:tc>
        <w:tc>
          <w:tcPr>
            <w:tcW w:type="dxa" w:w="419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запрет локально-глобальной подмены</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definition of section</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T7.31</w:t>
            </w:r>
          </w:p>
        </w:tc>
        <w:tc>
          <w:tcPr>
            <w:tcW w:type="dxa" w:w="419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globalization-safe predictive transport</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H1-H8</w:t>
            </w:r>
          </w:p>
        </w:tc>
      </w:tr>
    </w:tbl>
    <w:p>
      <w:pPr>
        <w:spacing w:after="40"/>
      </w:pPr>
    </w:p>
    <w:p>
      <w:pPr>
        <w:pStyle w:val="Heading2"/>
        <w:keepNext/>
        <w:pageBreakBefore/>
      </w:pPr>
      <w:r>
        <w:t>44.2.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2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Топология/гладкость Aut_NAPG(F) для модельных волокон</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построить для A₂, M₂ и octonion layer</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T2-PO-028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Effective descent категории NAPG_q</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stack/pseudofunctor и доказать effectiveness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T2-PO-029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Cocycle gluing theorem</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7.9</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No-go для неассоциативной композиции переходов</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T2-PO-031</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операции и J_Ass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T2-PO-032</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Глобальность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7.6</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T2-PO-033</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Спуск Evidence-D</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формализовать provenance category</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T2-PO-034</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Спуск Hodge star</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7.17</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T2-PO-035</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Центральный lifting obstruction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7.19; выбрать конкретный Z</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T2-PO-036</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Связь 𝒪_B с Čech obstruction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не отождествлять; построить natural transformation</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T2-PO-037</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Section obstruction tower для predictive bundle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задать волокно F и π_k(F)</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T2-PO-038</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Homotopy constancy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7.23</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T2-PO-039</w:t>
            </w:r>
          </w:p>
        </w:tc>
        <w:tc>
          <w:tcPr>
            <w:tcW w:type="dxa" w:w="4025"/>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Вычислительный atlas/cocycle certificate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реализовать TEST-ATLAS-01 - TEST-HASH-14</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T2-PO-040</w:t>
            </w:r>
          </w:p>
        </w:tc>
        <w:tc>
          <w:tcPr>
            <w:tcW w:type="dxa" w:w="4025"/>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Independent global prediction run</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после доменного адаптера; статус не повышать</w:t>
            </w:r>
          </w:p>
        </w:tc>
      </w:tr>
    </w:tbl>
    <w:p>
      <w:pPr>
        <w:spacing w:after="40"/>
      </w:pPr>
    </w:p>
    <w:p>
      <w:pPr>
        <w:pStyle w:val="Heading1"/>
        <w:keepNext/>
      </w:pPr>
      <w:r>
        <w:t>45. Библиографическая синхронизация и контрольная точка v0.5</w:t>
      </w:r>
    </w:p>
    <w:p>
      <w:pPr>
        <w:pStyle w:val="Heading2"/>
        <w:keepNext/>
      </w:pPr>
      <w:r>
        <w:t>45.1. Первичные и канонические источники</w:t>
      </w:r>
    </w:p>
    <w:p>
      <w:pPr>
        <w:spacing w:after="60"/>
        <w:ind w:firstLine="0"/>
      </w:pPr>
      <w:r>
        <w:rPr>
          <w:rFonts w:ascii="Liberation Serif" w:hAnsi="Liberation Serif" w:eastAsia="Liberation Serif"/>
          <w:sz w:val="19"/>
        </w:rPr>
        <w:t>[V0.5-1] Steenrod, N. E. The Topology of Fibre Bundles. Princeton Mathematical Series 14. Princeton University Press, 1951.</w:t>
      </w:r>
    </w:p>
    <w:p>
      <w:pPr>
        <w:spacing w:after="60"/>
        <w:ind w:firstLine="0"/>
      </w:pPr>
      <w:r>
        <w:rPr>
          <w:rFonts w:ascii="Liberation Serif" w:hAnsi="Liberation Serif" w:eastAsia="Liberation Serif"/>
          <w:sz w:val="19"/>
        </w:rPr>
        <w:t>[V0.5-2] Husemoller, D. Fibre Bundles. 3rd ed. Graduate Texts in Mathematics 20. Springer, 1994.</w:t>
      </w:r>
    </w:p>
    <w:p>
      <w:pPr>
        <w:spacing w:after="60"/>
        <w:ind w:firstLine="0"/>
      </w:pPr>
      <w:r>
        <w:rPr>
          <w:rFonts w:ascii="Liberation Serif" w:hAnsi="Liberation Serif" w:eastAsia="Liberation Serif"/>
          <w:sz w:val="19"/>
        </w:rPr>
        <w:t xml:space="preserve">[V0.5-3] Hatcher, A. Vector Bundles and K-Theory, Version 2.2, 2017. </w:t>
      </w:r>
      <w:hyperlink r:id="rId30">
        <w:r>
          <w:rPr>
            <w:color w:val="2F5597"/>
            <w:u w:val="single"/>
          </w:rPr>
          <w:t>[источник]</w:t>
        </w:r>
      </w:hyperlink>
    </w:p>
    <w:p>
      <w:pPr>
        <w:spacing w:after="60"/>
        <w:ind w:firstLine="0"/>
      </w:pPr>
      <w:r>
        <w:rPr>
          <w:rFonts w:ascii="Liberation Serif" w:hAnsi="Liberation Serif" w:eastAsia="Liberation Serif"/>
          <w:sz w:val="19"/>
        </w:rPr>
        <w:t xml:space="preserve">[V0.5-4] May, J. P. Classical Groups and Bundle Theory, Chapter I. </w:t>
      </w:r>
      <w:hyperlink r:id="rId31">
        <w:r>
          <w:rPr>
            <w:color w:val="2F5597"/>
            <w:u w:val="single"/>
          </w:rPr>
          <w:t>[источник]</w:t>
        </w:r>
      </w:hyperlink>
    </w:p>
    <w:p>
      <w:pPr>
        <w:spacing w:after="60"/>
        <w:ind w:firstLine="0"/>
      </w:pPr>
      <w:r>
        <w:rPr>
          <w:rFonts w:ascii="Liberation Serif" w:hAnsi="Liberation Serif" w:eastAsia="Liberation Serif"/>
          <w:sz w:val="19"/>
        </w:rPr>
        <w:t xml:space="preserve">[V0.5-5] The Stacks Project, Tag 02ZC: Descent data in fibred categories. </w:t>
      </w:r>
      <w:hyperlink r:id="rId32">
        <w:r>
          <w:rPr>
            <w:color w:val="2F5597"/>
            <w:u w:val="single"/>
          </w:rPr>
          <w:t>[источник]</w:t>
        </w:r>
      </w:hyperlink>
    </w:p>
    <w:p>
      <w:pPr>
        <w:spacing w:after="60"/>
        <w:ind w:firstLine="0"/>
      </w:pPr>
      <w:r>
        <w:rPr>
          <w:rFonts w:ascii="Liberation Serif" w:hAnsi="Liberation Serif" w:eastAsia="Liberation Serif"/>
          <w:sz w:val="19"/>
        </w:rPr>
        <w:t xml:space="preserve">[V0.5-6] The Stacks Project, Tag 0CJZ: Second cohomology and gerbes. </w:t>
      </w:r>
      <w:hyperlink r:id="rId33">
        <w:r>
          <w:rPr>
            <w:color w:val="2F5597"/>
            <w:u w:val="single"/>
          </w:rPr>
          <w:t>[источник]</w:t>
        </w:r>
      </w:hyperlink>
    </w:p>
    <w:p>
      <w:pPr>
        <w:spacing w:after="60"/>
        <w:ind w:firstLine="0"/>
      </w:pPr>
      <w:r>
        <w:rPr>
          <w:rFonts w:ascii="Liberation Serif" w:hAnsi="Liberation Serif" w:eastAsia="Liberation Serif"/>
          <w:sz w:val="19"/>
        </w:rPr>
        <w:t xml:space="preserve">[V0.5-7] Hermann, R. Obstruction theory for fibre spaces. Illinois Journal of Mathematics 4 (1960). DOI 10.1215/ijm/1255455733. </w:t>
      </w:r>
      <w:hyperlink r:id="rId34">
        <w:r>
          <w:rPr>
            <w:color w:val="2F5597"/>
            <w:u w:val="single"/>
          </w:rPr>
          <w:t>[источник]</w:t>
        </w:r>
      </w:hyperlink>
    </w:p>
    <w:p>
      <w:pPr>
        <w:spacing w:after="60"/>
        <w:ind w:firstLine="0"/>
      </w:pPr>
      <w:r>
        <w:rPr>
          <w:rFonts w:ascii="Liberation Serif" w:hAnsi="Liberation Serif" w:eastAsia="Liberation Serif"/>
          <w:sz w:val="19"/>
        </w:rPr>
        <w:t>[V0.5-8] Kurpishev, I. B. Базовый проект KLT-RBD. Том I v197 RU; Том II T2-RP-v0.1-v0.4.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определения fibre bundle, principal bundle, transition cocycle, effective descent, characteristic/obstruction classes и homotopy invariance относятся к prior art. Авторская линия v0.5 состоит в их типизированном соединении с NAPG_q, R-star-R, Reper(R,I,U;D), Evidence-D, проективно-гармоническим λ-слоем, blocker-safe глобализационным горизонтом и предсказательным шлюзом KLT-RBD. Эта архитектура остаётся предметом дальнейшего доказательного и вычислительного развития.</w:t>
            </w:r>
          </w:p>
        </w:tc>
      </w:tr>
    </w:tbl>
    <w:p>
      <w:pPr>
        <w:spacing w:after="40"/>
      </w:pPr>
    </w:p>
    <w:p>
      <w:pPr>
        <w:pStyle w:val="Heading2"/>
        <w:keepNext/>
      </w:pPr>
      <w:r>
        <w:t>45.2. Контрольная точка T2-RP-v0.5</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tom2_v0_4.docx + tom2_v0_4.pdf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7: atlases, bundles, descent, globalization obstructions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T2-PO-029, 030, 031, 032, 034, 038; локально 035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T2-PO-027, 028, 033, 036, 037, 039, 040</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T2-RP-v0.6: касательные и кокасательные объекты, деривации и область гладкости</w:t>
            </w:r>
          </w:p>
        </w:tc>
      </w:tr>
    </w:tbl>
    <w:p>
      <w:pPr>
        <w:spacing w:after="40"/>
      </w:pPr>
    </w:p>
    <w:p>
      <w:pPr>
        <w:pStyle w:val="Small"/>
        <w:spacing w:after="100" w:line="278" w:lineRule="auto"/>
        <w:jc w:val="center"/>
      </w:pPr>
      <w:r>
        <w:rPr>
          <w:rFonts w:ascii="Liberation Serif" w:hAnsi="Liberation Serif" w:eastAsia="Liberation Serif"/>
          <w:sz w:val="21"/>
        </w:rPr>
        <w:t>checkpoint=T2-RP-v0.5; source=T2-RP-v0.4; truth_layer_promotion=0; next=T2-RP-v0.6.</w:t>
      </w:r>
    </w:p>
    <w:p>
      <w:r>
        <w:br w:type="page"/>
      </w:r>
    </w:p>
    <w:p>
      <w:pPr>
        <w:pStyle w:val="Heading1"/>
        <w:keepNext/>
        <w:jc w:val="center"/>
      </w:pPr>
      <w:r>
        <w:rPr>
          <w:rFonts w:ascii="Liberation Sans" w:hAnsi="Liberation Sans" w:eastAsia="Liberation Sans"/>
          <w:b/>
          <w:color w:val="17365D"/>
          <w:sz w:val="36"/>
        </w:rPr>
        <w:t>ЧАСТЬ VI. КАСАТЕЛЬНЫЕ И КОКАСАТЕЛЬНЫЕ ОБЪЕКТЫ NAPG v0.6</w:t>
      </w:r>
    </w:p>
    <w:p>
      <w:pPr>
        <w:pStyle w:val="Small"/>
        <w:jc w:val="center"/>
      </w:pPr>
      <w:r>
        <w:rPr>
          <w:rFonts w:ascii="Liberation Serif" w:hAnsi="Liberation Serif" w:eastAsia="Liberation Serif"/>
          <w:color w:val="5B6573"/>
          <w:sz w:val="19"/>
        </w:rPr>
        <w:t>Контрольная точка T2-RP-v0.6 · углубление главы 8 · источник: T2-RP-v0.5</w:t>
      </w:r>
    </w:p>
    <w:p>
      <w:pPr>
        <w:pStyle w:val="Heading1"/>
        <w:keepNext/>
      </w:pPr>
      <w:r>
        <w:t>46. Паспорт углубления v0.6</w:t>
      </w:r>
    </w:p>
    <w:p>
      <w:pPr>
        <w:pStyle w:val="Lead"/>
        <w:spacing w:after="100" w:line="278" w:lineRule="auto"/>
      </w:pPr>
      <w:r>
        <w:rPr>
          <w:rFonts w:ascii="Liberation Serif" w:hAnsi="Liberation Serif" w:eastAsia="Liberation Serif"/>
          <w:sz w:val="21"/>
        </w:rPr>
        <w:t>Цель редакции v0.6 - определить, какие локальные изменения NAPG-объекта являются лишь формальными первопорядковыми направлениями, какие принадлежат касательному конусу, какие проходят второпорядковое препятствие и какие действительно реализуются допустимой дугой. Одновременно строится кокасательный язык ограничений, позволяющий вычислять ранг, сингулярный локус и предел применимости линейного прогноза.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Онтологический блок главы 8</w:t>
            </w:r>
          </w:p>
          <w:p>
            <w:pPr>
              <w:spacing w:after="0" w:line="269" w:lineRule="auto"/>
            </w:pPr>
            <w:r>
              <w:rPr>
                <w:rFonts w:ascii="Liberation Serif" w:hAnsi="Liberation Serif" w:eastAsia="Liberation Serif"/>
                <w:color w:val="27313F"/>
                <w:sz w:val="20"/>
              </w:rPr>
              <w:t>Касательный объект не является уменьшенной копией пространства. Он фиксирует выбранный режим становления объекта: кривые, дуальные числа, деривации, идеалы или формальные деформации. На гладком слое эти режимы могут совпасть; на сингулярном они расходятся, показывая, что «ближайшее возможное» зависит от уровня структуры.</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Гносеологический блок главы 8</w:t>
            </w:r>
          </w:p>
          <w:p>
            <w:pPr>
              <w:spacing w:after="0" w:line="269" w:lineRule="auto"/>
            </w:pPr>
            <w:r>
              <w:rPr>
                <w:rFonts w:ascii="Liberation Serif" w:hAnsi="Liberation Serif" w:eastAsia="Liberation Serif"/>
                <w:color w:val="27313F"/>
                <w:sz w:val="20"/>
              </w:rPr>
              <w:t>Первая производная сообщает только то, что не запрещено линейной частью уравнений. Она не гарантирует существования траектории. Поэтому знание о направлении обязано иметь паспорт: линейный witness, tangent-cone witness, obstruction witness и, наконец, arc witness. Пропуск одного слоя создаёт ложную уверенность, которой в человеческих прогнозах и без математики хватает с избытком.</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E2F0D9"/>
            <w:tcMar>
              <w:top w:w="150" w:type="dxa"/>
              <w:start w:w="180" w:type="dxa"/>
              <w:bottom w:w="150" w:type="dxa"/>
              <w:end w:w="180" w:type="dxa"/>
            </w:tcMar>
            <w:vAlign w:val="center"/>
          </w:tcPr>
          <w:p>
            <w:pPr>
              <w:spacing w:after="60"/>
            </w:pPr>
            <w:r>
              <w:rPr>
                <w:rFonts w:ascii="Liberation Sans" w:hAnsi="Liberation Sans" w:eastAsia="Liberation Sans"/>
                <w:b/>
                <w:color w:val="375623"/>
                <w:sz w:val="21"/>
              </w:rPr>
              <w:t>Феноменологический блок главы 8</w:t>
            </w:r>
          </w:p>
          <w:p>
            <w:pPr>
              <w:spacing w:after="0" w:line="269" w:lineRule="auto"/>
            </w:pPr>
            <w:r>
              <w:rPr>
                <w:rFonts w:ascii="Liberation Serif" w:hAnsi="Liberation Serif" w:eastAsia="Liberation Serif"/>
                <w:color w:val="27313F"/>
                <w:sz w:val="20"/>
              </w:rPr>
              <w:t>Касательная структура описывает ближайшие способы продолжения состояния. Кокасательная структура описывает ближайшие способы его различения ограничениями и измеримыми функциями. Их сопряжение превращает переживаемую возможность изменения в вычислимую пару «направление - чувствительный функционал».</w:t>
            </w:r>
          </w:p>
        </w:tc>
      </w:tr>
    </w:tbl>
    <w:p>
      <w:pPr>
        <w:spacing w:after="40"/>
      </w:pP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Ограничительный блок главы 8</w:t>
            </w:r>
          </w:p>
          <w:p>
            <w:pPr>
              <w:spacing w:after="0" w:line="269" w:lineRule="auto"/>
            </w:pPr>
            <w:r>
              <w:rPr>
                <w:rFonts w:ascii="Liberation Serif" w:hAnsi="Liberation Serif" w:eastAsia="Liberation Serif"/>
                <w:color w:val="27313F"/>
                <w:sz w:val="20"/>
              </w:rPr>
              <w:t>Том II не отождествляет Zariski tangent space с множеством реальных траекторий, tangent и cotangent без дополнительной метрики, а формальную деформацию - с физическим событием. Любая интегрируемость, гладкость и предсказательная интерпретация действует только в указанном Dom и при закрытых obstruction channels.</w:t>
            </w:r>
          </w:p>
        </w:tc>
      </w:tr>
    </w:tbl>
    <w:p>
      <w:pPr>
        <w:spacing w:after="40"/>
      </w:pP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96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Уровень</w:t>
            </w:r>
          </w:p>
        </w:tc>
        <w:tc>
          <w:tcPr>
            <w:tcW w:type="dxa" w:w="232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30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Что он проверяет</w:t>
            </w:r>
          </w:p>
        </w:tc>
        <w:tc>
          <w:tcPr>
            <w:tcW w:type="dxa" w:w="289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Типичный дефект</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T0</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 derivation tangent</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первый порядок</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содержать неинтегрируемые направления</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T1</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Zariski tangent space</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линейную часть уравнений</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раздувается в сингулярной точке</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T2</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tangent cone</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старшие начальные члены</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быть нелинейным и не приведённым</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T3</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second-order admissibility</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квадратичное препятствие</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требует решения уравнения для второго коэффициента</w:t>
            </w:r>
          </w:p>
        </w:tc>
      </w:tr>
      <w:tr>
        <w:tc>
          <w:tcPr>
            <w:tcW w:type="dxa" w:w="96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T4</w:t>
            </w:r>
          </w:p>
        </w:tc>
        <w:tc>
          <w:tcPr>
            <w:tcW w:type="dxa" w:w="2324"/>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actual admissible arc</w:t>
            </w:r>
          </w:p>
        </w:tc>
        <w:tc>
          <w:tcPr>
            <w:tcW w:type="dxa" w:w="30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реализуемую локальную эволюцию</w:t>
            </w:r>
          </w:p>
        </w:tc>
        <w:tc>
          <w:tcPr>
            <w:tcW w:type="dxa" w:w="289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может отсутствовать при наличии формального вектора</w:t>
            </w:r>
          </w:p>
        </w:tc>
      </w:tr>
      <w:tr>
        <w:tc>
          <w:tcPr>
            <w:tcW w:type="dxa" w:w="96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w:t>
            </w:r>
          </w:p>
        </w:tc>
        <w:tc>
          <w:tcPr>
            <w:tcW w:type="dxa" w:w="2324"/>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cotangent/conormal object</w:t>
            </w:r>
          </w:p>
        </w:tc>
        <w:tc>
          <w:tcPr>
            <w:tcW w:type="dxa" w:w="30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ограничения и чувствительность</w:t>
            </w:r>
          </w:p>
        </w:tc>
        <w:tc>
          <w:tcPr>
            <w:tcW w:type="dxa" w:w="289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не тождествен tangent без дополнительной структуры</w:t>
            </w:r>
          </w:p>
        </w:tc>
      </w:tr>
    </w:tbl>
    <w:p>
      <w:pPr>
        <w:spacing w:after="40"/>
      </w:pPr>
    </w:p>
    <w:p>
      <w:pPr>
        <w:pStyle w:val="Heading1"/>
        <w:keepNext/>
      </w:pPr>
      <w:r>
        <w:t>47. Четыре конструкции касательного объекта</w:t>
      </w:r>
    </w:p>
    <w:p>
      <w:pPr>
        <w:pStyle w:val="Heading2"/>
        <w:keepNext/>
      </w:pPr>
      <w:r>
        <w:t>47.1. Дуальные числа и функтор точек</w:t>
      </w:r>
    </w:p>
    <w:p>
      <w:pPr>
        <w:spacing w:after="100" w:line="278" w:lineRule="auto"/>
        <w:ind w:firstLine="0"/>
      </w:pPr>
      <w:r>
        <w:rPr>
          <w:rFonts w:ascii="Liberation Serif" w:hAnsi="Liberation Serif" w:eastAsia="Liberation Serif"/>
          <w:b/>
          <w:color w:val="17365D"/>
          <w:sz w:val="21"/>
        </w:rPr>
        <w:t>Определение 8.1. Dual-number tangent.</w:t>
      </w:r>
      <w:r>
        <w:rPr>
          <w:rFonts w:ascii="Liberation Serif" w:hAnsi="Liberation Serif" w:eastAsia="Liberation Serif"/>
          <w:b/>
          <w:color w:val="2F7D32"/>
          <w:sz w:val="20"/>
        </w:rPr>
        <w:t xml:space="preserve"> [CL/DEF-A]</w:t>
      </w:r>
      <w:r>
        <w:rPr>
          <w:rFonts w:ascii="Liberation Serif" w:hAnsi="Liberation Serif" w:eastAsia="Liberation Serif"/>
          <w:sz w:val="21"/>
        </w:rPr>
        <w:t xml:space="preserve"> Пусть K - поле, K[ε]=K[ε]/(ε²), X - функтор точек и x∈X(K). Касательный функтор в x определяется как множество поднятий T_xX=ker(X(K[ε])→X(K)) над x. Векторная структура допускается только после проверки условий деформационного функтора.</w:t>
      </w:r>
    </w:p>
    <w:p>
      <w:pPr>
        <w:spacing w:after="100" w:line="278" w:lineRule="auto"/>
        <w:ind w:firstLine="0"/>
      </w:pPr>
      <w:r>
        <w:rPr>
          <w:rFonts w:ascii="Liberation Serif" w:hAnsi="Liberation Serif" w:eastAsia="Liberation Serif"/>
          <w:b/>
          <w:color w:val="17365D"/>
          <w:sz w:val="21"/>
        </w:rPr>
        <w:t>Лемма 8.2. Derivation representation.</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аффинного локального объекта A и K-рациональной точки x:A→K отображение A→K[ε], a↦x(a)+εD(a), является гомоморфизмом тогда и только тогда, когда D является K-деривацией относительно x. Следовательно, T_xX≅Der_K(A,K_x).</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Сравнение коэффициентов при ε в равенстве f(ab)=f(a)f(b) даёт D(ab)=x(a)D(b)+D(a)x(b). Обратное утверждение проверяется подстановкой; условие ε²=0 удаляет квадратичный член. □</w:t>
      </w:r>
    </w:p>
    <w:p>
      <w:pPr>
        <w:pStyle w:val="Heading2"/>
        <w:keepNext/>
      </w:pPr>
      <w:r>
        <w:t>47.2. Кривые и первый контакт</w:t>
      </w:r>
    </w:p>
    <w:p>
      <w:pPr>
        <w:spacing w:after="100" w:line="278" w:lineRule="auto"/>
        <w:ind w:firstLine="0"/>
      </w:pPr>
      <w:r>
        <w:rPr>
          <w:rFonts w:ascii="Liberation Serif" w:hAnsi="Liberation Serif" w:eastAsia="Liberation Serif"/>
          <w:b/>
          <w:color w:val="17365D"/>
          <w:sz w:val="21"/>
        </w:rPr>
        <w:t>Определение 8.3. Curve tangent.</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В гладком секторе две допустимые кривые γ₁,γ₂:(-η,η)→X с γ_i(0)=x эквивалентны, если их координатные производные в нуле совпадают в одной, а значит при гладких переходах - во всякой карте. Класс обозначается [γ]₁.</w:t>
      </w:r>
    </w:p>
    <w:p>
      <w:pPr>
        <w:spacing w:after="100" w:line="278" w:lineRule="auto"/>
        <w:ind w:firstLine="0"/>
      </w:pPr>
      <w:r>
        <w:rPr>
          <w:rFonts w:ascii="Liberation Serif" w:hAnsi="Liberation Serif" w:eastAsia="Liberation Serif"/>
          <w:b/>
          <w:color w:val="17365D"/>
          <w:sz w:val="21"/>
        </w:rPr>
        <w:t>Ограничение.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Для общего сингулярного, алгебраического или частично определённого NAPG-объекта определение через реальные кривые может зависеть от выбранного класса дуг и поля. Поэтому оно не принимается как универсальное без теоремы сравнения.</w:t>
      </w:r>
    </w:p>
    <w:p>
      <w:pPr>
        <w:pStyle w:val="Heading2"/>
        <w:keepNext/>
      </w:pPr>
      <w:r>
        <w:t>47.3. Кокасательный модуль и универсальная деривация</w:t>
      </w:r>
    </w:p>
    <w:p>
      <w:pPr>
        <w:spacing w:after="100" w:line="278" w:lineRule="auto"/>
        <w:ind w:firstLine="0"/>
      </w:pPr>
      <w:r>
        <w:rPr>
          <w:rFonts w:ascii="Liberation Serif" w:hAnsi="Liberation Serif" w:eastAsia="Liberation Serif"/>
          <w:b/>
          <w:color w:val="17365D"/>
          <w:sz w:val="21"/>
        </w:rPr>
        <w:t>Определение 8.4. Kähler cotangent module.</w:t>
      </w:r>
      <w:r>
        <w:rPr>
          <w:rFonts w:ascii="Liberation Serif" w:hAnsi="Liberation Serif" w:eastAsia="Liberation Serif"/>
          <w:b/>
          <w:color w:val="2F7D32"/>
          <w:sz w:val="20"/>
        </w:rPr>
        <w:t xml:space="preserve"> [CL/COND]</w:t>
      </w:r>
      <w:r>
        <w:rPr>
          <w:rFonts w:ascii="Liberation Serif" w:hAnsi="Liberation Serif" w:eastAsia="Liberation Serif"/>
          <w:sz w:val="21"/>
        </w:rPr>
        <w:t xml:space="preserve"> Для коммутативного координатного кольца A над K модуль Ω_{A/K} вместе с d:A→Ω_{A/K} универсален по отношению к K-деривациям: Der_K(A,M)≅Hom_A(Ω_{A/K},M). В NAPG этот объект используется для координатного commutative envelope; некоммутативный и неассоциативный дифференциальные модули задаются отдельно.</w:t>
      </w:r>
    </w:p>
    <w:p>
      <w:pPr>
        <w:spacing w:after="100" w:line="278" w:lineRule="auto"/>
        <w:ind w:firstLine="0"/>
      </w:pPr>
      <w:r>
        <w:rPr>
          <w:rFonts w:ascii="Liberation Serif" w:hAnsi="Liberation Serif" w:eastAsia="Liberation Serif"/>
          <w:b/>
          <w:color w:val="17365D"/>
          <w:sz w:val="21"/>
        </w:rPr>
        <w:t>Определение 8.5. Cotangent space at a rational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Если x имеет максимальный идеал m_x и κ(x)=K, то T_x^*X=m_x/m_x², а T_xX=Hom_K(m_x/m_x²,K). Для нерaциональной точки основание заменяется на κ(x), с учётом относительных дифференциалов.</w:t>
      </w:r>
    </w:p>
    <w:p>
      <w:pPr>
        <w:keepNext/>
        <w:jc w:val="center"/>
      </w:pPr>
      <w:r>
        <w:drawing>
          <wp:inline xmlns:a="http://schemas.openxmlformats.org/drawingml/2006/main" xmlns:pic="http://schemas.openxmlformats.org/drawingml/2006/picture">
            <wp:extent cx="5760720" cy="1908804"/>
            <wp:docPr id="18" name="Picture 18"/>
            <wp:cNvGraphicFramePr>
              <a:graphicFrameLocks noChangeAspect="1"/>
            </wp:cNvGraphicFramePr>
            <a:graphic>
              <a:graphicData uri="http://schemas.openxmlformats.org/drawingml/2006/picture">
                <pic:pic>
                  <pic:nvPicPr>
                    <pic:cNvPr id="0" name="fig14_tangent_compare.png"/>
                    <pic:cNvPicPr/>
                  </pic:nvPicPr>
                  <pic:blipFill>
                    <a:blip r:embed="rId35"/>
                    <a:stretch>
                      <a:fillRect/>
                    </a:stretch>
                  </pic:blipFill>
                  <pic:spPr>
                    <a:xfrm>
                      <a:off x="0" y="0"/>
                      <a:ext cx="5760720" cy="190880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14. Сравнение конструкций tangent/cotangent. Совпадение стрелок требует гипотез гладкости и конечности. Собственная схема Тома II.</w:t>
      </w:r>
    </w:p>
    <w:p>
      <w:pPr>
        <w:pStyle w:val="Heading1"/>
        <w:keepNext/>
      </w:pPr>
      <w:r>
        <w:t>48. Касательный конус и сингулярный сектор</w:t>
      </w:r>
    </w:p>
    <w:p>
      <w:pPr>
        <w:pStyle w:val="Heading2"/>
        <w:keepNext/>
      </w:pPr>
      <w:r>
        <w:t>48.1. Фильтрация максимального идеала</w:t>
      </w:r>
    </w:p>
    <w:p>
      <w:pPr>
        <w:spacing w:after="100" w:line="278" w:lineRule="auto"/>
        <w:ind w:firstLine="0"/>
      </w:pPr>
      <w:r>
        <w:rPr>
          <w:rFonts w:ascii="Liberation Serif" w:hAnsi="Liberation Serif" w:eastAsia="Liberation Serif"/>
          <w:b/>
          <w:color w:val="17365D"/>
          <w:sz w:val="21"/>
        </w:rPr>
        <w:t>Определение 8.6. Algebraic tangent cone.</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Для локального кольца (O_{X,x},m_x) касательный конус определяется градуированным кольцом gr_{m_x}O_{X,x}=⊕_{n≥0}m_x^n/m_x^{n+1}. Его спектр C_xX=Spec(gr_{m_x}O_{X,x}) удерживает начальные однородные члены локальных уравнений.</w:t>
      </w:r>
    </w:p>
    <w:p>
      <w:pPr>
        <w:spacing w:after="100" w:line="278" w:lineRule="auto"/>
        <w:ind w:firstLine="0"/>
      </w:pPr>
      <w:r>
        <w:rPr>
          <w:rFonts w:ascii="Liberation Serif" w:hAnsi="Liberation Serif" w:eastAsia="Liberation Serif"/>
          <w:b/>
          <w:color w:val="17365D"/>
          <w:sz w:val="21"/>
        </w:rPr>
        <w:t>Предложение 8.7. Cone-to-tangent inclusion.</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Приведённый носитель C_xX вкладывается в Zariski tangent space T_xX; линейная оболочка конуса может совпадать со всем T_xX. В гладкой точке конус является векторным пространством и совпадает с tangent space.</w:t>
      </w:r>
    </w:p>
    <w:p>
      <w:pPr>
        <w:pStyle w:val="Heading2"/>
        <w:keepNext/>
      </w:pPr>
      <w:r>
        <w:t>48.2. Контрпример: узел xy=0</w:t>
      </w:r>
    </w:p>
    <w:p>
      <w:pPr>
        <w:spacing w:after="100" w:line="278" w:lineRule="auto"/>
        <w:ind w:firstLine="0"/>
      </w:pPr>
      <w:r>
        <w:rPr>
          <w:rFonts w:ascii="Liberation Serif" w:hAnsi="Liberation Serif" w:eastAsia="Liberation Serif"/>
          <w:b/>
          <w:color w:val="17365D"/>
          <w:sz w:val="21"/>
        </w:rPr>
        <w:t>Пример 8.8. Node no-go.</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X⊂A² задано xy=0 и x₀=(0,0). Якобиан (y,x) в нуле равен нулю, поэтому Zariski tangent space есть вся A². Однако tangent cone совпадает с X: это объединение двух координатных осей. Для дуги (x(t),y(t)) с x(t)y(t)=0 первый ненулевой коэффициент обязан лежать на одной из осей. Следовательно, векторы (1,1) проходят линейный тест, но не являются скоростями допустимых аналитических дуг.</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Отрицательная теорема первого порядка</w:t>
            </w:r>
          </w:p>
          <w:p>
            <w:pPr>
              <w:spacing w:after="0" w:line="269" w:lineRule="auto"/>
            </w:pPr>
            <w:r>
              <w:rPr>
                <w:rFonts w:ascii="Liberation Serif" w:hAnsi="Liberation Serif" w:eastAsia="Liberation Serif"/>
                <w:color w:val="27313F"/>
                <w:sz w:val="20"/>
              </w:rPr>
              <w:t>В сингулярной точке условие v∈ker J(x) является только необходимым линейным тестом. Оно не является достаточным условием существования дуги и потому не может самостоятельно выдавать прогноз перехода.</w:t>
            </w:r>
          </w:p>
        </w:tc>
      </w:tr>
    </w:tbl>
    <w:p>
      <w:pPr>
        <w:spacing w:after="40"/>
      </w:pPr>
    </w:p>
    <w:p>
      <w:pPr>
        <w:pStyle w:val="Heading2"/>
        <w:keepNext/>
      </w:pPr>
      <w:r>
        <w:t>48.3. Неприведённость и скрытая толщина</w:t>
      </w:r>
    </w:p>
    <w:p>
      <w:pPr>
        <w:spacing w:after="100" w:line="278" w:lineRule="auto"/>
        <w:ind w:firstLine="0"/>
      </w:pPr>
      <w:r>
        <w:rPr>
          <w:rFonts w:ascii="Liberation Serif" w:hAnsi="Liberation Serif" w:eastAsia="Liberation Serif"/>
          <w:b/>
          <w:color w:val="17365D"/>
          <w:sz w:val="21"/>
        </w:rPr>
        <w:t>Пример 8.9. Dual-number point.</w:t>
      </w:r>
      <w:r>
        <w:rPr>
          <w:rFonts w:ascii="Liberation Serif" w:hAnsi="Liberation Serif" w:eastAsia="Liberation Serif"/>
          <w:b/>
          <w:color w:val="2F7D32"/>
          <w:sz w:val="20"/>
        </w:rPr>
        <w:t xml:space="preserve"> [CL]</w:t>
      </w:r>
      <w:r>
        <w:rPr>
          <w:rFonts w:ascii="Liberation Serif" w:hAnsi="Liberation Serif" w:eastAsia="Liberation Serif"/>
          <w:sz w:val="21"/>
        </w:rPr>
        <w:t xml:space="preserve"> Spec K[ε]/(ε²) имеет единственную топологическую точку, но одномерное касательное пространство. Топологический носитель не видит инфинитезимальную толщину. Поэтому восстановление NAPG-деформаций только по множеству точек или графу инцидентности неполно.</w:t>
      </w:r>
    </w:p>
    <w:p>
      <w:pPr>
        <w:pStyle w:val="Heading1"/>
        <w:keepNext/>
      </w:pPr>
      <w:r>
        <w:t>49. Линеаризация пространства операций NAPG</w:t>
      </w:r>
    </w:p>
    <w:p>
      <w:pPr>
        <w:pStyle w:val="Heading2"/>
        <w:keepNext/>
      </w:pPr>
      <w:r>
        <w:t>49.1. Коэффициентное пространство</w:t>
      </w:r>
    </w:p>
    <w:p>
      <w:pPr>
        <w:spacing w:after="100" w:line="278" w:lineRule="auto"/>
        <w:ind w:firstLine="0"/>
      </w:pPr>
      <w:r>
        <w:rPr>
          <w:rFonts w:ascii="Liberation Serif" w:hAnsi="Liberation Serif" w:eastAsia="Liberation Serif"/>
          <w:b/>
          <w:color w:val="17365D"/>
          <w:sz w:val="21"/>
        </w:rPr>
        <w:t>Определение 8.10. Ambient operation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A=⊕A^γ конечномерно над K. Пространство допустимых билинейных вариаций обозначим C²_adm(A,A)⊂Hom_K(A⊗A,A); оно учитывает градуировку, Dom_⊙ и замороженные структурные данные 𝔊. Множество NAPG-структур задаётся системой полиномиальных или гладких уравнений F(μ)=0 внутри открыто-замкнутого admissible sector U_adm.</w:t>
      </w:r>
    </w:p>
    <w:p>
      <w:pPr>
        <w:spacing w:before="60" w:after="140"/>
        <w:ind w:firstLine="0"/>
        <w:jc w:val="center"/>
      </w:pPr>
      <w:r>
        <w:rPr>
          <w:rFonts w:ascii="Cambria Math" w:hAnsi="Cambria Math" w:eastAsia="Cambria Math"/>
          <w:sz w:val="22"/>
        </w:rPr>
        <w:t>M_NAPG = { μ ∈ U_adm ⊂ C²_adm(A,A) : F(μ)=0 }.</w:t>
      </w:r>
    </w:p>
    <w:p>
      <w:pPr>
        <w:spacing w:after="100" w:line="278" w:lineRule="auto"/>
        <w:ind w:firstLine="0"/>
      </w:pPr>
      <w:r>
        <w:rPr>
          <w:rFonts w:ascii="Liberation Serif" w:hAnsi="Liberation Serif" w:eastAsia="Liberation Serif"/>
          <w:b/>
          <w:color w:val="17365D"/>
          <w:sz w:val="21"/>
        </w:rPr>
        <w:t>Определение 8.11. Linearized structure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μ∈M_NAPG положим Z²_NAPG(μ)=ker D F_μ. Это пространство формальных первопорядковых вариаций, сохраняющих выбранные уравнения до порядка t.</w:t>
      </w:r>
    </w:p>
    <w:p>
      <w:pPr>
        <w:pStyle w:val="Heading2"/>
        <w:keepNext/>
      </w:pPr>
      <w:r>
        <w:t>49.2. Линеаризация ассоциатора</w:t>
      </w:r>
    </w:p>
    <w:p>
      <w:pPr>
        <w:spacing w:after="100" w:line="278" w:lineRule="auto"/>
        <w:ind w:firstLine="0"/>
      </w:pPr>
      <w:r>
        <w:rPr>
          <w:rFonts w:ascii="Liberation Serif" w:hAnsi="Liberation Serif" w:eastAsia="Liberation Serif"/>
          <w:b/>
          <w:color w:val="17365D"/>
          <w:sz w:val="21"/>
        </w:rPr>
        <w:t>Теорема 8.12. Differential of the associator map.</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Для билинейных операций μ,ν и тройки (a,b,c) производная отображения Ass в μ по направлению ν равна</w:t>
      </w:r>
    </w:p>
    <w:p>
      <w:pPr>
        <w:spacing w:before="60" w:after="140"/>
        <w:ind w:firstLine="0"/>
        <w:jc w:val="center"/>
      </w:pPr>
      <w:r>
        <w:rPr>
          <w:rFonts w:ascii="Cambria Math" w:hAnsi="Cambria Math" w:eastAsia="Cambria Math"/>
          <w:sz w:val="22"/>
        </w:rPr>
        <w:t>D Ass_μ(ν)(a,b,c) = ν(μ(a,b),c)+μ(ν(a,b),c) - ν(a,μ(b,c)) - μ(a,ν(b,c)).</w:t>
      </w:r>
    </w:p>
    <w:p>
      <w:pPr>
        <w:spacing w:after="100" w:line="278" w:lineRule="auto"/>
        <w:ind w:firstLine="0"/>
      </w:pPr>
      <w:r>
        <w:rPr>
          <w:rFonts w:ascii="Liberation Serif" w:hAnsi="Liberation Serif" w:eastAsia="Liberation Serif"/>
          <w:b/>
          <w:color w:val="17365D"/>
          <w:sz w:val="21"/>
        </w:rPr>
        <w:t>Доказательство.</w:t>
      </w:r>
      <w:r>
        <w:rPr>
          <w:rFonts w:ascii="Liberation Serif" w:hAnsi="Liberation Serif" w:eastAsia="Liberation Serif"/>
          <w:sz w:val="21"/>
        </w:rPr>
        <w:t xml:space="preserve"> Раскрываем Ass_{μ+tν} и собираем коэффициент при t. Коэффициент при t² есть Ass_ν. Поэтому точная квадратичная формула имеет вид Ass_{μ+tν}=Ass_μ+t DAss_μ(ν)+t²Ass_ν. □</w:t>
      </w:r>
    </w:p>
    <w:p>
      <w:pPr>
        <w:spacing w:after="100" w:line="278" w:lineRule="auto"/>
        <w:ind w:firstLine="0"/>
      </w:pPr>
      <w:r>
        <w:rPr>
          <w:rFonts w:ascii="Liberation Serif" w:hAnsi="Liberation Serif" w:eastAsia="Liberation Serif"/>
          <w:b/>
          <w:color w:val="17365D"/>
          <w:sz w:val="21"/>
        </w:rPr>
        <w:t>Следствие 8.13. Associative tangent equation.</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Если μ ассоциативна, то первопорядковая ассоциативная деформация обязана удовлетворять DAss_μ(ν)=0. Для ассоциативной алгебры это совпадает с уравнением Hochschild 2-cocycle после фиксации принятой знаковой конвенции.</w:t>
      </w:r>
    </w:p>
    <w:p>
      <w:pPr>
        <w:pStyle w:val="Heading2"/>
        <w:keepNext/>
      </w:pPr>
      <w:r>
        <w:t>49.3. Инфинитезимальные замены базиса</w:t>
      </w:r>
    </w:p>
    <w:p>
      <w:pPr>
        <w:spacing w:after="100" w:line="278" w:lineRule="auto"/>
        <w:ind w:firstLine="0"/>
      </w:pPr>
      <w:r>
        <w:rPr>
          <w:rFonts w:ascii="Liberation Serif" w:hAnsi="Liberation Serif" w:eastAsia="Liberation Serif"/>
          <w:b/>
          <w:color w:val="17365D"/>
          <w:sz w:val="21"/>
        </w:rPr>
        <w:t>Определение 8.14. Gauge differential.</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End_𝔊(A) - эндоморфизмы, сохраняющие градуировку и структурные данные. Производная действия g·μ=g μ(g^{-1}·,g^{-1}·) в единице задаёт</w:t>
      </w:r>
    </w:p>
    <w:p>
      <w:pPr>
        <w:spacing w:before="60" w:after="140"/>
        <w:ind w:firstLine="0"/>
        <w:jc w:val="center"/>
      </w:pPr>
      <w:r>
        <w:rPr>
          <w:rFonts w:ascii="Cambria Math" w:hAnsi="Cambria Math" w:eastAsia="Cambria Math"/>
          <w:sz w:val="22"/>
        </w:rPr>
        <w:t>d¹_μ(ξ)(a,b)=ξ(μ(a,b))-μ(ξa,b)-μ(a,ξb).</w:t>
      </w:r>
    </w:p>
    <w:p>
      <w:pPr>
        <w:spacing w:after="100" w:line="278" w:lineRule="auto"/>
        <w:ind w:firstLine="0"/>
      </w:pPr>
      <w:r>
        <w:rPr>
          <w:rFonts w:ascii="Liberation Serif" w:hAnsi="Liberation Serif" w:eastAsia="Liberation Serif"/>
          <w:b/>
          <w:color w:val="17365D"/>
          <w:sz w:val="21"/>
        </w:rPr>
        <w:t>Теорема 8.15. Stabilizer-derivation identity.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ker d¹_μ совпадает с пространством структурных дериваций Der_𝔊(A,μ). im d¹_μ является касательным пространством к орбите замены допустимого базиса.</w:t>
      </w:r>
    </w:p>
    <w:p>
      <w:pPr>
        <w:spacing w:after="100" w:line="278" w:lineRule="auto"/>
        <w:ind w:firstLine="0"/>
      </w:pPr>
      <w:r>
        <w:rPr>
          <w:rFonts w:ascii="Liberation Serif" w:hAnsi="Liberation Serif" w:eastAsia="Liberation Serif"/>
          <w:b/>
          <w:color w:val="17365D"/>
          <w:sz w:val="21"/>
        </w:rPr>
        <w:t>Определение 8.16. Reduced tangent space.</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При im d¹_μ⊂Z²_NAPG(μ) определим H²_red(μ)=Z²_NAPG(μ)/im d¹_μ. Это пространство классов первопорядковых деформаций modulo infinitesimal gauge; оно не гарантирует интегрируемость.</w:t>
      </w:r>
    </w:p>
    <w:p>
      <w:pPr>
        <w:keepNext/>
        <w:jc w:val="center"/>
      </w:pPr>
      <w:r>
        <w:drawing>
          <wp:inline xmlns:a="http://schemas.openxmlformats.org/drawingml/2006/main" xmlns:pic="http://schemas.openxmlformats.org/drawingml/2006/picture">
            <wp:extent cx="5715000" cy="4017476"/>
            <wp:docPr id="19" name="Picture 19"/>
            <wp:cNvGraphicFramePr>
              <a:graphicFrameLocks noChangeAspect="1"/>
            </wp:cNvGraphicFramePr>
            <a:graphic>
              <a:graphicData uri="http://schemas.openxmlformats.org/drawingml/2006/picture">
                <pic:pic>
                  <pic:nvPicPr>
                    <pic:cNvPr id="0" name="fig15_napg_tangent.png"/>
                    <pic:cNvPicPr/>
                  </pic:nvPicPr>
                  <pic:blipFill>
                    <a:blip r:embed="rId36"/>
                    <a:stretch>
                      <a:fillRect/>
                    </a:stretch>
                  </pic:blipFill>
                  <pic:spPr>
                    <a:xfrm>
                      <a:off x="0" y="0"/>
                      <a:ext cx="5715000" cy="4017476"/>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15. Двухчленный NAPG tangent complex: стабилизаторы, первопорядковые деформации и второпорядковое препятствие. Собственная схема Тома II.</w:t>
      </w:r>
    </w:p>
    <w:p>
      <w:pPr>
        <w:pStyle w:val="Heading1"/>
        <w:keepNext/>
      </w:pPr>
      <w:r>
        <w:t>50. Касательный комплекс и кокасательная двойственность</w:t>
      </w:r>
    </w:p>
    <w:p>
      <w:pPr>
        <w:pStyle w:val="Heading2"/>
        <w:keepNext/>
      </w:pPr>
      <w:r>
        <w:t>50.1. Двухчленный комплекс модульной задачи</w:t>
      </w:r>
    </w:p>
    <w:p>
      <w:pPr>
        <w:spacing w:after="100" w:line="278" w:lineRule="auto"/>
        <w:ind w:firstLine="0"/>
      </w:pPr>
      <w:r>
        <w:rPr>
          <w:rFonts w:ascii="Liberation Serif" w:hAnsi="Liberation Serif" w:eastAsia="Liberation Serif"/>
          <w:b/>
          <w:color w:val="17365D"/>
          <w:sz w:val="21"/>
        </w:rPr>
        <w:t>Определение 8.17. Tangent complex.</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quotient-представления NAPG-модульной задачи вводится двухчленный комплекс T_μ^•=[End_𝔊(A) --d¹_μ→ Z²_NAPG(μ)] в степенях -1 и 0. Тогда H^{-1}(T_μ^•)=Der_𝔊(A,μ), а H⁰(T_μ^•)=H²_red(μ).</w:t>
      </w:r>
    </w:p>
    <w:p>
      <w:pPr>
        <w:spacing w:after="100" w:line="278" w:lineRule="auto"/>
        <w:ind w:firstLine="0"/>
      </w:pPr>
      <w:r>
        <w:rPr>
          <w:rFonts w:ascii="Liberation Serif" w:hAnsi="Liberation Serif" w:eastAsia="Liberation Serif"/>
          <w:b/>
          <w:color w:val="17365D"/>
          <w:sz w:val="21"/>
        </w:rPr>
        <w:t>Смысл.</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Отрицательная когомология хранит инфинитезимальные автоморфизмы, а нулевая - классы деформаций. Простое фактор-пространство теряет информацию о скачках стабилизатора; комплекс сохраняет её и потому предпочтителен на сингулярном quotient-слое.</w:t>
      </w:r>
    </w:p>
    <w:p>
      <w:pPr>
        <w:pStyle w:val="Heading2"/>
        <w:keepNext/>
      </w:pPr>
      <w:r>
        <w:t>50.2. No-go для канонического T≅T*</w:t>
      </w:r>
    </w:p>
    <w:p>
      <w:pPr>
        <w:spacing w:after="100" w:line="278" w:lineRule="auto"/>
        <w:ind w:firstLine="0"/>
      </w:pPr>
      <w:r>
        <w:rPr>
          <w:rFonts w:ascii="Liberation Serif" w:hAnsi="Liberation Serif" w:eastAsia="Liberation Serif"/>
          <w:b/>
          <w:color w:val="17365D"/>
          <w:sz w:val="21"/>
        </w:rPr>
        <w:t>Теорема 8.18. Absence of canonical self-duality.</w:t>
      </w:r>
      <w:r>
        <w:rPr>
          <w:rFonts w:ascii="Liberation Serif" w:hAnsi="Liberation Serif" w:eastAsia="Liberation Serif"/>
          <w:b/>
          <w:color w:val="2F7D32"/>
          <w:sz w:val="20"/>
        </w:rPr>
        <w:t xml:space="preserve"> [CL/THM]</w:t>
      </w:r>
      <w:r>
        <w:rPr>
          <w:rFonts w:ascii="Liberation Serif" w:hAnsi="Liberation Serif" w:eastAsia="Liberation Serif"/>
          <w:sz w:val="21"/>
        </w:rPr>
        <w:t xml:space="preserve"> Для общего конечномерного векторного пространства V не существует естественного изоморфизма V≅V* без дополнительной невырожденной билинейной формы. Канонической является только оценочная карта V→V**; она изоморфна в конечномерном или конечнопроективном режиме.</w:t>
      </w:r>
    </w:p>
    <w:p>
      <w:pPr>
        <w:spacing w:after="100" w:line="278" w:lineRule="auto"/>
        <w:ind w:firstLine="0"/>
      </w:pPr>
      <w:r>
        <w:rPr>
          <w:rFonts w:ascii="Liberation Serif" w:hAnsi="Liberation Serif" w:eastAsia="Liberation Serif"/>
          <w:b/>
          <w:color w:val="17365D"/>
          <w:sz w:val="21"/>
        </w:rPr>
        <w:t>Следствие 8.19. NAPG duality boundary.</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Кокасательный комплекс нельзя автоматически называть тем же объектом, что tangent complex. Дуализация T_μ^• допустима при конечной проектности компонентов; идентификация требует выбранной метрики или pairing, проверенного на gauge и descent-слоях.</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CE4D6"/>
            <w:tcMar>
              <w:top w:w="150" w:type="dxa"/>
              <w:start w:w="180" w:type="dxa"/>
              <w:bottom w:w="150" w:type="dxa"/>
              <w:end w:w="180" w:type="dxa"/>
            </w:tcMar>
            <w:vAlign w:val="center"/>
          </w:tcPr>
          <w:p>
            <w:pPr>
              <w:spacing w:after="60"/>
            </w:pPr>
            <w:r>
              <w:rPr>
                <w:rFonts w:ascii="Liberation Sans" w:hAnsi="Liberation Sans" w:eastAsia="Liberation Sans"/>
                <w:b/>
                <w:color w:val="843C0C"/>
                <w:sz w:val="21"/>
              </w:rPr>
              <w:t>Граница Hodge-слоя</w:t>
            </w:r>
          </w:p>
          <w:p>
            <w:pPr>
              <w:spacing w:after="0" w:line="269" w:lineRule="auto"/>
            </w:pPr>
            <w:r>
              <w:rPr>
                <w:rFonts w:ascii="Liberation Serif" w:hAnsi="Liberation Serif" w:eastAsia="Liberation Serif"/>
                <w:color w:val="27313F"/>
                <w:sz w:val="20"/>
              </w:rPr>
              <w:t>Оператор Hodge действует на внешние степени после выбора метрики и ориентации. Он не создаёт сам по себе канонического изоморфизма между касательным модулем деформаций операций и его линейным дуалом. Этот мост относится к главе 11 и остаётся условным.</w:t>
            </w:r>
          </w:p>
        </w:tc>
      </w:tr>
    </w:tbl>
    <w:p>
      <w:pPr>
        <w:spacing w:after="40"/>
      </w:pPr>
    </w:p>
    <w:p>
      <w:pPr>
        <w:pStyle w:val="Heading1"/>
        <w:keepNext/>
      </w:pPr>
      <w:r>
        <w:t>51. Второй порядок и интегрируемость</w:t>
      </w:r>
    </w:p>
    <w:p>
      <w:pPr>
        <w:pStyle w:val="Heading2"/>
        <w:keepNext/>
      </w:pPr>
      <w:r>
        <w:t>51.1. Квадратичное уравнение продолжения</w:t>
      </w:r>
    </w:p>
    <w:p>
      <w:pPr>
        <w:spacing w:after="100" w:line="278" w:lineRule="auto"/>
        <w:ind w:firstLine="0"/>
      </w:pPr>
      <w:r>
        <w:rPr>
          <w:rFonts w:ascii="Liberation Serif" w:hAnsi="Liberation Serif" w:eastAsia="Liberation Serif"/>
          <w:b/>
          <w:color w:val="17365D"/>
          <w:sz w:val="21"/>
        </w:rPr>
        <w:t>Определение 8.20. Second-order admissibility.</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F(μ)=0 и путь имеет вид μ_t=μ+tν+t²ω+O(t³). Коэффициент первого порядка требует DF_μ(ν)=0. Второй порядок требует существования ω, для которого</w:t>
      </w:r>
    </w:p>
    <w:p>
      <w:pPr>
        <w:spacing w:before="60" w:after="140"/>
        <w:ind w:firstLine="0"/>
        <w:jc w:val="center"/>
      </w:pPr>
      <w:r>
        <w:rPr>
          <w:rFonts w:ascii="Cambria Math" w:hAnsi="Cambria Math" w:eastAsia="Cambria Math"/>
          <w:sz w:val="22"/>
        </w:rPr>
        <w:t>D F_μ(ω) + Q_μ(ν,ν) = 0,</w:t>
      </w:r>
    </w:p>
    <w:p>
      <w:pPr>
        <w:spacing w:after="100" w:line="278" w:lineRule="auto"/>
        <w:ind w:firstLine="0"/>
      </w:pPr>
      <w:r>
        <w:rPr>
          <w:rFonts w:ascii="Liberation Serif" w:hAnsi="Liberation Serif" w:eastAsia="Liberation Serif"/>
          <w:sz w:val="21"/>
        </w:rPr>
        <w:t>где Q_μ - квадратичная часть разложения F. Класс Q_μ(ν,ν) modulo im DF_μ является второпорядковым препятствием. Его нельзя обнулять выбором обозначения; приходится, к сожалению, решать уравнение.</w:t>
      </w:r>
    </w:p>
    <w:p>
      <w:pPr>
        <w:spacing w:after="100" w:line="278" w:lineRule="auto"/>
        <w:ind w:firstLine="0"/>
      </w:pPr>
      <w:r>
        <w:rPr>
          <w:rFonts w:ascii="Liberation Serif" w:hAnsi="Liberation Serif" w:eastAsia="Liberation Serif"/>
          <w:b/>
          <w:color w:val="17365D"/>
          <w:sz w:val="21"/>
        </w:rPr>
        <w:t>Теорема 8.21. First-order is not integrability.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Включения множеств направлений имеют вид T_arc,x⊂C_xM⊂T_xM. Оба включения могут быть строгими. Поэтому класс [ν]∈H²_red(μ) является формальным деформационным направлением, но не обязательно касательной к реальному семейству NAPG-объектов.</w:t>
      </w:r>
    </w:p>
    <w:p>
      <w:pPr>
        <w:pStyle w:val="Heading2"/>
        <w:keepNext/>
      </w:pPr>
      <w:r>
        <w:t>51.2. Масштабная семья нулевой операции</w:t>
      </w:r>
    </w:p>
    <w:p>
      <w:pPr>
        <w:spacing w:after="100" w:line="278" w:lineRule="auto"/>
        <w:ind w:firstLine="0"/>
      </w:pPr>
      <w:r>
        <w:rPr>
          <w:rFonts w:ascii="Liberation Serif" w:hAnsi="Liberation Serif" w:eastAsia="Liberation Serif"/>
          <w:b/>
          <w:color w:val="17365D"/>
          <w:sz w:val="21"/>
        </w:rPr>
        <w:t>Пример 8.22. Quadratic onset of nonassociativity.</w:t>
      </w:r>
      <w:r>
        <w:rPr>
          <w:rFonts w:ascii="Liberation Serif" w:hAnsi="Liberation Serif" w:eastAsia="Liberation Serif"/>
          <w:b/>
          <w:color w:val="2F7D32"/>
          <w:sz w:val="20"/>
        </w:rPr>
        <w:t xml:space="preserve"> [THM/EX]</w:t>
      </w:r>
      <w:r>
        <w:rPr>
          <w:rFonts w:ascii="Liberation Serif" w:hAnsi="Liberation Serif" w:eastAsia="Liberation Serif"/>
          <w:sz w:val="21"/>
        </w:rPr>
        <w:t xml:space="preserve"> Пусть μ₀=0 и ν - операция двумерной алгебры A₂ из Тома I. Рассмотрим μ_t=tν. Тогда Ass_{μ_t}=t²Ass_ν. Следовательно, DAss_0(ν)=0: вся операция ν проходит первопорядковый тест ассоциативности в нулевой алгебре. Но при t≠0 и Ass_ν≠0 семейство немедленно становится неассоциативным на втором порядке.</w:t>
      </w:r>
    </w:p>
    <w:p>
      <w:pPr>
        <w:spacing w:after="100" w:line="278" w:lineRule="auto"/>
        <w:ind w:firstLine="0"/>
      </w:pPr>
      <w:r>
        <w:rPr>
          <w:rFonts w:ascii="Liberation Serif" w:hAnsi="Liberation Serif" w:eastAsia="Liberation Serif"/>
          <w:b/>
          <w:color w:val="17365D"/>
          <w:sz w:val="21"/>
        </w:rPr>
        <w:t>Вывод.</w:t>
      </w:r>
      <w:r>
        <w:rPr>
          <w:rFonts w:ascii="Liberation Serif" w:hAnsi="Liberation Serif" w:eastAsia="Liberation Serif"/>
          <w:b/>
          <w:color w:val="2F7D32"/>
          <w:sz w:val="20"/>
        </w:rPr>
        <w:t xml:space="preserve"> [THM/INTERFACE]</w:t>
      </w:r>
      <w:r>
        <w:rPr>
          <w:rFonts w:ascii="Liberation Serif" w:hAnsi="Liberation Serif" w:eastAsia="Liberation Serif"/>
          <w:sz w:val="21"/>
        </w:rPr>
        <w:t xml:space="preserve"> Нулевая операция является сингулярной точкой пространства ассоциативных структур: её Zariski tangent space слишком велик. Квадратичный слой R⋆R и Θ_min необходимы именно для отсечения таких ложных первопорядковых направлений.</w:t>
      </w:r>
    </w:p>
    <w:p>
      <w:pPr>
        <w:pStyle w:val="Heading1"/>
        <w:keepNext/>
      </w:pPr>
      <w:r>
        <w:t>52. Область гладкости NAPG</w:t>
      </w:r>
    </w:p>
    <w:p>
      <w:pPr>
        <w:pStyle w:val="Heading2"/>
        <w:keepNext/>
      </w:pPr>
      <w:r>
        <w:t>52.1. Формальная и дифференциальная гладкость</w:t>
      </w:r>
    </w:p>
    <w:p>
      <w:pPr>
        <w:spacing w:after="100" w:line="278" w:lineRule="auto"/>
        <w:ind w:firstLine="0"/>
      </w:pPr>
      <w:r>
        <w:rPr>
          <w:rFonts w:ascii="Liberation Serif" w:hAnsi="Liberation Serif" w:eastAsia="Liberation Serif"/>
          <w:b/>
          <w:color w:val="17365D"/>
          <w:sz w:val="21"/>
        </w:rPr>
        <w:t>Определение 8.23. Formally smooth point.</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Точка μ модульной задачи называется формально гладкой, если всякое допустимое поднятие через квадрат-нуль расширение существует локально и совместимо с замороженными структурами 𝔊, D/Dom и descent.</w:t>
      </w:r>
    </w:p>
    <w:p>
      <w:pPr>
        <w:spacing w:after="100" w:line="278" w:lineRule="auto"/>
        <w:ind w:firstLine="0"/>
      </w:pPr>
      <w:r>
        <w:rPr>
          <w:rFonts w:ascii="Liberation Serif" w:hAnsi="Liberation Serif" w:eastAsia="Liberation Serif"/>
          <w:b/>
          <w:color w:val="17365D"/>
          <w:sz w:val="21"/>
        </w:rPr>
        <w:t>Определение 8.24. Finite-dimensional regular sector.</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В коэффициентной модели M_NAPG=F^{-1}(0) точка регулярна, если DF имеет локально постоянный ранг, stabilizer dimension постоянна, действие gauge локально хорошо ведёт себя, а admissible domain открыт в выбранной топологии.</w:t>
      </w:r>
    </w:p>
    <w:p>
      <w:pPr>
        <w:spacing w:after="100" w:line="278" w:lineRule="auto"/>
        <w:ind w:firstLine="0"/>
      </w:pPr>
      <w:r>
        <w:rPr>
          <w:rFonts w:ascii="Liberation Serif" w:hAnsi="Liberation Serif" w:eastAsia="Liberation Serif"/>
          <w:b/>
          <w:color w:val="17365D"/>
          <w:sz w:val="21"/>
        </w:rPr>
        <w:t>Условная теорема 8.25. Constant-rank local model.</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Если F является C^r, DF_μ имеет постоянный ранг в окрестности, gauge-action свободно и собственно на выбранном секторе, а descent effective, то M_NAPG/G локально является C^r-многообразием с касательным пространством H²_red(μ).</w:t>
      </w:r>
    </w:p>
    <w:p>
      <w:pPr>
        <w:spacing w:after="100" w:line="278" w:lineRule="auto"/>
        <w:ind w:firstLine="0"/>
      </w:pPr>
      <w:r>
        <w:rPr>
          <w:rFonts w:ascii="Liberation Serif" w:hAnsi="Liberation Serif" w:eastAsia="Liberation Serif"/>
          <w:b/>
          <w:color w:val="17365D"/>
          <w:sz w:val="21"/>
        </w:rPr>
        <w:t>Граница.</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При ненулевом стабилизаторе, непостоянном ранге или неэффективном quotient корректным объектом является tangent complex либо stacky/derived local model, а не обычное касательное расслоение.</w:t>
      </w:r>
    </w:p>
    <w:p>
      <w:pPr>
        <w:pStyle w:val="Heading2"/>
        <w:keepNext/>
      </w:pPr>
      <w:r>
        <w:t>52.2. Линеаризационный горизонт</w:t>
      </w:r>
    </w:p>
    <w:p>
      <w:pPr>
        <w:spacing w:after="100" w:line="278" w:lineRule="auto"/>
        <w:ind w:firstLine="0"/>
      </w:pPr>
      <w:r>
        <w:rPr>
          <w:rFonts w:ascii="Liberation Serif" w:hAnsi="Liberation Serif" w:eastAsia="Liberation Serif"/>
          <w:b/>
          <w:color w:val="17365D"/>
          <w:sz w:val="21"/>
        </w:rPr>
        <w:t>Определение 8.26. Linearization horizon.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Обозначим Δ_lin объединение параметров, где: rank DF скачет; tangent module не локально свободен; stabilizer dimension меняется; projective chart попадает в полюс λ; pairing tangent/cotangent вырождается; tangent cone не является линейным пространством; второй порядок неразрешим; либо D/Dom/descent теряют валидность.</w:t>
      </w:r>
    </w:p>
    <w:p>
      <w:pPr>
        <w:spacing w:before="60" w:after="140"/>
        <w:ind w:firstLine="0"/>
        <w:jc w:val="center"/>
      </w:pPr>
      <w:r>
        <w:rPr>
          <w:rFonts w:ascii="Cambria Math" w:hAnsi="Cambria Math" w:eastAsia="Cambria Math"/>
          <w:sz w:val="22"/>
        </w:rPr>
        <w:t>Δ_safe = Δ_total ∪ Δ_lin.</w:t>
      </w:r>
    </w:p>
    <w:p>
      <w:pPr>
        <w:spacing w:after="100" w:line="278" w:lineRule="auto"/>
        <w:ind w:firstLine="0"/>
      </w:pPr>
      <w:r>
        <w:rPr>
          <w:rFonts w:ascii="Liberation Serif" w:hAnsi="Liberation Serif" w:eastAsia="Liberation Serif"/>
          <w:b/>
          <w:color w:val="17365D"/>
          <w:sz w:val="21"/>
        </w:rPr>
        <w:t>Теорема 8.27. Local constancy outside the horizon.</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В конечномерной C^r-модели при гипотезах теоремы 8.25 размеры Z²_NAPG, im d¹, Der_𝔊 и H²_red локально постоянны на каждой связной компоненте дополнения Δ_safe. Изменение этих дискретных профилей требует пересечения Δ_safe.</w:t>
      </w:r>
    </w:p>
    <w:p>
      <w:pPr>
        <w:spacing w:after="100" w:line="278" w:lineRule="auto"/>
        <w:ind w:firstLine="0"/>
      </w:pPr>
      <w:r>
        <w:rPr>
          <w:rFonts w:ascii="Liberation Serif" w:hAnsi="Liberation Serif" w:eastAsia="Liberation Serif"/>
          <w:b/>
          <w:color w:val="17365D"/>
          <w:sz w:val="21"/>
        </w:rPr>
        <w:t>Предупреждение.</w:t>
      </w:r>
      <w:r>
        <w:rPr>
          <w:rFonts w:ascii="Liberation Serif" w:hAnsi="Liberation Serif" w:eastAsia="Liberation Serif"/>
          <w:b/>
          <w:color w:val="7A3E00"/>
          <w:sz w:val="20"/>
        </w:rPr>
        <w:t xml:space="preserve"> [OPEN]</w:t>
      </w:r>
      <w:r>
        <w:rPr>
          <w:rFonts w:ascii="Liberation Serif" w:hAnsi="Liberation Serif" w:eastAsia="Liberation Serif"/>
          <w:sz w:val="21"/>
        </w:rPr>
        <w:t xml:space="preserve"> Попадание в Δ_safe является необходимым локатором возможной перестройки, но не доказывает сам переход. Это фильтр кандидатов, а не пророческий оракул, как бы заманчиво ни было поручить матрице Якоби карьеру Пифии.</w:t>
      </w:r>
    </w:p>
    <w:p>
      <w:pPr>
        <w:pStyle w:val="Heading1"/>
        <w:keepNext/>
      </w:pPr>
      <w:r>
        <w:t>53. Дифференциал проективно-гармонической координаты</w:t>
      </w:r>
    </w:p>
    <w:p>
      <w:pPr>
        <w:pStyle w:val="Heading2"/>
        <w:keepNext/>
      </w:pPr>
      <w:r>
        <w:t>53.1. Логарифмическая производная λ</w:t>
      </w:r>
    </w:p>
    <w:p>
      <w:pPr>
        <w:spacing w:after="100" w:line="278" w:lineRule="auto"/>
        <w:ind w:firstLine="0"/>
      </w:pPr>
      <w:r>
        <w:rPr>
          <w:rFonts w:ascii="Liberation Serif" w:hAnsi="Liberation Serif" w:eastAsia="Liberation Serif"/>
          <w:b/>
          <w:color w:val="17365D"/>
          <w:sz w:val="21"/>
        </w:rPr>
        <w:t>Теорема 8.28. Differential of cross-ratio.</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В аффинной карте вне диагоналей и полюсов для λ=((u-r)(i-d))/((u-d)(i-r)) справедливо</w:t>
      </w:r>
    </w:p>
    <w:p>
      <w:pPr>
        <w:spacing w:before="60" w:after="140"/>
        <w:ind w:firstLine="0"/>
        <w:jc w:val="center"/>
      </w:pPr>
      <w:r>
        <w:rPr>
          <w:rFonts w:ascii="Cambria Math" w:hAnsi="Cambria Math" w:eastAsia="Cambria Math"/>
          <w:sz w:val="22"/>
        </w:rPr>
        <w:t>dλ/λ = (du-dr)/(u-r) + (di-dd)/(i-d) - (du-dd)/(u-d) - (di-dr)/(i-r).</w:t>
      </w:r>
    </w:p>
    <w:p>
      <w:pPr>
        <w:spacing w:after="100" w:line="278" w:lineRule="auto"/>
        <w:ind w:firstLine="0"/>
      </w:pPr>
      <w:r>
        <w:rPr>
          <w:rFonts w:ascii="Liberation Serif" w:hAnsi="Liberation Serif" w:eastAsia="Liberation Serif"/>
          <w:b/>
          <w:color w:val="17365D"/>
          <w:sz w:val="21"/>
        </w:rPr>
        <w:t>Следствие 8.29. Tangent to the harmonic locus.</w:t>
      </w:r>
      <w:r>
        <w:rPr>
          <w:rFonts w:ascii="Liberation Serif" w:hAnsi="Liberation Serif" w:eastAsia="Liberation Serif"/>
          <w:b/>
          <w:color w:val="2F7D32"/>
          <w:sz w:val="20"/>
        </w:rPr>
        <w:t xml:space="preserve"> [THM/COND]</w:t>
      </w:r>
      <w:r>
        <w:rPr>
          <w:rFonts w:ascii="Liberation Serif" w:hAnsi="Liberation Serif" w:eastAsia="Liberation Serif"/>
          <w:sz w:val="21"/>
        </w:rPr>
        <w:t xml:space="preserve"> В гладкой точке λ=-1 касательное пространство гармонического локуса задаётся ker dλ, если dλ≠0. Если dλ=0, гармонический локус сингулярен или имеет более высокий порядок контакта, и требуется Hessian/jet-анализ.</w:t>
      </w:r>
    </w:p>
    <w:p>
      <w:pPr>
        <w:pStyle w:val="Heading2"/>
        <w:keepNext/>
      </w:pPr>
      <w:r>
        <w:t>53.2. Вырождение квадратичного дефекта</w:t>
      </w:r>
    </w:p>
    <w:p>
      <w:pPr>
        <w:spacing w:after="100" w:line="278" w:lineRule="auto"/>
        <w:ind w:firstLine="0"/>
      </w:pPr>
      <w:r>
        <w:rPr>
          <w:rFonts w:ascii="Liberation Serif" w:hAnsi="Liberation Serif" w:eastAsia="Liberation Serif"/>
          <w:b/>
          <w:color w:val="17365D"/>
          <w:sz w:val="21"/>
        </w:rPr>
        <w:t>Определение 8.30. Smooth harmonic risk.</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Для K=R или C положим q=|λ+1|² на области, где λ определена. Тогда Dq(v)=2 Re(conj(λ+1)·Dλ(v)).</w:t>
      </w:r>
    </w:p>
    <w:p>
      <w:pPr>
        <w:spacing w:after="100" w:line="278" w:lineRule="auto"/>
        <w:ind w:firstLine="0"/>
      </w:pPr>
      <w:r>
        <w:rPr>
          <w:rFonts w:ascii="Liberation Serif" w:hAnsi="Liberation Serif" w:eastAsia="Liberation Serif"/>
          <w:b/>
          <w:color w:val="17365D"/>
          <w:sz w:val="21"/>
        </w:rPr>
        <w:t>Теорема 8.31. First-order blindness at exact harmony.</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На точном гармоническом локусе λ=-1 имеем Dq=0 для всех направлений. Следовательно, градиент q не различает сохранение и разрушение гармонии в первом порядке. Второй дифференциал на направлении v содержит 2|Dλ(v)|² и становится первым невырожденным тестом, если Dλ(v)≠0.</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FFF2CC"/>
            <w:tcMar>
              <w:top w:w="150" w:type="dxa"/>
              <w:start w:w="180" w:type="dxa"/>
              <w:bottom w:w="150" w:type="dxa"/>
              <w:end w:w="180" w:type="dxa"/>
            </w:tcMar>
            <w:vAlign w:val="center"/>
          </w:tcPr>
          <w:p>
            <w:pPr>
              <w:spacing w:after="60"/>
            </w:pPr>
            <w:r>
              <w:rPr>
                <w:rFonts w:ascii="Liberation Sans" w:hAnsi="Liberation Sans" w:eastAsia="Liberation Sans"/>
                <w:b/>
                <w:color w:val="7F6000"/>
                <w:sz w:val="21"/>
              </w:rPr>
              <w:t>Значение для KLT-RBD</w:t>
            </w:r>
          </w:p>
          <w:p>
            <w:pPr>
              <w:spacing w:after="0" w:line="269" w:lineRule="auto"/>
            </w:pPr>
            <w:r>
              <w:rPr>
                <w:rFonts w:ascii="Liberation Serif" w:hAnsi="Liberation Serif" w:eastAsia="Liberation Serif"/>
                <w:color w:val="27313F"/>
                <w:sz w:val="20"/>
              </w:rPr>
              <w:t>Алгоритм, который ранжирует направления только по первой производной δ_truth² в уже гармонической точке, неизбежно возвращает ничью. В v0.6 это не ошибка данных, а доказанное вырождение критерия. Требуется dλ, Hessian или более высокий jet.</w:t>
            </w:r>
          </w:p>
        </w:tc>
      </w:tr>
    </w:tbl>
    <w:p>
      <w:pPr>
        <w:spacing w:after="40"/>
      </w:pPr>
    </w:p>
    <w:p>
      <w:pPr>
        <w:pStyle w:val="Heading1"/>
        <w:keepNext/>
      </w:pPr>
      <w:r>
        <w:t>54. Локальный предсказательный конус</w:t>
      </w:r>
    </w:p>
    <w:p>
      <w:pPr>
        <w:pStyle w:val="Heading2"/>
        <w:keepNext/>
      </w:pPr>
      <w:r>
        <w:t>54.1. Составная карта ограничений</w:t>
      </w:r>
    </w:p>
    <w:p>
      <w:pPr>
        <w:spacing w:after="100" w:line="278" w:lineRule="auto"/>
        <w:ind w:firstLine="0"/>
      </w:pPr>
      <w:r>
        <w:rPr>
          <w:rFonts w:ascii="Liberation Serif" w:hAnsi="Liberation Serif" w:eastAsia="Liberation Serif"/>
          <w:b/>
          <w:color w:val="17365D"/>
          <w:sz w:val="21"/>
        </w:rPr>
        <w:t>Определение 8.32. Structural constraint map.</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Пусть G=(F_NAPG,Π,h,B_D,B_Dom,B_glue), где h=λ+1, а последние компоненты кодируют доказательные и глобализационные блокеры в выбранной гладкой модели. В точке x с G(x)=0 линейно допустимые направления образуют ker DG_x.</w:t>
      </w:r>
    </w:p>
    <w:p>
      <w:pPr>
        <w:spacing w:after="100" w:line="278" w:lineRule="auto"/>
        <w:ind w:firstLine="0"/>
      </w:pPr>
      <w:r>
        <w:rPr>
          <w:rFonts w:ascii="Liberation Serif" w:hAnsi="Liberation Serif" w:eastAsia="Liberation Serif"/>
          <w:b/>
          <w:color w:val="17365D"/>
          <w:sz w:val="21"/>
        </w:rPr>
        <w:t>Определение 8.33. Integrable predictive direction.</w:t>
      </w:r>
      <w:r>
        <w:rPr>
          <w:rFonts w:ascii="Liberation Serif" w:hAnsi="Liberation Serif" w:eastAsia="Liberation Serif"/>
          <w:b/>
          <w:color w:val="2F7D32"/>
          <w:sz w:val="20"/>
        </w:rPr>
        <w:t xml:space="preserve"> [DEF-A]</w:t>
      </w:r>
      <w:r>
        <w:rPr>
          <w:rFonts w:ascii="Liberation Serif" w:hAnsi="Liberation Serif" w:eastAsia="Liberation Serif"/>
          <w:sz w:val="21"/>
        </w:rPr>
        <w:t xml:space="preserve"> Направление v получает статус INT-DIR, если: v∈C_x(G^{-1}(0)); существует second-order witness w; имеется допустимая дуга x(t) с x(0)=x, x′(0)=v; Evidence-D и Dom продолжаются вдоль дуги; harmonic criterion проверен на нужном jet-порядке; Block_tan=∅.</w:t>
      </w:r>
    </w:p>
    <w:p>
      <w:pPr>
        <w:spacing w:before="60" w:after="140"/>
        <w:ind w:firstLine="0"/>
        <w:jc w:val="center"/>
      </w:pPr>
      <w:r>
        <w:rPr>
          <w:rFonts w:ascii="Cambria Math" w:hAnsi="Cambria Math" w:eastAsia="Cambria Math"/>
          <w:sz w:val="22"/>
        </w:rPr>
        <w:t>Block_tan = B_rank ∪ B_cone ∪ B_ob2 ∪ B_arc ∪ B_dual ∪ B_lambda ∪ B_D ∪ B_Dom ∪ B_glue.</w:t>
      </w:r>
    </w:p>
    <w:p>
      <w:pPr>
        <w:spacing w:after="100" w:line="278" w:lineRule="auto"/>
        <w:ind w:firstLine="0"/>
      </w:pPr>
      <w:r>
        <w:rPr>
          <w:rFonts w:ascii="Liberation Serif" w:hAnsi="Liberation Serif" w:eastAsia="Liberation Serif"/>
          <w:b/>
          <w:color w:val="17365D"/>
          <w:sz w:val="21"/>
        </w:rPr>
        <w:t>Теорема 8.34. Tangent-safe predictive transport.</w:t>
      </w:r>
      <w:r>
        <w:rPr>
          <w:rFonts w:ascii="Liberation Serif" w:hAnsi="Liberation Serif" w:eastAsia="Liberation Serif"/>
          <w:b/>
          <w:color w:val="7A3E00"/>
          <w:sz w:val="20"/>
        </w:rPr>
        <w:t xml:space="preserve"> [COND]</w:t>
      </w:r>
      <w:r>
        <w:rPr>
          <w:rFonts w:ascii="Liberation Serif" w:hAnsi="Liberation Serif" w:eastAsia="Liberation Serif"/>
          <w:sz w:val="21"/>
        </w:rPr>
        <w:t xml:space="preserve"> При изоморфизме NAPG-объектов, сохраняющем F, gauge-action, projective-Reper atlas, Evidence-D и descent, образ интегрируемого направления снова интегрируем, а статус INT-DIR инвариантен.</w:t>
      </w:r>
    </w:p>
    <w:p>
      <w:pPr>
        <w:spacing w:after="100" w:line="278" w:lineRule="auto"/>
        <w:ind w:firstLine="0"/>
      </w:pPr>
      <w:r>
        <w:rPr>
          <w:rFonts w:ascii="Liberation Serif" w:hAnsi="Liberation Serif" w:eastAsia="Liberation Serif"/>
          <w:b/>
          <w:color w:val="17365D"/>
          <w:sz w:val="21"/>
        </w:rPr>
        <w:t>Теорема 8.35. No-event from tangent data alone.</w:t>
      </w:r>
      <w:r>
        <w:rPr>
          <w:rFonts w:ascii="Liberation Serif" w:hAnsi="Liberation Serif" w:eastAsia="Liberation Serif"/>
          <w:b/>
          <w:color w:val="2F7D32"/>
          <w:sz w:val="20"/>
        </w:rPr>
        <w:t xml:space="preserve"> [THM]</w:t>
      </w:r>
      <w:r>
        <w:rPr>
          <w:rFonts w:ascii="Liberation Serif" w:hAnsi="Liberation Serif" w:eastAsia="Liberation Serif"/>
          <w:sz w:val="21"/>
        </w:rPr>
        <w:t xml:space="preserve"> Из существования ненулевого H²_red(μ), большого Zariski tangent space или направления Dq&lt;0 не следует существование будущего события. Без cone/obstruction/arc witnesses допустим только статус FORMAL-DIRECTION либо ABSTAIN.</w:t>
      </w:r>
    </w:p>
    <w:p>
      <w:pPr>
        <w:keepNext/>
        <w:jc w:val="center"/>
      </w:pPr>
      <w:r>
        <w:drawing>
          <wp:inline xmlns:a="http://schemas.openxmlformats.org/drawingml/2006/main" xmlns:pic="http://schemas.openxmlformats.org/drawingml/2006/picture">
            <wp:extent cx="5715000" cy="8724744"/>
            <wp:docPr id="20" name="Picture 20"/>
            <wp:cNvGraphicFramePr>
              <a:graphicFrameLocks noChangeAspect="1"/>
            </wp:cNvGraphicFramePr>
            <a:graphic>
              <a:graphicData uri="http://schemas.openxmlformats.org/drawingml/2006/picture">
                <pic:pic>
                  <pic:nvPicPr>
                    <pic:cNvPr id="0" name="fig16_tangent_gate.png"/>
                    <pic:cNvPicPr/>
                  </pic:nvPicPr>
                  <pic:blipFill>
                    <a:blip r:embed="rId37"/>
                    <a:stretch>
                      <a:fillRect/>
                    </a:stretch>
                  </pic:blipFill>
                  <pic:spPr>
                    <a:xfrm>
                      <a:off x="0" y="0"/>
                      <a:ext cx="5715000" cy="8724744"/>
                    </a:xfrm>
                    <a:prstGeom prst="rect"/>
                  </pic:spPr>
                </pic:pic>
              </a:graphicData>
            </a:graphic>
          </wp:inline>
        </w:drawing>
      </w:r>
    </w:p>
    <w:p>
      <w:pPr>
        <w:pStyle w:val="Caption"/>
        <w:keepNext w:val="0"/>
        <w:spacing w:after="140"/>
        <w:jc w:val="center"/>
      </w:pPr>
      <w:r>
        <w:rPr>
          <w:rFonts w:ascii="Liberation Serif" w:hAnsi="Liberation Serif" w:eastAsia="Liberation Serif"/>
          <w:b/>
          <w:color w:val="5B6573"/>
          <w:sz w:val="18"/>
        </w:rPr>
        <w:t>Рисунок 16. Локальный предсказательный шлюз v0.6: от линейного направления к интегрируемой допустимой дуге. Собственная схема Тома II.</w:t>
      </w:r>
    </w:p>
    <w:p>
      <w:pPr>
        <w:pStyle w:val="Heading1"/>
        <w:keepNext/>
      </w:pPr>
      <w:r>
        <w:t>55. Вычислительный сертификат tangent/cotangent v0.6</w:t>
      </w:r>
    </w:p>
    <w:p>
      <w:pPr>
        <w:pStyle w:val="Heading2"/>
        <w:keepNext/>
      </w:pPr>
      <w:r>
        <w:t>55.1. Объекты сертификата</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3251"/>
        <w:gridCol w:w="3251"/>
        <w:gridCol w:w="3251"/>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2268"/>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Объект</w:t>
            </w:r>
          </w:p>
        </w:tc>
        <w:tc>
          <w:tcPr>
            <w:tcW w:type="dxa" w:w="5839"/>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Обязательные поля</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TAN-01</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ambient coefficient model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basis, grading, structure equations, Dom, exact field</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JAC-02</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Jacobian DF</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symbolic matrix, rank, minors, parameter domain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GAU-03</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gauge differential d¹</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End_𝔊 basis, orbit rank, stabilizer basis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H2R-04</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reduced tangent</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Z² basis, im d¹ basis, quotient representatives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COT-05</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cotangent/conormal</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m/m² or Jacobian row module, duality assumptions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CON-06</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initial ideal, Gröbner order, reduced/nonreduced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OB2-07</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second-order obstruction</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Q(v,v), target quotient, solver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ARC-08</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integrable arc</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series coefficients, residual order, convergence/formal flag</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LAM-09</w:t>
            </w:r>
          </w:p>
        </w:tc>
        <w:tc>
          <w:tcPr>
            <w:tcW w:type="dxa" w:w="2268"/>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λ-jet</w:t>
            </w:r>
          </w:p>
        </w:tc>
        <w:tc>
          <w:tcPr>
            <w:tcW w:type="dxa" w:w="5839"/>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domain, dλ, Hessian, pole distance, chart witness</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RUN-10</w:t>
            </w:r>
          </w:p>
        </w:tc>
        <w:tc>
          <w:tcPr>
            <w:tcW w:type="dxa" w:w="2268"/>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reproducibility</w:t>
            </w:r>
          </w:p>
        </w:tc>
        <w:tc>
          <w:tcPr>
            <w:tcW w:type="dxa" w:w="5839"/>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code/data hash, CAS version, exact/interval mode, independent run</w:t>
            </w:r>
          </w:p>
        </w:tc>
      </w:tr>
    </w:tbl>
    <w:p>
      <w:pPr>
        <w:spacing w:after="40"/>
      </w:pPr>
    </w:p>
    <w:p>
      <w:pPr>
        <w:pStyle w:val="Heading2"/>
        <w:keepNext/>
      </w:pPr>
      <w:r>
        <w:t>55.2. Автоматические тесты</w:t>
      </w:r>
    </w:p>
    <w:p>
      <w:pPr>
        <w:pStyle w:val="ListBullet"/>
        <w:spacing w:after="50" w:line="264" w:lineRule="auto"/>
      </w:pPr>
      <w:r>
        <w:rPr>
          <w:rFonts w:ascii="Liberation Serif" w:hAnsi="Liberation Serif" w:eastAsia="Liberation Serif"/>
          <w:sz w:val="20"/>
        </w:rPr>
        <w:t>TEST-TAN-01: проверить типы и размеры C²_adm, F и DF;</w:t>
      </w:r>
    </w:p>
    <w:p>
      <w:pPr>
        <w:pStyle w:val="ListBullet"/>
        <w:spacing w:after="50" w:line="264" w:lineRule="auto"/>
      </w:pPr>
      <w:r>
        <w:rPr>
          <w:rFonts w:ascii="Liberation Serif" w:hAnsi="Liberation Serif" w:eastAsia="Liberation Serif"/>
          <w:sz w:val="20"/>
        </w:rPr>
        <w:t>TEST-DER-02: ker d¹ совпадает с прямым решением уравнений деривации;</w:t>
      </w:r>
    </w:p>
    <w:p>
      <w:pPr>
        <w:pStyle w:val="ListBullet"/>
        <w:spacing w:after="50" w:line="264" w:lineRule="auto"/>
      </w:pPr>
      <w:r>
        <w:rPr>
          <w:rFonts w:ascii="Liberation Serif" w:hAnsi="Liberation Serif" w:eastAsia="Liberation Serif"/>
          <w:sz w:val="20"/>
        </w:rPr>
        <w:t>TEST-ORB-03: rank im d¹ равен размерности инфинитезимальной орбиты;</w:t>
      </w:r>
    </w:p>
    <w:p>
      <w:pPr>
        <w:pStyle w:val="ListBullet"/>
        <w:spacing w:after="50" w:line="264" w:lineRule="auto"/>
      </w:pPr>
      <w:r>
        <w:rPr>
          <w:rFonts w:ascii="Liberation Serif" w:hAnsi="Liberation Serif" w:eastAsia="Liberation Serif"/>
          <w:sz w:val="20"/>
        </w:rPr>
        <w:t>TEST-H2-04: представители quotient независимы modulo im d¹;</w:t>
      </w:r>
    </w:p>
    <w:p>
      <w:pPr>
        <w:pStyle w:val="ListBullet"/>
        <w:spacing w:after="50" w:line="264" w:lineRule="auto"/>
      </w:pPr>
      <w:r>
        <w:rPr>
          <w:rFonts w:ascii="Liberation Serif" w:hAnsi="Liberation Serif" w:eastAsia="Liberation Serif"/>
          <w:sz w:val="20"/>
        </w:rPr>
        <w:t>TEST-COT-05: pairing tangent/cotangent невырожден только при заявленных гипотезах;</w:t>
      </w:r>
    </w:p>
    <w:p>
      <w:pPr>
        <w:pStyle w:val="ListBullet"/>
        <w:spacing w:after="50" w:line="264" w:lineRule="auto"/>
      </w:pPr>
      <w:r>
        <w:rPr>
          <w:rFonts w:ascii="Liberation Serif" w:hAnsi="Liberation Serif" w:eastAsia="Liberation Serif"/>
          <w:sz w:val="20"/>
        </w:rPr>
        <w:t>TEST-CONE-06: initial ideal и tangent cone вычислены в точной арифметике;</w:t>
      </w:r>
    </w:p>
    <w:p>
      <w:pPr>
        <w:pStyle w:val="ListBullet"/>
        <w:spacing w:after="50" w:line="264" w:lineRule="auto"/>
      </w:pPr>
      <w:r>
        <w:rPr>
          <w:rFonts w:ascii="Liberation Serif" w:hAnsi="Liberation Serif" w:eastAsia="Liberation Serif"/>
          <w:sz w:val="20"/>
        </w:rPr>
        <w:t>TEST-NODE-07: пример xy=0 отклоняет направление (1,1) на cone/arc gate;</w:t>
      </w:r>
    </w:p>
    <w:p>
      <w:pPr>
        <w:pStyle w:val="ListBullet"/>
        <w:spacing w:after="50" w:line="264" w:lineRule="auto"/>
      </w:pPr>
      <w:r>
        <w:rPr>
          <w:rFonts w:ascii="Liberation Serif" w:hAnsi="Liberation Serif" w:eastAsia="Liberation Serif"/>
          <w:sz w:val="20"/>
        </w:rPr>
        <w:t>TEST-ASS-08: Ass_{μ+tν}=Ass_μ+t DAss_μν+t²Ass_ν проверено символически;</w:t>
      </w:r>
    </w:p>
    <w:p>
      <w:pPr>
        <w:pStyle w:val="ListBullet"/>
        <w:spacing w:after="50" w:line="264" w:lineRule="auto"/>
      </w:pPr>
      <w:r>
        <w:rPr>
          <w:rFonts w:ascii="Liberation Serif" w:hAnsi="Liberation Serif" w:eastAsia="Liberation Serif"/>
          <w:sz w:val="20"/>
        </w:rPr>
        <w:t>TEST-OB2-09: second-order equation решено либо возвращён obstruction class;</w:t>
      </w:r>
    </w:p>
    <w:p>
      <w:pPr>
        <w:pStyle w:val="ListBullet"/>
        <w:spacing w:after="50" w:line="264" w:lineRule="auto"/>
      </w:pPr>
      <w:r>
        <w:rPr>
          <w:rFonts w:ascii="Liberation Serif" w:hAnsi="Liberation Serif" w:eastAsia="Liberation Serif"/>
          <w:sz w:val="20"/>
        </w:rPr>
        <w:t>TEST-LAM-10: dλ совпадает при допустимой PGL₂-смене карты;</w:t>
      </w:r>
    </w:p>
    <w:p>
      <w:pPr>
        <w:pStyle w:val="ListBullet"/>
        <w:spacing w:after="50" w:line="264" w:lineRule="auto"/>
      </w:pPr>
      <w:r>
        <w:rPr>
          <w:rFonts w:ascii="Liberation Serif" w:hAnsi="Liberation Serif" w:eastAsia="Liberation Serif"/>
          <w:sz w:val="20"/>
        </w:rPr>
        <w:t>TEST-HARM-11: D|λ+1|²=0 на λ=-1 и Hessian вычислен;</w:t>
      </w:r>
    </w:p>
    <w:p>
      <w:pPr>
        <w:pStyle w:val="ListBullet"/>
        <w:spacing w:after="50" w:line="264" w:lineRule="auto"/>
      </w:pPr>
      <w:r>
        <w:rPr>
          <w:rFonts w:ascii="Liberation Serif" w:hAnsi="Liberation Serif" w:eastAsia="Liberation Serif"/>
          <w:sz w:val="20"/>
        </w:rPr>
        <w:t>TEST-HOR-12: rank/stabilizer/pole/projectivity jumps включены в Δ_lin;</w:t>
      </w:r>
    </w:p>
    <w:p>
      <w:pPr>
        <w:pStyle w:val="ListBullet"/>
        <w:spacing w:after="50" w:line="264" w:lineRule="auto"/>
      </w:pPr>
      <w:r>
        <w:rPr>
          <w:rFonts w:ascii="Liberation Serif" w:hAnsi="Liberation Serif" w:eastAsia="Liberation Serif"/>
          <w:sz w:val="20"/>
        </w:rPr>
        <w:t>TEST-GATE-13: отсутствие arc witness принудительно даёт FORMAL-DIRECTION/ABSTAIN;</w:t>
      </w:r>
    </w:p>
    <w:p>
      <w:pPr>
        <w:pStyle w:val="ListBullet"/>
        <w:spacing w:after="50" w:line="264" w:lineRule="auto"/>
      </w:pPr>
      <w:r>
        <w:rPr>
          <w:rFonts w:ascii="Liberation Serif" w:hAnsi="Liberation Serif" w:eastAsia="Liberation Serif"/>
          <w:sz w:val="20"/>
        </w:rPr>
        <w:t>TEST-HASH-14: все входы и proof objects имеют совпадающие контрольные хеши.</w:t>
      </w:r>
    </w:p>
    <w:p>
      <w:pPr>
        <w:pStyle w:val="Heading2"/>
        <w:keepNext/>
      </w:pPr>
      <w:r>
        <w:t>55.3. Blocker-safe псевдокод</w:t>
      </w:r>
    </w:p>
    <w:tbl>
      <w:tblPr>
        <w:tblW w:type="auto" w:w="0"/>
        <w:jc w:val="center"/>
        <w:tblLook w:firstColumn="1" w:firstRow="1" w:lastColumn="0" w:lastRow="0" w:noHBand="0" w:noVBand="1" w:val="04A0"/>
        <w:tblBorders>
          <w:top w:val="single" w:sz="6" w:color="CBD5E1"/>
          <w:left w:val="single" w:sz="6" w:color="CBD5E1"/>
          <w:bottom w:val="single" w:sz="6" w:color="CBD5E1"/>
          <w:right w:val="single" w:sz="6" w:color="CBD5E1"/>
          <w:insideH w:val="single" w:sz="6" w:color="CBD5E1"/>
          <w:insideV w:val="single" w:sz="6" w:color="CBD5E1"/>
        </w:tblBorders>
      </w:tblPr>
      <w:tblGrid>
        <w:gridCol w:w="9752"/>
      </w:tblGrid>
      <w:tr>
        <w:tc>
          <w:tcPr>
            <w:tcW w:type="dxa" w:w="9752"/>
            <w:shd w:fill="F5F7FA"/>
            <w:tcMar>
              <w:top w:w="140" w:type="dxa"/>
              <w:start w:w="160" w:type="dxa"/>
              <w:bottom w:w="140" w:type="dxa"/>
              <w:end w:w="160" w:type="dxa"/>
            </w:tcMar>
          </w:tcPr>
          <w:p>
            <w:pPr>
              <w:spacing w:after="0" w:line="240" w:lineRule="auto"/>
            </w:pPr>
            <w:r>
              <w:rPr>
                <w:rFonts w:ascii="Liberation Mono" w:hAnsi="Liberation Mono" w:eastAsia="Liberation Mono"/>
                <w:color w:val="263238"/>
                <w:sz w:val="15"/>
              </w:rPr>
              <w:t>INPUT: local model x=(mu,reper,D,Dom), constraints G, candidate direction v</w:t>
              <w:br/>
              <w:t>1. compute J = D G_x and test v in ker J; otherwise REJECT</w:t>
              <w:br/>
              <w:t>2. compute tangent cone; if v not in cone, return ABSTAIN(B_cone)</w:t>
              <w:br/>
              <w:t>3. solve D G_x(w)+Q_x(v,v)=0; if impossible, return OBSTRUCTED</w:t>
              <w:br/>
              <w:t>4. construct formal/analytic arc and verify residual order; else FORMAL-DIRECTION</w:t>
              <w:br/>
              <w:t>5. evaluate lambda jet, Evidence-D, Dom, descent and duality blockers</w:t>
              <w:br/>
              <w:t>6. if Block_tan is empty: INT-DIR; never promote to EVENT without domain validation.</w:t>
            </w:r>
          </w:p>
        </w:tc>
      </w:tr>
    </w:tbl>
    <w:p>
      <w:pPr>
        <w:spacing w:after="40"/>
      </w:pPr>
    </w:p>
    <w:p>
      <w:pPr>
        <w:pStyle w:val="Heading1"/>
        <w:keepNext/>
      </w:pPr>
      <w:r>
        <w:t>56. Теоремный пакет и доказательные обязательства v0.6</w:t>
      </w:r>
    </w:p>
    <w:p>
      <w:pPr>
        <w:pStyle w:val="Heading2"/>
        <w:keepNext/>
      </w:pPr>
      <w:r>
        <w:t>56.1. Реестр формальных результатов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13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ID</w:t>
            </w:r>
          </w:p>
        </w:tc>
        <w:tc>
          <w:tcPr>
            <w:tcW w:type="dxa" w:w="425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Результат</w:t>
            </w:r>
          </w:p>
        </w:tc>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Статус</w:t>
            </w:r>
          </w:p>
        </w:tc>
        <w:tc>
          <w:tcPr>
            <w:tcW w:type="dxa" w:w="2494"/>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7"/>
              </w:rPr>
              <w:t>Зависимости</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dual-number tangent = derivations</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affine local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T8.7</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tangent cone embeds in tangent space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CL</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local algebra</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formula for DAss_μ</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bilinearity</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T8.15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stabilizer = structural derivations</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gauge action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T8.18</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no canonical T≅T*</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linear algebra</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T8.21</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first order does not imply integrability</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cone/arc comparison</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T8.22</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quadratic onset at zero multiplication</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A₂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constant-rank smooth quotient</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free proper gauge</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T8.27</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profile constancy outside Δ_safe</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COND</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regular finite model</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T8.28</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differential of λ</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away from poles</w:t>
            </w:r>
          </w:p>
        </w:tc>
      </w:tr>
      <w:tr>
        <w:tc>
          <w:tcPr>
            <w:tcW w:type="dxa" w:w="113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T8.31</w:t>
            </w:r>
          </w:p>
        </w:tc>
        <w:tc>
          <w:tcPr>
            <w:tcW w:type="dxa" w:w="425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first-order blindness of |λ+1|²</w:t>
            </w:r>
          </w:p>
        </w:tc>
        <w:tc>
          <w:tcPr>
            <w:tcW w:type="dxa" w:w="1361"/>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7"/>
              </w:rPr>
              <w:t>R/C smooth chart</w:t>
            </w:r>
          </w:p>
        </w:tc>
      </w:tr>
      <w:tr>
        <w:tc>
          <w:tcPr>
            <w:tcW w:type="dxa" w:w="113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T8.35</w:t>
            </w:r>
          </w:p>
        </w:tc>
        <w:tc>
          <w:tcPr>
            <w:tcW w:type="dxa" w:w="425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no event from tangent data alone</w:t>
            </w:r>
          </w:p>
        </w:tc>
        <w:tc>
          <w:tcPr>
            <w:tcW w:type="dxa" w:w="1361"/>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7"/>
              </w:rPr>
              <w:t>THM</w:t>
            </w:r>
          </w:p>
        </w:tc>
        <w:tc>
          <w:tcPr>
            <w:tcW w:type="dxa" w:w="2494"/>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7"/>
              </w:rPr>
              <w:t>definition of event gate</w:t>
            </w:r>
          </w:p>
        </w:tc>
      </w:tr>
    </w:tbl>
    <w:p>
      <w:pPr>
        <w:spacing w:after="40"/>
      </w:pPr>
    </w:p>
    <w:p>
      <w:pPr>
        <w:pStyle w:val="Heading2"/>
        <w:keepNext/>
        <w:pageBreakBefore/>
      </w:pPr>
      <w:r>
        <w:t>56.2. Обновление матрицы доказательных обязательств</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2438"/>
        <w:gridCol w:w="2438"/>
        <w:gridCol w:w="2438"/>
        <w:gridCol w:w="2438"/>
      </w:tblGrid>
      <w:tr>
        <w:trPr>
          <w:tblHeader w:val="true"/>
        </w:trPr>
        <w:tc>
          <w:tcPr>
            <w:tcW w:type="dxa" w:w="136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PO</w:t>
            </w:r>
          </w:p>
        </w:tc>
        <w:tc>
          <w:tcPr>
            <w:tcW w:type="dxa" w:w="4082"/>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Содержание</w:t>
            </w:r>
          </w:p>
        </w:tc>
        <w:tc>
          <w:tcPr>
            <w:tcW w:type="dxa" w:w="1417"/>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Статус</w:t>
            </w:r>
          </w:p>
        </w:tc>
        <w:tc>
          <w:tcPr>
            <w:tcW w:type="dxa" w:w="2381"/>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6"/>
              </w:rPr>
              <w:t>Следующее действие</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Сравнение curve/dual-number/derivation tangent</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8.2; глобализовать по атласу</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Кокасательный модуль NAPG вне commutative envelope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задать универсальный bimodule differential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Формула линеаризации Ass</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теорема 8.12</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T2-PO-044</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Gauge complex и Der-stabilizer</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теорема 8.15</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T2-PO-045</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Finite-projective tangent/cotangent duality</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CLOSED/COND</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проверять на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T2-PO-046</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 cone для пространства NAPG-операций</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вычислить initial ideals A₂/M₂/octonions</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T2-PO-047</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Second-order obstruction map</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связать Q с Θ_min и O_B</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T2-PO-048</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Интегрируемость H²_red классов</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построить formal arcs и versal model</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T2-PO-049</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Smooth locus quotient NAPG</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проверить free/proper или stacky replacement</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T2-PO-050</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Differential/Hessian λ</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CLOSED/LOCAL</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теоремы 8.28 и 8.31</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T2-PO-051</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Linearization horizon Δ_lin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DEFINED/OPEN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вычислить на параметрических моделях</w:t>
            </w:r>
          </w:p>
        </w:tc>
      </w:tr>
      <w:tr>
        <w:tc>
          <w:tcPr>
            <w:tcW w:type="dxa" w:w="136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T2-PO-052</w:t>
            </w:r>
          </w:p>
        </w:tc>
        <w:tc>
          <w:tcPr>
            <w:tcW w:type="dxa" w:w="4082"/>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Tangent-safe predictive certificate</w:t>
            </w:r>
          </w:p>
        </w:tc>
        <w:tc>
          <w:tcPr>
            <w:tcW w:type="dxa" w:w="1417"/>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6"/>
              </w:rPr>
              <w:t>реализовать TEST-TAN-01 - TEST-HASH-14</w:t>
            </w:r>
          </w:p>
        </w:tc>
      </w:tr>
      <w:tr>
        <w:tc>
          <w:tcPr>
            <w:tcW w:type="dxa" w:w="136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T2-PO-053</w:t>
            </w:r>
          </w:p>
        </w:tc>
        <w:tc>
          <w:tcPr>
            <w:tcW w:type="dxa" w:w="4082"/>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Independent domain run</w:t>
            </w:r>
          </w:p>
        </w:tc>
        <w:tc>
          <w:tcPr>
            <w:tcW w:type="dxa" w:w="1417"/>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6"/>
              </w:rPr>
              <w:t>OPEN</w:t>
            </w:r>
          </w:p>
        </w:tc>
        <w:tc>
          <w:tcPr>
            <w:tcW w:type="dxa" w:w="2381"/>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6"/>
              </w:rPr>
              <w:t>только после адаптера и preregistration</w:t>
            </w:r>
          </w:p>
        </w:tc>
      </w:tr>
    </w:tbl>
    <w:p>
      <w:pPr>
        <w:spacing w:after="40"/>
      </w:pPr>
    </w:p>
    <w:p>
      <w:pPr>
        <w:pStyle w:val="Heading1"/>
        <w:keepNext/>
      </w:pPr>
      <w:r>
        <w:t>57. Библиографическая синхронизация и контрольная точка v0.6</w:t>
      </w:r>
    </w:p>
    <w:p>
      <w:pPr>
        <w:pStyle w:val="Heading2"/>
        <w:keepNext/>
      </w:pPr>
      <w:r>
        <w:t>57.1. Первичные и канонические источники</w:t>
      </w:r>
    </w:p>
    <w:p>
      <w:pPr>
        <w:spacing w:after="60"/>
        <w:ind w:firstLine="0"/>
      </w:pPr>
      <w:r>
        <w:rPr>
          <w:rFonts w:ascii="Liberation Serif" w:hAnsi="Liberation Serif" w:eastAsia="Liberation Serif"/>
          <w:sz w:val="19"/>
        </w:rPr>
        <w:t xml:space="preserve">[V0.6-1] The Stacks Project, Tag 0B28: Tangent spaces. </w:t>
      </w:r>
      <w:hyperlink r:id="rId38">
        <w:r>
          <w:rPr>
            <w:color w:val="2F5597"/>
            <w:u w:val="single"/>
          </w:rPr>
          <w:t>[источник]</w:t>
        </w:r>
      </w:hyperlink>
    </w:p>
    <w:p>
      <w:pPr>
        <w:spacing w:after="60"/>
        <w:ind w:firstLine="0"/>
      </w:pPr>
      <w:r>
        <w:rPr>
          <w:rFonts w:ascii="Liberation Serif" w:hAnsi="Liberation Serif" w:eastAsia="Liberation Serif"/>
          <w:sz w:val="19"/>
        </w:rPr>
        <w:t xml:space="preserve">[V0.6-2] The Stacks Project, Tag 00RM: Kähler differentials and universal derivations. </w:t>
      </w:r>
      <w:hyperlink r:id="rId39">
        <w:r>
          <w:rPr>
            <w:color w:val="2F5597"/>
            <w:u w:val="single"/>
          </w:rPr>
          <w:t>[источник]</w:t>
        </w:r>
      </w:hyperlink>
    </w:p>
    <w:p>
      <w:pPr>
        <w:spacing w:after="60"/>
        <w:ind w:firstLine="0"/>
      </w:pPr>
      <w:r>
        <w:rPr>
          <w:rFonts w:ascii="Liberation Serif" w:hAnsi="Liberation Serif" w:eastAsia="Liberation Serif"/>
          <w:sz w:val="19"/>
        </w:rPr>
        <w:t xml:space="preserve">[V0.6-3] The Stacks Project, Chapter 92, Tag 08P5: The Cotangent Complex. </w:t>
      </w:r>
      <w:hyperlink r:id="rId40">
        <w:r>
          <w:rPr>
            <w:color w:val="2F5597"/>
            <w:u w:val="single"/>
          </w:rPr>
          <w:t>[источник]</w:t>
        </w:r>
      </w:hyperlink>
    </w:p>
    <w:p>
      <w:pPr>
        <w:spacing w:after="60"/>
        <w:ind w:firstLine="0"/>
      </w:pPr>
      <w:r>
        <w:rPr>
          <w:rFonts w:ascii="Liberation Serif" w:hAnsi="Liberation Serif" w:eastAsia="Liberation Serif"/>
          <w:sz w:val="19"/>
        </w:rPr>
        <w:t xml:space="preserve">[V0.6-4] The Stacks Project, Tag 06I2: Tangent spaces of functors. </w:t>
      </w:r>
      <w:hyperlink r:id="rId41">
        <w:r>
          <w:rPr>
            <w:color w:val="2F5597"/>
            <w:u w:val="single"/>
          </w:rPr>
          <w:t>[источник]</w:t>
        </w:r>
      </w:hyperlink>
    </w:p>
    <w:p>
      <w:pPr>
        <w:spacing w:after="60"/>
        <w:ind w:firstLine="0"/>
      </w:pPr>
      <w:r>
        <w:rPr>
          <w:rFonts w:ascii="Liberation Serif" w:hAnsi="Liberation Serif" w:eastAsia="Liberation Serif"/>
          <w:sz w:val="19"/>
        </w:rPr>
        <w:t xml:space="preserve">[V0.6-5] The Stacks Project, Tag 02GZ: Formally smooth morphisms. </w:t>
      </w:r>
      <w:hyperlink r:id="rId42">
        <w:r>
          <w:rPr>
            <w:color w:val="2F5597"/>
            <w:u w:val="single"/>
          </w:rPr>
          <w:t>[источник]</w:t>
        </w:r>
      </w:hyperlink>
    </w:p>
    <w:p>
      <w:pPr>
        <w:spacing w:after="60"/>
        <w:ind w:firstLine="0"/>
      </w:pPr>
      <w:r>
        <w:rPr>
          <w:rFonts w:ascii="Liberation Serif" w:hAnsi="Liberation Serif" w:eastAsia="Liberation Serif"/>
          <w:sz w:val="19"/>
        </w:rPr>
        <w:t xml:space="preserve">[V0.6-6] Schlessinger, M. Functors of Artin Rings. Transactions AMS 130 (1968), 208-222. </w:t>
      </w:r>
      <w:hyperlink r:id="rId43">
        <w:r>
          <w:rPr>
            <w:color w:val="2F5597"/>
            <w:u w:val="single"/>
          </w:rPr>
          <w:t>[источник]</w:t>
        </w:r>
      </w:hyperlink>
    </w:p>
    <w:p>
      <w:pPr>
        <w:spacing w:after="60"/>
        <w:ind w:firstLine="0"/>
      </w:pPr>
      <w:r>
        <w:rPr>
          <w:rFonts w:ascii="Liberation Serif" w:hAnsi="Liberation Serif" w:eastAsia="Liberation Serif"/>
          <w:sz w:val="19"/>
        </w:rPr>
        <w:t xml:space="preserve">[V0.6-7] Nijenhuis, A.; Richardson, R. W. Cohomology and Deformations of Algebraic Structures. Bull. AMS 70 (1964), 406-411. </w:t>
      </w:r>
      <w:hyperlink r:id="rId44">
        <w:r>
          <w:rPr>
            <w:color w:val="2F5597"/>
            <w:u w:val="single"/>
          </w:rPr>
          <w:t>[источник]</w:t>
        </w:r>
      </w:hyperlink>
    </w:p>
    <w:p>
      <w:pPr>
        <w:spacing w:after="60"/>
        <w:ind w:firstLine="0"/>
      </w:pPr>
      <w:r>
        <w:rPr>
          <w:rFonts w:ascii="Liberation Serif" w:hAnsi="Liberation Serif" w:eastAsia="Liberation Serif"/>
          <w:sz w:val="19"/>
        </w:rPr>
        <w:t xml:space="preserve">[V0.6-8] Nijenhuis, A.; Richardson, R. W. Cohomology and Deformations in Graded Lie Algebras. Bull. AMS 72 (1966), 1-29. </w:t>
      </w:r>
      <w:hyperlink r:id="rId45">
        <w:r>
          <w:rPr>
            <w:color w:val="2F5597"/>
            <w:u w:val="single"/>
          </w:rPr>
          <w:t>[источник]</w:t>
        </w:r>
      </w:hyperlink>
    </w:p>
    <w:p>
      <w:pPr>
        <w:spacing w:after="60"/>
        <w:ind w:firstLine="0"/>
      </w:pPr>
      <w:r>
        <w:rPr>
          <w:rFonts w:ascii="Liberation Serif" w:hAnsi="Liberation Serif" w:eastAsia="Liberation Serif"/>
          <w:sz w:val="19"/>
        </w:rPr>
        <w:t xml:space="preserve">[V0.6-9] Gerstenhaber, M. On the Deformation of Rings and Algebras II. Annals of Mathematics 84 (1966), 1-19. </w:t>
      </w:r>
      <w:hyperlink r:id="rId46">
        <w:r>
          <w:rPr>
            <w:color w:val="2F5597"/>
            <w:u w:val="single"/>
          </w:rPr>
          <w:t>[источник]</w:t>
        </w:r>
      </w:hyperlink>
    </w:p>
    <w:p>
      <w:pPr>
        <w:spacing w:after="60"/>
        <w:ind w:firstLine="0"/>
      </w:pPr>
      <w:r>
        <w:rPr>
          <w:rFonts w:ascii="Liberation Serif" w:hAnsi="Liberation Serif" w:eastAsia="Liberation Serif"/>
          <w:sz w:val="19"/>
        </w:rPr>
        <w:t>[V0.6-10] Kurpishev, I. B. Том I v197 RU; Том II T2-RP-v0.1-v0.5. Канонические внутренние источники проекта.</w:t>
      </w:r>
    </w:p>
    <w:tbl>
      <w:tblPr>
        <w:tblW w:type="auto" w:w="0"/>
        <w:jc w:val="center"/>
        <w:tblLayout w:type="autofit"/>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9752"/>
      </w:tblGrid>
      <w:tr>
        <w:tc>
          <w:tcPr>
            <w:tcW w:type="dxa" w:w="9752"/>
            <w:shd w:fill="D9EAF7"/>
            <w:tcMar>
              <w:top w:w="150" w:type="dxa"/>
              <w:start w:w="180" w:type="dxa"/>
              <w:bottom w:w="150" w:type="dxa"/>
              <w:end w:w="180" w:type="dxa"/>
            </w:tcMar>
            <w:vAlign w:val="center"/>
          </w:tcPr>
          <w:p>
            <w:pPr>
              <w:spacing w:after="60"/>
            </w:pPr>
            <w:r>
              <w:rPr>
                <w:rFonts w:ascii="Liberation Sans" w:hAnsi="Liberation Sans" w:eastAsia="Liberation Sans"/>
                <w:b/>
                <w:color w:val="17365D"/>
                <w:sz w:val="21"/>
              </w:rPr>
              <w:t>Граница prior art и авторского вклада</w:t>
            </w:r>
          </w:p>
          <w:p>
            <w:pPr>
              <w:spacing w:after="0" w:line="269" w:lineRule="auto"/>
            </w:pPr>
            <w:r>
              <w:rPr>
                <w:rFonts w:ascii="Liberation Serif" w:hAnsi="Liberation Serif" w:eastAsia="Liberation Serif"/>
                <w:color w:val="27313F"/>
                <w:sz w:val="20"/>
              </w:rPr>
              <w:t>Классические tangent spaces, Kähler differentials, tangent cones, formal smoothness, cotangent complexes и deformation functors относятся к prior art. Авторская линия v0.6 состоит в типизированном соединении этих конструкций с NAPG_q, R⋆R, Θ_min, Reper(R,I,U;D), projective-harmonic λ-jet, blocker-safe linearization horizon и сертификатом интегрируемого направления KLT-RBD. Статус этой архитектуры остаётся математическим и программно-методологическим до независимой предметной проверки.</w:t>
            </w:r>
          </w:p>
        </w:tc>
      </w:tr>
    </w:tbl>
    <w:p>
      <w:pPr>
        <w:spacing w:after="40"/>
      </w:pPr>
    </w:p>
    <w:p>
      <w:pPr>
        <w:pStyle w:val="Heading2"/>
        <w:keepNext/>
      </w:pPr>
      <w:r>
        <w:t>57.2. Контрольная точка T2-RP-v0.6</w:t>
      </w:r>
    </w:p>
    <w:tbl>
      <w:tblPr>
        <w:tblStyle w:val="TableGrid"/>
        <w:tblW w:type="auto" w:w="0"/>
        <w:jc w:val="center"/>
        <w:tblLayout w:type="fixed"/>
        <w:tblLook w:firstColumn="1" w:firstRow="1" w:lastColumn="0" w:lastRow="0" w:noHBand="0" w:noVBand="1" w:val="04A0"/>
        <w:tblBorders>
          <w:top w:val="single" w:sz="6" w:color="B8C6D9"/>
          <w:left w:val="single" w:sz="6" w:color="B8C6D9"/>
          <w:bottom w:val="single" w:sz="6" w:color="B8C6D9"/>
          <w:right w:val="single" w:sz="6" w:color="B8C6D9"/>
          <w:insideH w:val="single" w:sz="6" w:color="B8C6D9"/>
          <w:insideV w:val="single" w:sz="6" w:color="B8C6D9"/>
        </w:tblBorders>
      </w:tblPr>
      <w:tblGrid>
        <w:gridCol w:w="4876"/>
        <w:gridCol w:w="4876"/>
      </w:tblGrid>
      <w:tr>
        <w:trPr>
          <w:tblHeader w:val="true"/>
        </w:trPr>
        <w:tc>
          <w:tcPr>
            <w:tcW w:type="dxa" w:w="2835"/>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Фиксация выпуска</w:t>
            </w:r>
          </w:p>
        </w:tc>
        <w:tc>
          <w:tcPr>
            <w:tcW w:type="dxa" w:w="6406"/>
            <w:shd w:fill="D9E2F3"/>
            <w:tcMar>
              <w:top w:w="120" w:type="dxa"/>
              <w:start w:w="110" w:type="dxa"/>
              <w:bottom w:w="120" w:type="dxa"/>
              <w:end w:w="110" w:type="dxa"/>
            </w:tcMar>
            <w:vAlign w:val="center"/>
          </w:tcPr>
          <w:p>
            <w:pPr>
              <w:spacing w:after="0"/>
              <w:jc w:val="center"/>
            </w:pPr>
            <w:r>
              <w:rPr>
                <w:rFonts w:ascii="Liberation Sans" w:hAnsi="Liberation Sans" w:eastAsia="Liberation Sans"/>
                <w:b/>
                <w:color w:val="17365D"/>
                <w:sz w:val="18"/>
              </w:rPr>
              <w:t>Значение</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Канонический источник</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tom2_v0_5.docx + tom2_v0_5.pdf</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Новый математический слой</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глава 8: tangent/cotangent, tangent cone, deformation complex, smoothness</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Закрытые обязательства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T2-PO-041, 043, 044, 050; условно 045</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Открытые обязательства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T2-PO-042, 046-049, 051-053</w:t>
            </w:r>
          </w:p>
        </w:tc>
      </w:tr>
      <w:tr>
        <w:tc>
          <w:tcPr>
            <w:tcW w:type="dxa" w:w="2835"/>
            <w:tcMar>
              <w:top w:w="110" w:type="dxa"/>
              <w:start w:w="105" w:type="dxa"/>
              <w:bottom w:w="110" w:type="dxa"/>
              <w:end w:w="105" w:type="dxa"/>
            </w:tcMar>
            <w:vAlign w:val="center"/>
          </w:tcPr>
          <w:p>
            <w:pPr>
              <w:spacing w:after="0" w:line="254" w:lineRule="auto"/>
              <w:jc w:val="center"/>
            </w:pPr>
            <w:r>
              <w:rPr>
                <w:rFonts w:ascii="Liberation Serif" w:hAnsi="Liberation Serif" w:eastAsia="Liberation Serif"/>
                <w:sz w:val="18"/>
              </w:rPr>
              <w:t>Доказательная граница</w:t>
            </w:r>
          </w:p>
        </w:tc>
        <w:tc>
          <w:tcPr>
            <w:tcW w:type="dxa" w:w="6406"/>
            <w:tcMar>
              <w:top w:w="110" w:type="dxa"/>
              <w:start w:w="105" w:type="dxa"/>
              <w:bottom w:w="110" w:type="dxa"/>
              <w:end w:w="105" w:type="dxa"/>
            </w:tcMar>
            <w:vAlign w:val="center"/>
          </w:tcPr>
          <w:p>
            <w:pPr>
              <w:spacing w:after="0" w:line="254" w:lineRule="auto"/>
              <w:jc w:val="left"/>
            </w:pPr>
            <w:r>
              <w:rPr>
                <w:rFonts w:ascii="Liberation Serif" w:hAnsi="Liberation Serif" w:eastAsia="Liberation Serif"/>
                <w:sz w:val="18"/>
              </w:rPr>
              <w:t>truth_layer_promotion=0</w:t>
            </w:r>
          </w:p>
        </w:tc>
      </w:tr>
      <w:tr>
        <w:tc>
          <w:tcPr>
            <w:tcW w:type="dxa" w:w="2835"/>
            <w:tcMar>
              <w:top w:w="110" w:type="dxa"/>
              <w:start w:w="105" w:type="dxa"/>
              <w:bottom w:w="110" w:type="dxa"/>
              <w:end w:w="105" w:type="dxa"/>
            </w:tcMar>
            <w:vAlign w:val="center"/>
            <w:shd w:fill="F7F9FC"/>
          </w:tcPr>
          <w:p>
            <w:pPr>
              <w:spacing w:after="0" w:line="254" w:lineRule="auto"/>
              <w:jc w:val="center"/>
            </w:pPr>
            <w:r>
              <w:rPr>
                <w:rFonts w:ascii="Liberation Serif" w:hAnsi="Liberation Serif" w:eastAsia="Liberation Serif"/>
                <w:sz w:val="18"/>
              </w:rPr>
              <w:t>Следующая точка</w:t>
            </w:r>
          </w:p>
        </w:tc>
        <w:tc>
          <w:tcPr>
            <w:tcW w:type="dxa" w:w="6406"/>
            <w:tcMar>
              <w:top w:w="110" w:type="dxa"/>
              <w:start w:w="105" w:type="dxa"/>
              <w:bottom w:w="110" w:type="dxa"/>
              <w:end w:w="105" w:type="dxa"/>
            </w:tcMar>
            <w:vAlign w:val="center"/>
            <w:shd w:fill="F7F9FC"/>
          </w:tcPr>
          <w:p>
            <w:pPr>
              <w:spacing w:after="0" w:line="254" w:lineRule="auto"/>
              <w:jc w:val="left"/>
            </w:pPr>
            <w:r>
              <w:rPr>
                <w:rFonts w:ascii="Liberation Serif" w:hAnsi="Liberation Serif" w:eastAsia="Liberation Serif"/>
                <w:sz w:val="18"/>
              </w:rPr>
              <w:t>T2-RP-v0.7: связности, кривизна, голономия и ассоциаторная кривизна</w:t>
            </w:r>
          </w:p>
        </w:tc>
      </w:tr>
    </w:tbl>
    <w:p>
      <w:pPr>
        <w:spacing w:after="40"/>
      </w:pPr>
    </w:p>
    <w:p>
      <w:pPr>
        <w:pStyle w:val="Small"/>
        <w:spacing w:after="100" w:line="278" w:lineRule="auto"/>
        <w:jc w:val="center"/>
      </w:pPr>
      <w:r>
        <w:rPr>
          <w:rFonts w:ascii="Liberation Serif" w:hAnsi="Liberation Serif" w:eastAsia="Liberation Serif"/>
          <w:sz w:val="21"/>
        </w:rPr>
        <w:t>checkpoint=T2-RP-v0.6; source=T2-RP-v0.5; truth_layer_promotion=0; next=T2-RP-v0.7.</w:t>
      </w:r>
    </w:p>
    <w:p>
      <w:r>
        <w:br w:type="page"/>
      </w:r>
    </w:p>
    <w:p>
      <w:pPr>
        <w:pStyle w:val="Heading1"/>
        <w:pageBreakBefore w:val="0"/>
        <w:spacing w:before="200" w:after="100"/>
        <w:keepNext/>
      </w:pPr>
      <w:r>
        <w:t>58. Глава 9: связности, кривизна, голономия и ассоциаторная кривизна</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Связность не является ещё одной операцией в волокне. Она задаёт правило сравнения элементов разных волокон. Кривизна измеряет дефект коммутативности инфинитезимальных переносов, а голономия хранит глобальную память замкнутых путей.</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Ассоциатор и кривизна принадлежат разным типам данных. Первый является тернарным алгебраическим тензором волокна, вторая - двумерной формой со значениями в эндоморфизмах. Их связь требует явно заданного функтора, совместимой связности и доказанной естественности.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В наблюдаемом обходе порядок локальных действий может оставлять глобальный след. Но этот след нельзя объявлять ассоциатором: сначала необходимо показать, какой объект переносится, какая операция сохраняется и какой дефект измеряется.</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Формулы Hol_D=Ass_⊙, R_∇=Ass_⊙ и «ненулевая неассоциативность порождает кривизну» запрещены как нетипизированные. В v0.7 допускаются только C_∇, ∇Ass, K_Ass и H_Ass с явными Dom/Cod и статусами.</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v0.7. Классический слой связностей и голономии отделён от авторского NAPG-моста. Физический экспорт отсутствует; результат относится к математической геометрии расслоений и к внутреннему предсказательному аудиту.</w:t>
      </w:r>
    </w:p>
    <w:p>
      <w:pPr>
        <w:spacing w:before="100" w:after="40"/>
        <w:jc w:val="center"/>
      </w:pPr>
      <w:r>
        <w:drawing>
          <wp:inline xmlns:a="http://schemas.openxmlformats.org/drawingml/2006/main" xmlns:pic="http://schemas.openxmlformats.org/drawingml/2006/picture">
            <wp:extent cx="6172200" cy="3597091"/>
            <wp:docPr id="21" name="Picture 21"/>
            <wp:cNvGraphicFramePr>
              <a:graphicFrameLocks noChangeAspect="1"/>
            </wp:cNvGraphicFramePr>
            <a:graphic>
              <a:graphicData uri="http://schemas.openxmlformats.org/drawingml/2006/picture">
                <pic:pic>
                  <pic:nvPicPr>
                    <pic:cNvPr id="0" name="fig17_bridge.png"/>
                    <pic:cNvPicPr/>
                  </pic:nvPicPr>
                  <pic:blipFill>
                    <a:blip r:embed="rId47"/>
                    <a:stretch>
                      <a:fillRect/>
                    </a:stretch>
                  </pic:blipFill>
                  <pic:spPr>
                    <a:xfrm>
                      <a:off x="0" y="0"/>
                      <a:ext cx="6172200" cy="3597091"/>
                    </a:xfrm>
                    <a:prstGeom prst="rect"/>
                  </pic:spPr>
                </pic:pic>
              </a:graphicData>
            </a:graphic>
          </wp:inline>
        </w:drawing>
      </w:r>
    </w:p>
    <w:p>
      <w:pPr>
        <w:pStyle w:val="Caption"/>
        <w:spacing w:after="120"/>
        <w:jc w:val="center"/>
      </w:pPr>
      <w:r>
        <w:t>Рисунок 17. Два слоя и четыре допустимых моста: C_∇, ∇Ass, K_Ass и H_Ass. Собственная схема Тома II.</w:t>
      </w:r>
    </w:p>
    <w:p>
      <w:pPr>
        <w:pStyle w:val="Heading1"/>
        <w:pageBreakBefore w:val="0"/>
        <w:spacing w:before="200" w:after="100"/>
        <w:keepNext/>
      </w:pPr>
      <w:r>
        <w:t>59. Типизированная NAPG-связность и D-допустимые пути</w:t>
      </w:r>
    </w:p>
    <w:p>
      <w:pPr>
        <w:pStyle w:val="Heading2"/>
        <w:pageBreakBefore w:val="0"/>
        <w:spacing w:before="140" w:after="100"/>
        <w:keepNext/>
      </w:pPr>
      <w:r>
        <w:t>59.1. Алгебраическое расслоение</w:t>
      </w:r>
    </w:p>
    <w:p>
      <w:pPr>
        <w:spacing w:after="80" w:line="259" w:lineRule="auto"/>
      </w:pPr>
      <w:r>
        <w:rPr>
          <w:rFonts w:ascii="Liberation Serif" w:hAnsi="Liberation Serif" w:eastAsia="Liberation Serif"/>
          <w:b/>
          <w:sz w:val="22"/>
        </w:rPr>
        <w:t>Определение 9.1. Алгебраическое NAPG-расслоение.</w:t>
      </w:r>
      <w:r>
        <w:rPr>
          <w:rFonts w:ascii="Liberation Serif" w:hAnsi="Liberation Serif" w:eastAsia="Liberation Serif"/>
          <w:sz w:val="22"/>
        </w:rPr>
        <w:t>[DEF-A] Пусть X - гладкий сектор пакетного многообразия, π:A→X - конечномерное векторное расслоение над полем K, а μ∈Γ(Hom(A⊗A,A)) - гладкое поле билинейных операций. В каждой точке x операция μ_x задаёт волоконную алгебру (A_x,⊙_x). Структурные данные 𝔊, градуировка и D/Dom-ограничения рассматриваются как дополнительные подрасслоения или допустимые подмножества.</w:t>
      </w:r>
    </w:p>
    <w:p>
      <w:pPr>
        <w:spacing w:before="60" w:after="100"/>
        <w:jc w:val="center"/>
      </w:pPr>
      <w:r>
        <w:rPr>
          <w:rFonts w:ascii="Cambria Math" w:hAnsi="Cambria Math" w:eastAsia="Cambria Math"/>
          <w:sz w:val="22"/>
        </w:rPr>
        <w:t>μ_x : A_x ⊗ A_x → A_x,     a ⊙_x b := μ_x(a,b).</w:t>
      </w:r>
    </w:p>
    <w:p>
      <w:pPr>
        <w:spacing w:before="0" w:after="100" w:line="259" w:lineRule="auto"/>
      </w:pPr>
      <w:r>
        <w:rPr>
          <w:rFonts w:ascii="Liberation Serif" w:hAnsi="Liberation Serif" w:eastAsia="Liberation Serif"/>
          <w:b w:val="0"/>
          <w:sz w:val="22"/>
        </w:rPr>
        <w:t>Область определения операции может быть полной или частичной. В частичном случае все дальнейшие тензоры определяются только на подрасслоении Dom_⊙⊂A×_X A, устойчивом относительно используемого транспорта.</w:t>
      </w:r>
    </w:p>
    <w:p>
      <w:pPr>
        <w:spacing w:after="80" w:line="259" w:lineRule="auto"/>
      </w:pPr>
      <w:r>
        <w:rPr>
          <w:rFonts w:ascii="Liberation Serif" w:hAnsi="Liberation Serif" w:eastAsia="Liberation Serif"/>
          <w:b/>
          <w:sz w:val="22"/>
        </w:rPr>
        <w:t>Определение 9.2. D-допустимая категория путей.</w:t>
      </w:r>
      <w:r>
        <w:rPr>
          <w:rFonts w:ascii="Liberation Serif" w:hAnsi="Liberation Serif" w:eastAsia="Liberation Serif"/>
          <w:sz w:val="22"/>
        </w:rPr>
        <w:t>[DEF-A] Обозначим P_D(X) категорию, объектами которой являются точки X, а морфизмами - кусочно C¹-пути γ, удовлетворяющие Dom-ограничениям и снабжённые пакетом Evidence-D. Требуется замкнутость относительно постоянных путей, допустимой репараметризации и композиции. Для определения группы голономии дополнительно требуется допустимость обращения пути.</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Условие</w:t>
            </w:r>
          </w:p>
        </w:tc>
        <w:tc>
          <w:tcPr>
            <w:tcW w:type="dxa" w:w="46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Смысл</w:t>
            </w:r>
          </w:p>
        </w:tc>
        <w:tc>
          <w:tcPr>
            <w:tcW w:type="dxa" w:w="39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8"/>
              </w:rPr>
              <w:t>Если нарушено</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P1</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Путь остаётся внутри Dom выбранного сектора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transport undefined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P2</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Evidence-D привязан к пути и версии данных</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foundation blocker</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P3</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Композиция допустимых путей допустима</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категории путей</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P4</w:t>
            </w:r>
          </w:p>
        </w:tc>
        <w:tc>
          <w:tcPr>
            <w:tcW w:type="dxa" w:w="46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8"/>
              </w:rPr>
              <w:t>Обратный путь допустим для петель</w:t>
            </w:r>
          </w:p>
        </w:tc>
        <w:tc>
          <w:tcPr>
            <w:tcW w:type="dxa" w:w="39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8"/>
              </w:rPr>
              <w:t>Hol_D может быть лишь моноидом</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P5</w:t>
            </w:r>
          </w:p>
        </w:tc>
        <w:tc>
          <w:tcPr>
            <w:tcW w:type="dxa" w:w="46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8"/>
              </w:rPr>
              <w:t>Локальные решения transport ODE существуют и единственны</w:t>
            </w:r>
          </w:p>
        </w:tc>
        <w:tc>
          <w:tcPr>
            <w:tcW w:type="dxa" w:w="39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8"/>
              </w:rPr>
              <w:t>нет P_γ</w:t>
            </w:r>
          </w:p>
        </w:tc>
      </w:tr>
    </w:tbl>
    <w:p>
      <w:pPr>
        <w:spacing w:after="20"/>
      </w:pPr>
    </w:p>
    <w:p>
      <w:pPr>
        <w:pStyle w:val="Heading2"/>
        <w:pageBreakBefore w:val="0"/>
        <w:spacing w:before="140" w:after="100"/>
        <w:keepNext/>
      </w:pPr>
      <w:r>
        <w:t>59.2. Связность и параллельный перенос</w:t>
      </w:r>
    </w:p>
    <w:p>
      <w:pPr>
        <w:spacing w:after="80" w:line="259" w:lineRule="auto"/>
      </w:pPr>
      <w:r>
        <w:rPr>
          <w:rFonts w:ascii="Liberation Serif" w:hAnsi="Liberation Serif" w:eastAsia="Liberation Serif"/>
          <w:b/>
          <w:sz w:val="22"/>
        </w:rPr>
        <w:t>Определение 9.3. NAPG-связность.</w:t>
      </w:r>
      <w:r>
        <w:rPr>
          <w:rFonts w:ascii="Liberation Serif" w:hAnsi="Liberation Serif" w:eastAsia="Liberation Serif"/>
          <w:sz w:val="22"/>
        </w:rPr>
        <w:t>[DEF-A] Связностью на A называется K-линейный оператор ∇:Γ(A)→Ω¹(X;A), удовлетворяющий правилу Лейбница по скалярам: ∇(fs)=df⊗s+f∇s. Связность называется структурно допустимой, если сохраняет градуировку, подрасслоения 𝔊 и Dom-ограничения в явно указанном смысле.</w:t>
      </w:r>
    </w:p>
    <w:p>
      <w:pPr>
        <w:spacing w:before="60" w:after="100"/>
        <w:jc w:val="center"/>
      </w:pPr>
      <w:r>
        <w:rPr>
          <w:rFonts w:ascii="Cambria Math" w:hAnsi="Cambria Math" w:eastAsia="Cambria Math"/>
          <w:sz w:val="22"/>
        </w:rPr>
        <w:t>∇ : Γ(A) → Ω¹(X;A),     ∇(f s)=d f ⊗ s + f ∇s.</w:t>
      </w:r>
    </w:p>
    <w:p>
      <w:pPr>
        <w:spacing w:after="80" w:line="259" w:lineRule="auto"/>
      </w:pPr>
      <w:r>
        <w:rPr>
          <w:rFonts w:ascii="Liberation Serif" w:hAnsi="Liberation Serif" w:eastAsia="Liberation Serif"/>
          <w:b/>
          <w:sz w:val="22"/>
        </w:rPr>
        <w:t>Определение 9.4. Параллельный перенос.</w:t>
      </w:r>
      <w:r>
        <w:rPr>
          <w:rFonts w:ascii="Liberation Serif" w:hAnsi="Liberation Serif" w:eastAsia="Liberation Serif"/>
          <w:sz w:val="22"/>
        </w:rPr>
        <w:t>[CL/DEF-A] Для γ:[0,1]→X оператор P_γ:A_{γ(0)}→A_{γ(1)} определяется решением ∇_{γ̇}s=0. В конечномерном гладком расслоении существование и единственность следуют из стандартной теории линейных ODE вдоль пути.</w:t>
      </w:r>
    </w:p>
    <w:p>
      <w:pPr>
        <w:spacing w:after="80" w:line="259" w:lineRule="auto"/>
      </w:pPr>
      <w:r>
        <w:rPr>
          <w:rFonts w:ascii="Liberation Serif" w:hAnsi="Liberation Serif" w:eastAsia="Liberation Serif"/>
          <w:b/>
          <w:sz w:val="22"/>
        </w:rPr>
        <w:t>Теорема 9.5. Ассоциативность композиции переносов.</w:t>
      </w:r>
      <w:r>
        <w:rPr>
          <w:rFonts w:ascii="Liberation Serif" w:hAnsi="Liberation Serif" w:eastAsia="Liberation Serif"/>
          <w:sz w:val="22"/>
        </w:rPr>
        <w:t>[THM] Если γ₁:x→y и γ₂:y→z допустимы, то P_{γ₂*γ₁}=P_{γ₂}∘P_{γ₁}. Для трёх путей обе расстановки скобок дают один и тот же линейный оператор. Поэтому ассоциатор обычной композиции параллельных переносов тождественно равен нулю.</w:t>
      </w:r>
    </w:p>
    <w:p>
      <w:pPr>
        <w:spacing w:before="60" w:after="100"/>
        <w:jc w:val="center"/>
      </w:pPr>
      <w:r>
        <w:rPr>
          <w:rFonts w:ascii="Cambria Math" w:hAnsi="Cambria Math" w:eastAsia="Cambria Math"/>
          <w:sz w:val="22"/>
        </w:rPr>
        <w:t>(P_{γ3}∘P_{γ2})∘P_{γ1}=P_{γ3}∘(P_{γ2}∘P_{γ1}).</w:t>
      </w:r>
    </w:p>
    <w:p>
      <w:pPr>
        <w:spacing w:before="0" w:after="120" w:line="259" w:lineRule="auto"/>
      </w:pPr>
      <w:r>
        <w:rPr>
          <w:rFonts w:ascii="Liberation Serif" w:hAnsi="Liberation Serif" w:eastAsia="Liberation Serif"/>
          <w:b w:val="0"/>
          <w:sz w:val="22"/>
        </w:rPr>
        <w:t>Доказательство. Оба оператора переводят начальное значение в единственное параллельное решение вдоль одной и той же составной кривой. Равенство скобок является ассоциативностью композиции отображений, а не свойством операции ⊙ в волокне.</w:t>
      </w:r>
    </w:p>
    <w:p>
      <w:pPr>
        <w:spacing w:after="80" w:line="259" w:lineRule="auto"/>
      </w:pPr>
      <w:r>
        <w:rPr>
          <w:rFonts w:ascii="Liberation Serif" w:hAnsi="Liberation Serif" w:eastAsia="Liberation Serif"/>
          <w:b/>
          <w:sz w:val="22"/>
        </w:rPr>
        <w:t>Следствие 9.6. Первый no-go.</w:t>
      </w:r>
      <w:r>
        <w:rPr>
          <w:rFonts w:ascii="Liberation Serif" w:hAnsi="Liberation Serif" w:eastAsia="Liberation Serif"/>
          <w:sz w:val="22"/>
        </w:rPr>
        <w:t>[THM] Hol_D не может быть буквально отождествлена с Ass_⊙: Hol_D состоит из линейных автоморфизмов волокна, тогда как Ass_⊙ является тернарным отображением A_x³→A_x.</w:t>
      </w:r>
    </w:p>
    <w:p>
      <w:pPr>
        <w:pStyle w:val="Heading1"/>
        <w:pageBreakBefore w:val="0"/>
        <w:spacing w:before="200" w:after="100"/>
        <w:keepNext/>
      </w:pPr>
      <w:r>
        <w:t>60. Кривизна, малые контуры и D-голономия</w:t>
      </w:r>
    </w:p>
    <w:p>
      <w:pPr>
        <w:pStyle w:val="Heading2"/>
        <w:pageBreakBefore w:val="0"/>
        <w:spacing w:before="140" w:after="100"/>
        <w:keepNext/>
      </w:pPr>
      <w:r>
        <w:t>60.1. Кривизна связности</w:t>
      </w:r>
    </w:p>
    <w:p>
      <w:pPr>
        <w:spacing w:after="80" w:line="259" w:lineRule="auto"/>
      </w:pPr>
      <w:r>
        <w:rPr>
          <w:rFonts w:ascii="Liberation Serif" w:hAnsi="Liberation Serif" w:eastAsia="Liberation Serif"/>
          <w:b/>
          <w:sz w:val="22"/>
        </w:rPr>
        <w:t>Определение 9.7. Кривизна.</w:t>
      </w:r>
      <w:r>
        <w:rPr>
          <w:rFonts w:ascii="Liberation Serif" w:hAnsi="Liberation Serif" w:eastAsia="Liberation Serif"/>
          <w:sz w:val="22"/>
        </w:rPr>
        <w:t>[CL] Для векторных полей X,Y положим R_∇(X,Y)=[∇_X,∇_Y]-∇_[X,Y]. Это 2-форма со значениями в End(A).</w:t>
      </w:r>
    </w:p>
    <w:p>
      <w:pPr>
        <w:spacing w:before="60" w:after="100"/>
        <w:jc w:val="center"/>
      </w:pPr>
      <w:r>
        <w:rPr>
          <w:rFonts w:ascii="Cambria Math" w:hAnsi="Cambria Math" w:eastAsia="Cambria Math"/>
          <w:sz w:val="22"/>
        </w:rPr>
        <w:t>R_∇ ∈ Ω²(X;End(A)),     R_∇(X,Y)=[∇_X,∇_Y]-∇_[X,Y].</w:t>
      </w:r>
    </w:p>
    <w:p>
      <w:pPr>
        <w:spacing w:after="80" w:line="259" w:lineRule="auto"/>
      </w:pPr>
      <w:r>
        <w:rPr>
          <w:rFonts w:ascii="Liberation Serif" w:hAnsi="Liberation Serif" w:eastAsia="Liberation Serif"/>
          <w:b/>
          <w:sz w:val="22"/>
        </w:rPr>
        <w:t>Определение 9.8. Малоконтурный сертификат.</w:t>
      </w:r>
      <w:r>
        <w:rPr>
          <w:rFonts w:ascii="Liberation Serif" w:hAnsi="Liberation Serif" w:eastAsia="Liberation Serif"/>
          <w:sz w:val="22"/>
        </w:rPr>
        <w:t>[DEF-A] Пусть □_ε(X,Y) - ориентированный малый прямоугольный контур, целиком лежащий в D-допустимом секторе. Знак кривизны фиксируется соглашением</w:t>
      </w:r>
    </w:p>
    <w:p>
      <w:pPr>
        <w:spacing w:before="60" w:after="100"/>
        <w:jc w:val="center"/>
      </w:pPr>
      <w:r>
        <w:rPr>
          <w:rFonts w:ascii="Cambria Math" w:hAnsi="Cambria Math" w:eastAsia="Cambria Math"/>
          <w:sz w:val="22"/>
        </w:rPr>
        <w:t>R_∇(X,Y) = - lim_{ε→0} ε⁻² (P_{□_ε(X,Y)}-Id),</w:t>
      </w:r>
    </w:p>
    <w:p>
      <w:pPr>
        <w:spacing w:before="0" w:after="100" w:line="259" w:lineRule="auto"/>
      </w:pPr>
      <w:r>
        <w:rPr>
          <w:rFonts w:ascii="Liberation Serif" w:hAnsi="Liberation Serif" w:eastAsia="Liberation Serif"/>
          <w:b w:val="0"/>
          <w:sz w:val="22"/>
        </w:rPr>
        <w:t>если предел существует в выбранной тривиализации. Иная ориентация меняет знак, но не тип объекта и не инвариантный вывод о ненулевой кривизне.</w:t>
      </w:r>
    </w:p>
    <w:p>
      <w:pPr>
        <w:spacing w:after="80" w:line="259" w:lineRule="auto"/>
      </w:pPr>
      <w:r>
        <w:rPr>
          <w:rFonts w:ascii="Liberation Serif" w:hAnsi="Liberation Serif" w:eastAsia="Liberation Serif"/>
          <w:b/>
          <w:sz w:val="22"/>
        </w:rPr>
        <w:t>Теорема 9.9. Малый контур локализует кривизну.</w:t>
      </w:r>
      <w:r>
        <w:rPr>
          <w:rFonts w:ascii="Liberation Serif" w:hAnsi="Liberation Serif" w:eastAsia="Liberation Serif"/>
          <w:sz w:val="22"/>
        </w:rPr>
        <w:t>[CL/THM] Для C²-связности P_{□_ε}=Id-ε²R_∇(X,Y)+O(ε³) в фиксированном соглашении. Следовательно, кривизна является первым нетривиальным коэффициентом голономии малых петель, но не ассоциатором композиции переносов.</w:t>
      </w:r>
    </w:p>
    <w:p>
      <w:pPr>
        <w:pStyle w:val="Heading2"/>
        <w:pageBreakBefore w:val="0"/>
        <w:spacing w:before="140" w:after="100"/>
        <w:keepNext/>
      </w:pPr>
      <w:r>
        <w:t>60.2. D-голономия</w:t>
      </w:r>
    </w:p>
    <w:p>
      <w:pPr>
        <w:spacing w:after="80" w:line="259" w:lineRule="auto"/>
      </w:pPr>
      <w:r>
        <w:rPr>
          <w:rFonts w:ascii="Liberation Serif" w:hAnsi="Liberation Serif" w:eastAsia="Liberation Serif"/>
          <w:b/>
          <w:sz w:val="22"/>
        </w:rPr>
        <w:t>Определение 9.10. D-голономия.</w:t>
      </w:r>
      <w:r>
        <w:rPr>
          <w:rFonts w:ascii="Liberation Serif" w:hAnsi="Liberation Serif" w:eastAsia="Liberation Serif"/>
          <w:sz w:val="22"/>
        </w:rPr>
        <w:t>[DEF-A] Для x∈X положим Hol_D(x)={P_γ | γ - D-допустимая петля в x}. Если P_D(X) замкнута относительно обращения, Hol_D(x) является подгруппой GL(A_x). Компонента, порождённая стягиваемыми допустимыми петлями, обозначается Hol_D⁰(x).</w:t>
      </w:r>
    </w:p>
    <w:p>
      <w:pPr>
        <w:spacing w:before="60" w:after="100"/>
        <w:jc w:val="center"/>
      </w:pPr>
      <w:r>
        <w:rPr>
          <w:rFonts w:ascii="Cambria Math" w:hAnsi="Cambria Math" w:eastAsia="Cambria Math"/>
          <w:sz w:val="22"/>
        </w:rPr>
        <w:t>Hol_D(x) ⊂ GL(A_x).</w:t>
      </w:r>
    </w:p>
    <w:p>
      <w:pPr>
        <w:spacing w:after="80" w:line="259" w:lineRule="auto"/>
      </w:pPr>
      <w:r>
        <w:rPr>
          <w:rFonts w:ascii="Liberation Serif" w:hAnsi="Liberation Serif" w:eastAsia="Liberation Serif"/>
          <w:b/>
          <w:sz w:val="22"/>
        </w:rPr>
        <w:t>Предложение 9.11. Смена базовой точки.</w:t>
      </w:r>
      <w:r>
        <w:rPr>
          <w:rFonts w:ascii="Liberation Serif" w:hAnsi="Liberation Serif" w:eastAsia="Liberation Serif"/>
          <w:sz w:val="22"/>
        </w:rPr>
        <w:t>[THM] Для допустимого пути η:x→y выполняется Hol_D(y)=P_η Hol_D(x) P_η⁻¹, если конъюгирование сохраняет класс D-допустимых петель. Поэтому матрицы голономии зависят от калибровки, а размерность, сопряжённостный класс и инвариантные полиномы являются корректными кандидатами для базы RBD.</w:t>
      </w:r>
    </w:p>
    <w:p>
      <w:pPr>
        <w:spacing w:after="80" w:line="259" w:lineRule="auto"/>
      </w:pPr>
      <w:r>
        <w:rPr>
          <w:rFonts w:ascii="Liberation Serif" w:hAnsi="Liberation Serif" w:eastAsia="Liberation Serif"/>
          <w:b/>
          <w:sz w:val="22"/>
        </w:rPr>
        <w:t>Теорема 9.12. Ambrose-Singer, классический слой.</w:t>
      </w:r>
      <w:r>
        <w:rPr>
          <w:rFonts w:ascii="Liberation Serif" w:hAnsi="Liberation Serif" w:eastAsia="Liberation Serif"/>
          <w:sz w:val="22"/>
        </w:rPr>
        <w:t>[CL] Для обычной гладкой связности алгебра ограниченной голономии порождается параллельно перенесёнными значениями кривизны. В v0.7 эта теорема используется только для полной категории гладких путей либо для D-подкатегории после отдельной проверки доступности необходимых контуров.</w:t>
      </w:r>
    </w:p>
    <w:p>
      <w:pPr>
        <w:spacing w:after="80" w:line="259" w:lineRule="auto"/>
      </w:pPr>
      <w:r>
        <w:rPr>
          <w:rFonts w:ascii="Liberation Serif" w:hAnsi="Liberation Serif" w:eastAsia="Liberation Serif"/>
          <w:b/>
          <w:sz w:val="22"/>
        </w:rPr>
        <w:t>Гипотеза 9.13. D-Ambrose-Singer bridge.</w:t>
      </w:r>
      <w:r>
        <w:rPr>
          <w:rFonts w:ascii="Liberation Serif" w:hAnsi="Liberation Serif" w:eastAsia="Liberation Serif"/>
          <w:sz w:val="22"/>
        </w:rPr>
        <w:t>[COND/OPEN] Если D-допустимые пути образуют регулярную управляемую систему, локально содержат необходимые малые прямоугольники и устойчивы относительно транспортировки кривизны, то Lie(Hol_D⁰(x)) порождается D-доступными переносами R_∇. Без этих условий утверждение не импортируется автоматически.</w:t>
      </w:r>
    </w:p>
    <w:p>
      <w:pPr>
        <w:pStyle w:val="Heading1"/>
        <w:pageBreakBefore w:val="0"/>
        <w:spacing w:before="200" w:after="100"/>
        <w:keepNext/>
      </w:pPr>
      <w:r>
        <w:t>61. Совместимость связности с пакетным умножением</w:t>
      </w:r>
    </w:p>
    <w:p>
      <w:pPr>
        <w:pStyle w:val="Heading2"/>
        <w:pageBreakBefore w:val="0"/>
        <w:spacing w:before="140" w:after="100"/>
        <w:keepNext/>
      </w:pPr>
      <w:r>
        <w:t>61.1. Дефект Лейбница для ⊙</w:t>
      </w:r>
    </w:p>
    <w:p>
      <w:pPr>
        <w:spacing w:after="80" w:line="259" w:lineRule="auto"/>
      </w:pPr>
      <w:r>
        <w:rPr>
          <w:rFonts w:ascii="Liberation Serif" w:hAnsi="Liberation Serif" w:eastAsia="Liberation Serif"/>
          <w:b/>
          <w:sz w:val="22"/>
        </w:rPr>
        <w:t>Определение 9.14. Дефект произведения.</w:t>
      </w:r>
      <w:r>
        <w:rPr>
          <w:rFonts w:ascii="Liberation Serif" w:hAnsi="Liberation Serif" w:eastAsia="Liberation Serif"/>
          <w:sz w:val="22"/>
        </w:rPr>
        <w:t>[DEF-A] Для X∈TX и локальных сечений a,b определим</w:t>
      </w:r>
    </w:p>
    <w:p>
      <w:pPr>
        <w:spacing w:before="60" w:after="100"/>
        <w:jc w:val="center"/>
      </w:pPr>
      <w:r>
        <w:rPr>
          <w:rFonts w:ascii="Cambria Math" w:hAnsi="Cambria Math" w:eastAsia="Cambria Math"/>
          <w:sz w:val="22"/>
        </w:rPr>
        <w:t>C_∇(X;a,b)=∇_X(a⊙b)-(∇_X a)⊙b-a⊙(∇_X b).</w:t>
      </w:r>
    </w:p>
    <w:p>
      <w:pPr>
        <w:spacing w:before="0" w:after="100" w:line="259" w:lineRule="auto"/>
      </w:pPr>
      <w:r>
        <w:rPr>
          <w:rFonts w:ascii="Liberation Serif" w:hAnsi="Liberation Serif" w:eastAsia="Liberation Serif"/>
          <w:b w:val="0"/>
          <w:sz w:val="22"/>
        </w:rPr>
        <w:t>Это тензор типа T*X⊗Hom(A⊗A,A), если операция и связность гладкие и всюду определены на рассматриваемом секторе.</w:t>
      </w:r>
    </w:p>
    <w:p>
      <w:pPr>
        <w:spacing w:after="80" w:line="259" w:lineRule="auto"/>
      </w:pPr>
      <w:r>
        <w:rPr>
          <w:rFonts w:ascii="Liberation Serif" w:hAnsi="Liberation Serif" w:eastAsia="Liberation Serif"/>
          <w:b/>
          <w:sz w:val="22"/>
        </w:rPr>
        <w:t>Определение 9.15. Product-compatible connection.</w:t>
      </w:r>
      <w:r>
        <w:rPr>
          <w:rFonts w:ascii="Liberation Serif" w:hAnsi="Liberation Serif" w:eastAsia="Liberation Serif"/>
          <w:sz w:val="22"/>
        </w:rPr>
        <w:t>[DEF-A] Связность совместима с ⊙, если C_∇=0. Тогда μ является параллельным тензором.</w:t>
      </w:r>
    </w:p>
    <w:p>
      <w:pPr>
        <w:spacing w:after="80" w:line="259" w:lineRule="auto"/>
      </w:pPr>
      <w:r>
        <w:rPr>
          <w:rFonts w:ascii="Liberation Serif" w:hAnsi="Liberation Serif" w:eastAsia="Liberation Serif"/>
          <w:b/>
          <w:sz w:val="22"/>
        </w:rPr>
        <w:t>Теорема 9.16. Перенос сохраняет произведение.</w:t>
      </w:r>
      <w:r>
        <w:rPr>
          <w:rFonts w:ascii="Liberation Serif" w:hAnsi="Liberation Serif" w:eastAsia="Liberation Serif"/>
          <w:sz w:val="22"/>
        </w:rPr>
        <w:t>[THM] На связном D-секторе C_∇=0 тогда и только тогда, когда каждый допустимый параллельный перенос является гомоморфизмом волоконных алгебр:</w:t>
      </w:r>
    </w:p>
    <w:p>
      <w:pPr>
        <w:spacing w:before="60" w:after="100"/>
        <w:jc w:val="center"/>
      </w:pPr>
      <w:r>
        <w:rPr>
          <w:rFonts w:ascii="Cambria Math" w:hAnsi="Cambria Math" w:eastAsia="Cambria Math"/>
          <w:sz w:val="22"/>
        </w:rPr>
        <w:t>P_γ(a⊙_x b)=P_γ(a)⊙_y P_γ(b).</w:t>
      </w:r>
    </w:p>
    <w:p>
      <w:pPr>
        <w:spacing w:before="0" w:after="120" w:line="259" w:lineRule="auto"/>
      </w:pPr>
      <w:r>
        <w:rPr>
          <w:rFonts w:ascii="Liberation Serif" w:hAnsi="Liberation Serif" w:eastAsia="Liberation Serif"/>
          <w:b w:val="0"/>
          <w:sz w:val="22"/>
        </w:rPr>
        <w:t>Доказательство. В прямом направлении разность двух сторон удовлетворяет однородному линейному ODE с нулевым начальным значением. В обратном направлении дифференцирование равенства по короткому пути даёт C_∇=0.</w:t>
      </w:r>
    </w:p>
    <w:p>
      <w:pPr>
        <w:spacing w:after="80" w:line="259" w:lineRule="auto"/>
      </w:pPr>
      <w:r>
        <w:rPr>
          <w:rFonts w:ascii="Liberation Serif" w:hAnsi="Liberation Serif" w:eastAsia="Liberation Serif"/>
          <w:b/>
          <w:sz w:val="22"/>
        </w:rPr>
        <w:t>Следствие 9.17. Голономное сохранение структуры.</w:t>
      </w:r>
      <w:r>
        <w:rPr>
          <w:rFonts w:ascii="Liberation Serif" w:hAnsi="Liberation Serif" w:eastAsia="Liberation Serif"/>
          <w:sz w:val="22"/>
        </w:rPr>
        <w:t>[THM] Если C_∇=0, то Hol_D(x)⊂Aut(A_x,⊙_x). Следовательно, голономия сохраняет Ass_⊙, nucleus, центр, идеал J_Ass и полный R⋆R-сертификат, когда эти конструкции функториальны относительно алгебраических автоморфизмов.</w:t>
      </w:r>
    </w:p>
    <w:p>
      <w:pPr>
        <w:pStyle w:val="Heading2"/>
        <w:pageBreakBefore w:val="0"/>
        <w:spacing w:before="140" w:after="100"/>
        <w:keepNext/>
      </w:pPr>
      <w:r>
        <w:t>61.2. Дефекты конечного переноса</w:t>
      </w:r>
    </w:p>
    <w:p>
      <w:pPr>
        <w:spacing w:after="80" w:line="259" w:lineRule="auto"/>
      </w:pPr>
      <w:r>
        <w:rPr>
          <w:rFonts w:ascii="Liberation Serif" w:hAnsi="Liberation Serif" w:eastAsia="Liberation Serif"/>
          <w:b/>
          <w:sz w:val="22"/>
        </w:rPr>
        <w:t>Определение 9.18. Multiplication holonomy defect.</w:t>
      </w:r>
      <w:r>
        <w:rPr>
          <w:rFonts w:ascii="Liberation Serif" w:hAnsi="Liberation Serif" w:eastAsia="Liberation Serif"/>
          <w:sz w:val="22"/>
        </w:rPr>
        <w:t>[DEF-A] Для пути γ:x→y положим</w:t>
      </w:r>
    </w:p>
    <w:p>
      <w:pPr>
        <w:spacing w:before="60" w:after="100"/>
        <w:jc w:val="center"/>
      </w:pPr>
      <w:r>
        <w:rPr>
          <w:rFonts w:ascii="Cambria Math" w:hAnsi="Cambria Math" w:eastAsia="Cambria Math"/>
          <w:sz w:val="22"/>
        </w:rPr>
        <w:t>H_⊙(γ;a,b)=P_γ(a⊙_x b)-P_γ(a)⊙_yP_γ(b).</w:t>
      </w:r>
    </w:p>
    <w:p>
      <w:pPr>
        <w:spacing w:after="80" w:line="259" w:lineRule="auto"/>
      </w:pPr>
      <w:r>
        <w:rPr>
          <w:rFonts w:ascii="Liberation Serif" w:hAnsi="Liberation Serif" w:eastAsia="Liberation Serif"/>
          <w:b/>
          <w:sz w:val="22"/>
        </w:rPr>
        <w:t>Определение 9.19. Associator holonomy defect.</w:t>
      </w:r>
      <w:r>
        <w:rPr>
          <w:rFonts w:ascii="Liberation Serif" w:hAnsi="Liberation Serif" w:eastAsia="Liberation Serif"/>
          <w:sz w:val="22"/>
        </w:rPr>
        <w:t>[DEF-A] Для тройки a,b,c∈A_x положим</w:t>
      </w:r>
    </w:p>
    <w:p>
      <w:pPr>
        <w:spacing w:before="60" w:after="100"/>
        <w:jc w:val="center"/>
      </w:pPr>
      <w:r>
        <w:rPr>
          <w:rFonts w:ascii="Cambria Math" w:hAnsi="Cambria Math" w:eastAsia="Cambria Math"/>
          <w:sz w:val="22"/>
        </w:rPr>
        <w:t>H_Ass(γ;a,b,c)=P_γ Ass_x(a,b,c)-Ass_y(P_γa,P_γb,P_γc).</w:t>
      </w:r>
    </w:p>
    <w:p>
      <w:pPr>
        <w:spacing w:before="0" w:after="100" w:line="259" w:lineRule="auto"/>
      </w:pPr>
      <w:r>
        <w:rPr>
          <w:rFonts w:ascii="Liberation Serif" w:hAnsi="Liberation Serif" w:eastAsia="Liberation Serif"/>
          <w:b w:val="0"/>
          <w:sz w:val="22"/>
        </w:rPr>
        <w:t>H_Ass измеряет не голономию саму по себе, а несохранение тернарного тензора Ass при выбранном переносе. Это типизированный объект и потому пригоден для вычислительного сертификата.</w:t>
      </w:r>
    </w:p>
    <w:p>
      <w:pPr>
        <w:pStyle w:val="Heading1"/>
        <w:pageBreakBefore w:val="0"/>
        <w:spacing w:before="200" w:after="100"/>
        <w:keepNext/>
      </w:pPr>
      <w:r>
        <w:t>62. Ковариантная производная и ассоциаторная кривизна</w:t>
      </w:r>
    </w:p>
    <w:p>
      <w:pPr>
        <w:pStyle w:val="Heading2"/>
        <w:pageBreakBefore w:val="0"/>
        <w:spacing w:before="140" w:after="100"/>
        <w:keepNext/>
      </w:pPr>
      <w:r>
        <w:t>62.1. Точная формула для ∇Ass</w:t>
      </w:r>
    </w:p>
    <w:p>
      <w:pPr>
        <w:spacing w:after="80" w:line="259" w:lineRule="auto"/>
      </w:pPr>
      <w:r>
        <w:rPr>
          <w:rFonts w:ascii="Liberation Serif" w:hAnsi="Liberation Serif" w:eastAsia="Liberation Serif"/>
          <w:b/>
          <w:sz w:val="22"/>
        </w:rPr>
        <w:t>Теорема 9.20. Производная ассоциатора через C_∇.</w:t>
      </w:r>
      <w:r>
        <w:rPr>
          <w:rFonts w:ascii="Liberation Serif" w:hAnsi="Liberation Serif" w:eastAsia="Liberation Serif"/>
          <w:sz w:val="22"/>
        </w:rPr>
        <w:t>[THM] Для индуцированной связности на Hom(A⊗³,A) справедливо</w:t>
      </w:r>
    </w:p>
    <w:p>
      <w:pPr>
        <w:spacing w:before="60" w:after="100"/>
        <w:jc w:val="center"/>
      </w:pPr>
      <w:r>
        <w:rPr>
          <w:rFonts w:ascii="Cambria Math" w:hAnsi="Cambria Math" w:eastAsia="Cambria Math"/>
          <w:sz w:val="22"/>
        </w:rPr>
        <w:t>(∇_X Ass)(a,b,c)=C_X(a,b)⊙c+C_X(a⊙b,c)-a⊙C_X(b,c)-C_X(a,b⊙c).</w:t>
      </w:r>
    </w:p>
    <w:p>
      <w:pPr>
        <w:spacing w:before="0" w:after="120" w:line="259" w:lineRule="auto"/>
      </w:pPr>
      <w:r>
        <w:rPr>
          <w:rFonts w:ascii="Liberation Serif" w:hAnsi="Liberation Serif" w:eastAsia="Liberation Serif"/>
          <w:b w:val="0"/>
          <w:sz w:val="22"/>
        </w:rPr>
        <w:t>Доказательство получается прямым дифференцированием (a⊙b)⊙c-a⊙(b⊙c) и сокращением членов, содержащих ∇a, ∇b, ∇c. Формула показывает, что мост не является метафорой: он вычисляется из дефекта совместимости связности с бинарной операцией.</w:t>
      </w:r>
    </w:p>
    <w:p>
      <w:pPr>
        <w:spacing w:after="80" w:line="259" w:lineRule="auto"/>
      </w:pPr>
      <w:r>
        <w:rPr>
          <w:rFonts w:ascii="Liberation Serif" w:hAnsi="Liberation Serif" w:eastAsia="Liberation Serif"/>
          <w:b/>
          <w:sz w:val="22"/>
        </w:rPr>
        <w:t>Следствие 9.21.</w:t>
      </w:r>
      <w:r>
        <w:rPr>
          <w:rFonts w:ascii="Liberation Serif" w:hAnsi="Liberation Serif" w:eastAsia="Liberation Serif"/>
          <w:sz w:val="22"/>
        </w:rPr>
        <w:t>[THM] C_∇=0 ⇒ ∇Ass=0 ⇒ H_Ass(γ)=0 для всех допустимых путей. Обратные импликации в общем случае неверны: в ассоциативной алгебре Ass=0 сохраняется любой связностью, даже если C_∇≠0.</w:t>
      </w:r>
    </w:p>
    <w:p>
      <w:pPr>
        <w:pStyle w:val="Heading2"/>
        <w:pageBreakBefore w:val="0"/>
        <w:spacing w:before="140" w:after="100"/>
        <w:keepNext/>
      </w:pPr>
      <w:r>
        <w:t>62.2. Индуцированная кривизна на тернарных тензорах</w:t>
      </w:r>
    </w:p>
    <w:p>
      <w:pPr>
        <w:spacing w:after="80" w:line="259" w:lineRule="auto"/>
      </w:pPr>
      <w:r>
        <w:rPr>
          <w:rFonts w:ascii="Liberation Serif" w:hAnsi="Liberation Serif" w:eastAsia="Liberation Serif"/>
          <w:b/>
          <w:sz w:val="22"/>
        </w:rPr>
        <w:t>Определение 9.22. Ассоциаторная кривизна Курпишева в строгом внутреннем смысле.</w:t>
      </w:r>
      <w:r>
        <w:rPr>
          <w:rFonts w:ascii="Liberation Serif" w:hAnsi="Liberation Serif" w:eastAsia="Liberation Serif"/>
          <w:sz w:val="22"/>
        </w:rPr>
        <w:t>[DEF-A] В v0.7 термином K_Ass обозначается не обычная кривизна и не сам ассоциатор, а действие кривизны индуцированной связности на поле Ass:</w:t>
      </w:r>
    </w:p>
    <w:p>
      <w:pPr>
        <w:spacing w:before="60" w:after="100"/>
        <w:jc w:val="center"/>
      </w:pPr>
      <w:r>
        <w:rPr>
          <w:rFonts w:ascii="Cambria Math" w:hAnsi="Cambria Math" w:eastAsia="Cambria Math"/>
          <w:sz w:val="22"/>
        </w:rPr>
        <w:t>K_Ass(X,Y):=R_∇^{(3,1)}(X,Y) Ass ∈ Hom(A⊗³,A).</w:t>
      </w:r>
    </w:p>
    <w:p>
      <w:pPr>
        <w:spacing w:before="0" w:after="40" w:line="259" w:lineRule="auto"/>
      </w:pPr>
      <w:r>
        <w:rPr>
          <w:rFonts w:ascii="Liberation Serif" w:hAnsi="Liberation Serif" w:eastAsia="Liberation Serif"/>
          <w:b w:val="0"/>
          <w:sz w:val="22"/>
        </w:rPr>
        <w:t>Поточечная формула имеет вид</w:t>
      </w:r>
    </w:p>
    <w:p>
      <w:pPr>
        <w:spacing w:before="60" w:after="100"/>
        <w:jc w:val="center"/>
      </w:pPr>
      <w:r>
        <w:rPr>
          <w:rFonts w:ascii="Cambria Math" w:hAnsi="Cambria Math" w:eastAsia="Cambria Math"/>
          <w:sz w:val="22"/>
        </w:rPr>
        <w:t>K_Ass(X,Y)(a,b,c)=R_∇(X,Y)Ass(a,b,c)-Ass(R_∇a,b,c)-Ass(a,R_∇b,c)-Ass(a,b,R_∇c).</w:t>
      </w:r>
    </w:p>
    <w:p>
      <w:pPr>
        <w:spacing w:after="80" w:line="259" w:lineRule="auto"/>
      </w:pPr>
      <w:r>
        <w:rPr>
          <w:rFonts w:ascii="Liberation Serif" w:hAnsi="Liberation Serif" w:eastAsia="Liberation Serif"/>
          <w:b/>
          <w:sz w:val="22"/>
        </w:rPr>
        <w:t>Теорема 9.23. Необходимое условие параллельности.</w:t>
      </w:r>
      <w:r>
        <w:rPr>
          <w:rFonts w:ascii="Liberation Serif" w:hAnsi="Liberation Serif" w:eastAsia="Liberation Serif"/>
          <w:sz w:val="22"/>
        </w:rPr>
        <w:t>[THM] Если ∇Ass=0, то K_Ass=0. Поэтому ненулевой K_Ass является локальным препятствием к параллельности ассоциатора.</w:t>
      </w:r>
    </w:p>
    <w:p>
      <w:pPr>
        <w:spacing w:after="80" w:line="259" w:lineRule="auto"/>
      </w:pPr>
      <w:r>
        <w:rPr>
          <w:rFonts w:ascii="Liberation Serif" w:hAnsi="Liberation Serif" w:eastAsia="Liberation Serif"/>
          <w:b/>
          <w:sz w:val="22"/>
        </w:rPr>
        <w:t>Предупреждение 9.24.</w:t>
      </w:r>
      <w:r>
        <w:rPr>
          <w:rFonts w:ascii="Liberation Serif" w:hAnsi="Liberation Serif" w:eastAsia="Liberation Serif"/>
          <w:sz w:val="22"/>
        </w:rPr>
        <w:t>[OPEN] K_Ass=0 не влечёт ∇Ass=0 без дополнительных условий. Даже плоская индуцированная связность может иметь непараллельное выбранное поле тензоров. Глобальное восстановление требует холономного принципа и начального инвариантного значения.</w:t>
      </w:r>
    </w:p>
    <w:p>
      <w:pPr>
        <w:spacing w:after="80" w:line="259" w:lineRule="auto"/>
      </w:pPr>
      <w:r>
        <w:rPr>
          <w:rFonts w:ascii="Liberation Serif" w:hAnsi="Liberation Serif" w:eastAsia="Liberation Serif"/>
          <w:b/>
          <w:sz w:val="22"/>
        </w:rPr>
        <w:t>Определение 9.25. Полный bridge package.</w:t>
      </w:r>
      <w:r>
        <w:rPr>
          <w:rFonts w:ascii="Liberation Serif" w:hAnsi="Liberation Serif" w:eastAsia="Liberation Serif"/>
          <w:sz w:val="22"/>
        </w:rPr>
        <w:t>[DEF-A] Ассоциаторно-голономный мост хранится как четвёрка</w:t>
      </w:r>
    </w:p>
    <w:p>
      <w:pPr>
        <w:spacing w:before="60" w:after="100"/>
        <w:jc w:val="center"/>
      </w:pPr>
      <w:r>
        <w:rPr>
          <w:rFonts w:ascii="Cambria Math" w:hAnsi="Cambria Math" w:eastAsia="Cambria Math"/>
          <w:sz w:val="22"/>
        </w:rPr>
        <w:t>B_Ass(∇,⊙)=(C_∇, ∇Ass, K_Ass, H_Ass).</w:t>
      </w:r>
    </w:p>
    <w:p>
      <w:pPr>
        <w:spacing w:before="0" w:after="120" w:line="259" w:lineRule="auto"/>
      </w:pPr>
      <w:r>
        <w:rPr>
          <w:rFonts w:ascii="Liberation Serif" w:hAnsi="Liberation Serif" w:eastAsia="Liberation Serif"/>
          <w:b w:val="0"/>
          <w:sz w:val="22"/>
        </w:rPr>
        <w:t>Удаление любой компоненты снижает разрешающую способность аудита: C_∇ контролирует бинарную структуру, ∇Ass - первый порядок, K_Ass - кривизну индуцированной связи, H_Ass - конечный перенос.</w:t>
      </w:r>
    </w:p>
    <w:p>
      <w:pPr>
        <w:pStyle w:val="Heading2"/>
        <w:pageBreakBefore w:val="0"/>
        <w:spacing w:before="140" w:after="100"/>
        <w:keepNext/>
      </w:pPr>
      <w:r>
        <w:t>62.3. Голономный принцип для ассоциатора</w:t>
      </w:r>
    </w:p>
    <w:p>
      <w:pPr>
        <w:spacing w:after="80" w:line="259" w:lineRule="auto"/>
      </w:pPr>
      <w:r>
        <w:rPr>
          <w:rFonts w:ascii="Liberation Serif" w:hAnsi="Liberation Serif" w:eastAsia="Liberation Serif"/>
          <w:b/>
          <w:sz w:val="22"/>
        </w:rPr>
        <w:t>Теорема 9.26. Holonomy principle.</w:t>
      </w:r>
      <w:r>
        <w:rPr>
          <w:rFonts w:ascii="Liberation Serif" w:hAnsi="Liberation Serif" w:eastAsia="Liberation Serif"/>
          <w:sz w:val="22"/>
        </w:rPr>
        <w:t>[CL/THM] На связном секторе параллельные тензорные поля типа (3,1) находятся во взаимно однозначном соответствии с тензорами в одной точке, инвариантными относительно полной голономии. Поэтому глобальный параллельный ассоциатор существует из начального Ass_x тогда и только тогда, когда Ass_x фиксирован Hol_D(x), при условии что D-пути соединяют сектор и transport path-independence обеспечена голономной инвариантностью.</w:t>
      </w:r>
    </w:p>
    <w:p>
      <w:pPr>
        <w:spacing w:after="80" w:line="259" w:lineRule="auto"/>
      </w:pPr>
      <w:r>
        <w:rPr>
          <w:rFonts w:ascii="Liberation Serif" w:hAnsi="Liberation Serif" w:eastAsia="Liberation Serif"/>
          <w:b/>
          <w:sz w:val="22"/>
        </w:rPr>
        <w:t>Граница 9.27.</w:t>
      </w:r>
      <w:r>
        <w:rPr>
          <w:rFonts w:ascii="Liberation Serif" w:hAnsi="Liberation Serif" w:eastAsia="Liberation Serif"/>
          <w:sz w:val="22"/>
        </w:rPr>
        <w:t>[OPEN] Параллельное поле, восстановленное из Ass_x, не обязано совпадать с ассоциатором фактического поля операций μ_y. Для совпадения требуется C_∇=0 либо отдельная проверка μ_y=P_γ μ_x.</w:t>
      </w:r>
    </w:p>
    <w:p>
      <w:pPr>
        <w:pStyle w:val="Heading1"/>
        <w:pageBreakBefore w:val="0"/>
        <w:spacing w:before="200" w:after="100"/>
        <w:keepNext/>
      </w:pPr>
      <w:r>
        <w:t>63. Контрмодели и нетривиальная совместимая модель</w:t>
      </w:r>
    </w:p>
    <w:p>
      <w:pPr>
        <w:spacing w:before="100" w:after="40"/>
        <w:jc w:val="center"/>
      </w:pPr>
      <w:r>
        <w:drawing>
          <wp:inline xmlns:a="http://schemas.openxmlformats.org/drawingml/2006/main" xmlns:pic="http://schemas.openxmlformats.org/drawingml/2006/picture">
            <wp:extent cx="6172200" cy="3526639"/>
            <wp:docPr id="22" name="Picture 22"/>
            <wp:cNvGraphicFramePr>
              <a:graphicFrameLocks noChangeAspect="1"/>
            </wp:cNvGraphicFramePr>
            <a:graphic>
              <a:graphicData uri="http://schemas.openxmlformats.org/drawingml/2006/picture">
                <pic:pic>
                  <pic:nvPicPr>
                    <pic:cNvPr id="0" name="fig18_models.png"/>
                    <pic:cNvPicPr/>
                  </pic:nvPicPr>
                  <pic:blipFill>
                    <a:blip r:embed="rId48"/>
                    <a:stretch>
                      <a:fillRect/>
                    </a:stretch>
                  </pic:blipFill>
                  <pic:spPr>
                    <a:xfrm>
                      <a:off x="0" y="0"/>
                      <a:ext cx="6172200" cy="3526639"/>
                    </a:xfrm>
                    <a:prstGeom prst="rect"/>
                  </pic:spPr>
                </pic:pic>
              </a:graphicData>
            </a:graphic>
          </wp:inline>
        </w:drawing>
      </w:r>
    </w:p>
    <w:p>
      <w:pPr>
        <w:pStyle w:val="Caption"/>
        <w:spacing w:after="120"/>
        <w:jc w:val="center"/>
      </w:pPr>
      <w:r>
        <w:t>Рисунок 18. Четыре модели, разделяющие кривизну, голономию, совместимость и ассоциатор. Собственная схема Тома II.</w:t>
      </w:r>
    </w:p>
    <w:p>
      <w:pPr>
        <w:pStyle w:val="Heading2"/>
        <w:pageBreakBefore w:val="0"/>
        <w:spacing w:before="140" w:after="100"/>
        <w:keepNext/>
      </w:pPr>
      <w:r>
        <w:t>63.1. Плоская неассоциативная модель</w:t>
      </w:r>
    </w:p>
    <w:p>
      <w:pPr>
        <w:spacing w:after="80" w:line="259" w:lineRule="auto"/>
      </w:pPr>
      <w:r>
        <w:rPr>
          <w:rFonts w:ascii="Liberation Serif" w:hAnsi="Liberation Serif" w:eastAsia="Liberation Serif"/>
          <w:b/>
          <w:sz w:val="22"/>
        </w:rPr>
        <w:t>Пример 9.28.</w:t>
      </w:r>
      <w:r>
        <w:rPr>
          <w:rFonts w:ascii="Liberation Serif" w:hAnsi="Liberation Serif" w:eastAsia="Liberation Serif"/>
          <w:sz w:val="22"/>
        </w:rPr>
        <w:t>[THM/EX] Пусть X=R², A=X×A₂, операция μ постоянна и неассоциативна, а ∇=d. Тогда R_∇=0, Hol⁰={Id}, C_∇=0, но Ass_⊙≠0. Следовательно, ненулевой ассоциатор не порождает кривизну автоматически.</w:t>
      </w:r>
    </w:p>
    <w:p>
      <w:pPr>
        <w:pStyle w:val="Heading2"/>
        <w:pageBreakBefore w:val="0"/>
        <w:spacing w:before="140" w:after="100"/>
        <w:keepNext/>
      </w:pPr>
      <w:r>
        <w:t>63.2. Кривая ассоциативная модель</w:t>
      </w:r>
    </w:p>
    <w:p>
      <w:pPr>
        <w:spacing w:after="80" w:line="259" w:lineRule="auto"/>
      </w:pPr>
      <w:r>
        <w:rPr>
          <w:rFonts w:ascii="Liberation Serif" w:hAnsi="Liberation Serif" w:eastAsia="Liberation Serif"/>
          <w:b/>
          <w:sz w:val="22"/>
        </w:rPr>
        <w:t>Пример 9.29.</w:t>
      </w:r>
      <w:r>
        <w:rPr>
          <w:rFonts w:ascii="Liberation Serif" w:hAnsi="Liberation Serif" w:eastAsia="Liberation Serif"/>
          <w:sz w:val="22"/>
        </w:rPr>
        <w:t>[THM/EX] Пусть A=X×M₂(R), ∇=d+[B,·], где B=x dy·H и H∈M₂(R). Тогда R_∇=dx∧dy·ad_H может быть ненулевой, но Ass_⊙=0, поскольку матричное умножение ассоциативно. Значит, кривизна не порождает неассоциативность автоматически.</w:t>
      </w:r>
    </w:p>
    <w:p>
      <w:pPr>
        <w:pStyle w:val="Heading2"/>
        <w:pageBreakBefore w:val="0"/>
        <w:spacing w:before="140" w:after="100"/>
        <w:keepNext/>
      </w:pPr>
      <w:r>
        <w:t>63.3. Плоская, но несовместимая связность</w:t>
      </w:r>
    </w:p>
    <w:p>
      <w:pPr>
        <w:spacing w:after="80" w:line="259" w:lineRule="auto"/>
      </w:pPr>
      <w:r>
        <w:rPr>
          <w:rFonts w:ascii="Liberation Serif" w:hAnsi="Liberation Serif" w:eastAsia="Liberation Serif"/>
          <w:b/>
          <w:sz w:val="22"/>
        </w:rPr>
        <w:t>Пример 9.30.</w:t>
      </w:r>
      <w:r>
        <w:rPr>
          <w:rFonts w:ascii="Liberation Serif" w:hAnsi="Liberation Serif" w:eastAsia="Liberation Serif"/>
          <w:sz w:val="22"/>
        </w:rPr>
        <w:t>[THM/EX] На постоянном алгебраическом расслоении положим ∇=d+ω Id, где dω=0. Тогда R_∇=0, но C_∇(X;a,b)=-ω(X)(a⊙b). Открытый перенос масштабирует элементы и обычно не является алгебраическим гомоморфизмом. Плоскостность не означает сохранение пакетного произведения.</w:t>
      </w:r>
    </w:p>
    <w:p>
      <w:pPr>
        <w:pStyle w:val="Heading2"/>
        <w:pageBreakBefore w:val="0"/>
        <w:spacing w:before="140" w:after="100"/>
        <w:keepNext/>
      </w:pPr>
      <w:r>
        <w:t>63.4. Кривая совместимая октонионная модель</w:t>
      </w:r>
    </w:p>
    <w:p>
      <w:pPr>
        <w:spacing w:after="80" w:line="259" w:lineRule="auto"/>
      </w:pPr>
      <w:r>
        <w:rPr>
          <w:rFonts w:ascii="Liberation Serif" w:hAnsi="Liberation Serif" w:eastAsia="Liberation Serif"/>
          <w:b/>
          <w:sz w:val="22"/>
        </w:rPr>
        <w:t>Пример 9.31.</w:t>
      </w:r>
      <w:r>
        <w:rPr>
          <w:rFonts w:ascii="Liberation Serif" w:hAnsi="Liberation Serif" w:eastAsia="Liberation Serif"/>
          <w:sz w:val="22"/>
        </w:rPr>
        <w:t>[MODEL/THM] Пусть A=R²×O, D∈Der(O), D≠0, и ∇=d+x dy·D. Поскольку D является деривацией, C_∇=0. Кривизна равна R_∇=dx∧dy·D≠0, а Hol_D действует алгебраическими автоморфизмами O, то есть лежит в G₂. Ассоциатор ненулевой, но параллелен и сохраняется голономией.</w:t>
      </w:r>
    </w:p>
    <w:p>
      <w:pPr>
        <w:spacing w:before="0" w:after="120" w:line="259" w:lineRule="auto"/>
      </w:pPr>
      <w:r>
        <w:rPr>
          <w:rFonts w:ascii="Liberation Serif" w:hAnsi="Liberation Serif" w:eastAsia="Liberation Serif"/>
          <w:b w:val="0"/>
          <w:sz w:val="22"/>
        </w:rPr>
        <w:t>Эта модель показывает допустимую форму моста: не «кривизна равна ассоциатору», а «кривизна принимает значения в алгебре дериваций, поэтому голономия сохраняет умножение и порождённый им ассоциатор».</w:t>
      </w:r>
    </w:p>
    <w:p>
      <w:pPr>
        <w:spacing w:after="80" w:line="259" w:lineRule="auto"/>
      </w:pPr>
      <w:r>
        <w:rPr>
          <w:rFonts w:ascii="Liberation Serif" w:hAnsi="Liberation Serif" w:eastAsia="Liberation Serif"/>
          <w:b/>
          <w:sz w:val="22"/>
        </w:rPr>
        <w:t>Теорема 9.32. Universal-equality no-go.</w:t>
      </w:r>
      <w:r>
        <w:rPr>
          <w:rFonts w:ascii="Liberation Serif" w:hAnsi="Liberation Serif" w:eastAsia="Liberation Serif"/>
          <w:sz w:val="22"/>
        </w:rPr>
        <w:t>[THM] На классе всех алгебраических расслоений не существует универсального тождества, определяющего R_∇ или Hol_D только по Ass_⊙, и не существует обратного универсального определения Ass_⊙ только по R_∇ или Hol_D. Доказательство дают пары примеров 9.28-9.31.</w:t>
      </w:r>
    </w:p>
    <w:p>
      <w:pPr>
        <w:pStyle w:val="Heading1"/>
        <w:pageBreakBefore w:val="0"/>
        <w:spacing w:before="200" w:after="100"/>
        <w:keepNext/>
      </w:pPr>
      <w:r>
        <w:t>64. Akivis/Sabinin-мост и его доказательные обязательства</w:t>
      </w:r>
    </w:p>
    <w:p>
      <w:pPr>
        <w:pStyle w:val="Heading2"/>
        <w:pageBreakBefore w:val="0"/>
        <w:spacing w:before="140" w:after="100"/>
        <w:keepNext/>
      </w:pPr>
      <w:r>
        <w:t>64.1. Классический локально-петлевой слой</w:t>
      </w:r>
    </w:p>
    <w:p>
      <w:pPr>
        <w:spacing w:after="80" w:line="259" w:lineRule="auto"/>
      </w:pPr>
      <w:r>
        <w:rPr>
          <w:rFonts w:ascii="Liberation Serif" w:hAnsi="Liberation Serif" w:eastAsia="Liberation Serif"/>
          <w:b/>
          <w:sz w:val="22"/>
        </w:rPr>
        <w:t>Определение 9.33. Akivis-алгебра.</w:t>
      </w:r>
      <w:r>
        <w:rPr>
          <w:rFonts w:ascii="Liberation Serif" w:hAnsi="Liberation Serif" w:eastAsia="Liberation Serif"/>
          <w:sz w:val="22"/>
        </w:rPr>
        <w:t>[CL] Векторное пространство V с антисимметричной бинарной операцией [x,y] и тернарной операцией (x,y,z) называется Akivis-алгеброй, если якобиатор бинарной операции равен знакопеременной сумме тернарной операции:</w:t>
      </w:r>
    </w:p>
    <w:p>
      <w:pPr>
        <w:spacing w:before="60" w:after="100"/>
        <w:jc w:val="center"/>
      </w:pPr>
      <w:r>
        <w:rPr>
          <w:rFonts w:ascii="Cambria Math" w:hAnsi="Cambria Math" w:eastAsia="Cambria Math"/>
          <w:sz w:val="22"/>
        </w:rPr>
        <w:t>[[x,y],z]+[[y,z],x]+[[z,x],y] = Σ_cyc ((x,y,z)-(y,x,z)).</w:t>
      </w:r>
    </w:p>
    <w:p>
      <w:pPr>
        <w:spacing w:before="0" w:after="100" w:line="259" w:lineRule="auto"/>
      </w:pPr>
      <w:r>
        <w:rPr>
          <w:rFonts w:ascii="Liberation Serif" w:hAnsi="Liberation Serif" w:eastAsia="Liberation Serif"/>
          <w:b w:val="0"/>
          <w:sz w:val="22"/>
        </w:rPr>
        <w:t>В геометрии локальных луп бинарная и тернарная операции возникают из низших членов разложения локального умножения и связаны с кручением, кривизной и ассоциативным дефектом. Этот классический факт даёт возможный интерфейс, но не готовое отождествление с NAPG-ассоциатором.</w:t>
      </w:r>
    </w:p>
    <w:p>
      <w:pPr>
        <w:spacing w:after="80" w:line="259" w:lineRule="auto"/>
      </w:pPr>
      <w:r>
        <w:rPr>
          <w:rFonts w:ascii="Liberation Serif" w:hAnsi="Liberation Serif" w:eastAsia="Liberation Serif"/>
          <w:b/>
          <w:sz w:val="22"/>
        </w:rPr>
        <w:t>Определение 9.34. Bridge datum β.</w:t>
      </w:r>
      <w:r>
        <w:rPr>
          <w:rFonts w:ascii="Liberation Serif" w:hAnsi="Liberation Serif" w:eastAsia="Liberation Serif"/>
          <w:sz w:val="22"/>
        </w:rPr>
        <w:t>[DEF-A] Мостом от волоконной NAPG-алгебры к локальной Akivis-структуре называется семейство линейных карт J_x:A_x→T_xX или в более общем случае функтор β_x между тернарными носителями, для которого определены диаграммы</w:t>
      </w:r>
    </w:p>
    <w:p>
      <w:pPr>
        <w:spacing w:before="60" w:after="100"/>
        <w:jc w:val="center"/>
      </w:pPr>
      <w:r>
        <w:rPr>
          <w:rFonts w:ascii="Cambria Math" w:hAnsi="Cambria Math" w:eastAsia="Cambria Math"/>
          <w:sz w:val="22"/>
        </w:rPr>
        <w:t>β_x ∘ Ass_⊙ = A_geo ∘ (J_x⊗J_x⊗J_x).</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Код</w:t>
            </w:r>
          </w:p>
        </w:tc>
        <w:tc>
          <w:tcPr>
            <w:tcW w:type="dxa" w:w="68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Обязательство моста</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v0.7</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B-AK1</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Dom/Cod J_x и β_x заданы типизированно</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B-AK2</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J_x совместим с градуировкой и D/Dom</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B-AK3</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Существует локальная лупа/экспоненциальная модель</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B-AK4</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Akivis identity выполнена для образа</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B-AK5</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β естественна относительно NAPG-морфизмов</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B-AK6</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β intertwines выбранные связности</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B-AK7</w:t>
            </w:r>
          </w:p>
        </w:tc>
        <w:tc>
          <w:tcPr>
            <w:tcW w:type="dxa" w:w="68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Результат независим от карты/калибровки</w:t>
            </w:r>
          </w:p>
        </w:tc>
        <w:tc>
          <w:tcPr>
            <w:tcW w:type="dxa" w:w="172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OPEN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B-AK8</w:t>
            </w:r>
          </w:p>
        </w:tc>
        <w:tc>
          <w:tcPr>
            <w:tcW w:type="dxa" w:w="68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Вычислительный сертификат воспроизводим</w:t>
            </w:r>
          </w:p>
        </w:tc>
        <w:tc>
          <w:tcPr>
            <w:tcW w:type="dxa" w:w="172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OPEN</w:t>
            </w:r>
          </w:p>
        </w:tc>
      </w:tr>
    </w:tbl>
    <w:p>
      <w:pPr>
        <w:spacing w:after="20"/>
      </w:pPr>
    </w:p>
    <w:p>
      <w:pPr>
        <w:spacing w:after="80" w:line="259" w:lineRule="auto"/>
      </w:pPr>
      <w:r>
        <w:rPr>
          <w:rFonts w:ascii="Liberation Serif" w:hAnsi="Liberation Serif" w:eastAsia="Liberation Serif"/>
          <w:b/>
          <w:sz w:val="22"/>
        </w:rPr>
        <w:t>Условная теорема 9.35. Curvature-associator transport.</w:t>
      </w:r>
      <w:r>
        <w:rPr>
          <w:rFonts w:ascii="Liberation Serif" w:hAnsi="Liberation Serif" w:eastAsia="Liberation Serif"/>
          <w:sz w:val="22"/>
        </w:rPr>
        <w:t>[COND] Если B-AK1-B-AK8 выполнены и β является параллельным intertwiner, то β переносит ∇Ass в ковариантную производную геометрического тернарного тензора и удовлетворяет</w:t>
      </w:r>
    </w:p>
    <w:p>
      <w:pPr>
        <w:spacing w:before="60" w:after="100"/>
        <w:jc w:val="center"/>
      </w:pPr>
      <w:r>
        <w:rPr>
          <w:rFonts w:ascii="Cambria Math" w:hAnsi="Cambria Math" w:eastAsia="Cambria Math"/>
          <w:sz w:val="22"/>
        </w:rPr>
        <w:t>β(K_Ass)=R_geo^{(3,1)}(β(Ass)).</w:t>
      </w:r>
    </w:p>
    <w:p>
      <w:pPr>
        <w:spacing w:before="0" w:after="120" w:line="259" w:lineRule="auto"/>
      </w:pPr>
      <w:r>
        <w:rPr>
          <w:rFonts w:ascii="Liberation Serif" w:hAnsi="Liberation Serif" w:eastAsia="Liberation Serif"/>
          <w:b w:val="0"/>
          <w:sz w:val="22"/>
        </w:rPr>
        <w:t>Теорема утверждает естественность уже построенного моста. Она не доказывает существование β. До закрытия B-AK1-B-AK8 общий геометрический мост остаётся доказательным обязательством T2-PO-060.</w:t>
      </w:r>
    </w:p>
    <w:p>
      <w:pPr>
        <w:pStyle w:val="Heading1"/>
        <w:pageBreakBefore w:val="0"/>
        <w:spacing w:before="200" w:after="100"/>
        <w:keepNext/>
      </w:pPr>
      <w:r>
        <w:t>65. Голономные инварианты предсказательного метода</w:t>
      </w:r>
    </w:p>
    <w:p>
      <w:pPr>
        <w:pStyle w:val="Heading2"/>
        <w:pageBreakBefore w:val="0"/>
        <w:spacing w:before="140" w:after="100"/>
        <w:keepNext/>
      </w:pPr>
      <w:r>
        <w:t>65.1. Инвариантная сигнатура</w:t>
      </w:r>
    </w:p>
    <w:p>
      <w:pPr>
        <w:spacing w:after="80" w:line="259" w:lineRule="auto"/>
      </w:pPr>
      <w:r>
        <w:rPr>
          <w:rFonts w:ascii="Liberation Serif" w:hAnsi="Liberation Serif" w:eastAsia="Liberation Serif"/>
          <w:b/>
          <w:sz w:val="22"/>
        </w:rPr>
        <w:t>Определение 9.36. D-holonomy signature.</w:t>
      </w:r>
      <w:r>
        <w:rPr>
          <w:rFonts w:ascii="Liberation Serif" w:hAnsi="Liberation Serif" w:eastAsia="Liberation Serif"/>
          <w:sz w:val="22"/>
        </w:rPr>
        <w:t>[DEF-A] Для параметра t определим сигнатуру</w:t>
      </w:r>
    </w:p>
    <w:p>
      <w:pPr>
        <w:spacing w:before="60" w:after="100"/>
        <w:jc w:val="center"/>
      </w:pPr>
      <w:r>
        <w:rPr>
          <w:rFonts w:ascii="Cambria Math" w:hAnsi="Cambria Math" w:eastAsia="Cambria Math"/>
          <w:sz w:val="22"/>
        </w:rPr>
        <w:t>Σ_Hol(t)=(dim 𝔥_D, rank G_N, Inv(R_∇), dim Stab(Ass), ||C_∇||, ||∇Ass||, ||K_Ass||, δ_truth, CGI).</w:t>
      </w:r>
    </w:p>
    <w:p>
      <w:pPr>
        <w:spacing w:before="0" w:after="100" w:line="259" w:lineRule="auto"/>
      </w:pPr>
      <w:r>
        <w:rPr>
          <w:rFonts w:ascii="Liberation Serif" w:hAnsi="Liberation Serif" w:eastAsia="Liberation Serif"/>
          <w:b w:val="0"/>
          <w:sz w:val="22"/>
        </w:rPr>
        <w:t>Здесь 𝔥_D - Lie-алгебра доступной голономии, G_N - матрица конечного сертификата генераторов до порядка N, Inv(R_∇) - только калибровочно-инвариантные полиномы или спектральные данные. Сырые коэффициенты матрицы без фиксированной калибровки в RBD как инварианты не записываются.</w:t>
      </w:r>
    </w:p>
    <w:p>
      <w:pPr>
        <w:spacing w:after="80" w:line="259" w:lineRule="auto"/>
      </w:pPr>
      <w:r>
        <w:rPr>
          <w:rFonts w:ascii="Liberation Serif" w:hAnsi="Liberation Serif" w:eastAsia="Liberation Serif"/>
          <w:b/>
          <w:sz w:val="22"/>
        </w:rPr>
        <w:t>Определение 9.37. Конечный голономный сертификат.</w:t>
      </w:r>
      <w:r>
        <w:rPr>
          <w:rFonts w:ascii="Liberation Serif" w:hAnsi="Liberation Serif" w:eastAsia="Liberation Serif"/>
          <w:sz w:val="22"/>
        </w:rPr>
        <w:t>[DEF-A] Выбирается конечное семейство D-допустимых путей η_j и ковариантных производных кривизны до порядка N. После переноса в базовую точку их координаты образуют матрицу G_N(t). Её ранг r_N(t) является воспроизводимым конечным приближением к размерности порождённого подпространства голономии.</w:t>
      </w:r>
    </w:p>
    <w:p>
      <w:pPr>
        <w:spacing w:after="80" w:line="259" w:lineRule="auto"/>
      </w:pPr>
      <w:r>
        <w:rPr>
          <w:rFonts w:ascii="Liberation Serif" w:hAnsi="Liberation Serif" w:eastAsia="Liberation Serif"/>
          <w:b/>
          <w:sz w:val="22"/>
        </w:rPr>
        <w:t>Теорема 9.38. Локальная постоянность конечного ранга.</w:t>
      </w:r>
      <w:r>
        <w:rPr>
          <w:rFonts w:ascii="Liberation Serif" w:hAnsi="Liberation Serif" w:eastAsia="Liberation Serif"/>
          <w:sz w:val="22"/>
        </w:rPr>
        <w:t>[THM] Если элементы G_N(t) аналитичны и некоторый максимальный r×r minor не обращается в нуль на интервале I, то rank G_N(t)=r на I. Изменение ранга возможно только на нулевом множестве соответствующих minors либо при выходе из Dom.</w:t>
      </w:r>
    </w:p>
    <w:p>
      <w:pPr>
        <w:spacing w:after="80" w:line="259" w:lineRule="auto"/>
      </w:pPr>
      <w:r>
        <w:rPr>
          <w:rFonts w:ascii="Liberation Serif" w:hAnsi="Liberation Serif" w:eastAsia="Liberation Serif"/>
          <w:b/>
          <w:sz w:val="22"/>
        </w:rPr>
        <w:t>Граница 9.39.</w:t>
      </w:r>
      <w:r>
        <w:rPr>
          <w:rFonts w:ascii="Liberation Serif" w:hAnsi="Liberation Serif" w:eastAsia="Liberation Serif"/>
          <w:sz w:val="22"/>
        </w:rPr>
        <w:t>[COND] Ранг G_N равен размерности полной алгебры голономии только после доказательства стабилизации и полноты сертификата. Без этого r_N является нижней оценкой и диагностическим признаком.</w:t>
      </w:r>
    </w:p>
    <w:p>
      <w:pPr>
        <w:pStyle w:val="Heading2"/>
        <w:pageBreakBefore w:val="0"/>
        <w:spacing w:before="140" w:after="100"/>
        <w:keepNext/>
      </w:pPr>
      <w:r>
        <w:t>65.2. Голономный горизонт</w:t>
      </w:r>
    </w:p>
    <w:p>
      <w:pPr>
        <w:spacing w:after="80" w:line="259" w:lineRule="auto"/>
      </w:pPr>
      <w:r>
        <w:rPr>
          <w:rFonts w:ascii="Liberation Serif" w:hAnsi="Liberation Serif" w:eastAsia="Liberation Serif"/>
          <w:b/>
          <w:sz w:val="22"/>
        </w:rPr>
        <w:t>Определение 9.40. Голономный горизонт.</w:t>
      </w:r>
      <w:r>
        <w:rPr>
          <w:rFonts w:ascii="Liberation Serif" w:hAnsi="Liberation Serif" w:eastAsia="Liberation Serif"/>
          <w:sz w:val="22"/>
        </w:rPr>
        <w:t>[DEF-A] Обозначим Δ_Hol,N объединение параметров, где: меняется категория P_D; исчезает transport existence; все выбранные максимальные minors G_N обращаются в нуль; меняется размерность стабилизатора Ass; возникает полюс λ; нарушается C_∇=0; либо теряется глобализация Evidence-D.</w:t>
      </w:r>
    </w:p>
    <w:p>
      <w:pPr>
        <w:spacing w:before="60" w:after="100"/>
        <w:jc w:val="center"/>
      </w:pPr>
      <w:r>
        <w:rPr>
          <w:rFonts w:ascii="Cambria Math" w:hAnsi="Cambria Math" w:eastAsia="Cambria Math"/>
          <w:sz w:val="22"/>
        </w:rPr>
        <w:t>Δ_conn = Δ_safe ∪ Δ_Hol,N ∪ Δ_bridge.</w:t>
      </w:r>
    </w:p>
    <w:p>
      <w:pPr>
        <w:spacing w:after="80" w:line="259" w:lineRule="auto"/>
      </w:pPr>
      <w:r>
        <w:rPr>
          <w:rFonts w:ascii="Liberation Serif" w:hAnsi="Liberation Serif" w:eastAsia="Liberation Serif"/>
          <w:b/>
          <w:sz w:val="22"/>
        </w:rPr>
        <w:t>Теорема 9.41. Negative holonomy prediction.</w:t>
      </w:r>
      <w:r>
        <w:rPr>
          <w:rFonts w:ascii="Liberation Serif" w:hAnsi="Liberation Serif" w:eastAsia="Liberation Serif"/>
          <w:sz w:val="22"/>
        </w:rPr>
        <w:t>[COND] Если семейство аналитично, сертификат G_N полон и стабилизирован, путь параметров не пересекает Δ_conn, а D/Dom и калибровочная категория неизменны, то размерность голономной алгебры, тип её действия на Ass и статус совместимости остаются постоянными. Внутри этой модели структурный переход соответствующего типа исключён.</w:t>
      </w:r>
    </w:p>
    <w:p>
      <w:pPr>
        <w:spacing w:before="0" w:after="120" w:line="259" w:lineRule="auto"/>
      </w:pPr>
      <w:r>
        <w:rPr>
          <w:rFonts w:ascii="Liberation Serif" w:hAnsi="Liberation Serif" w:eastAsia="Liberation Serif"/>
          <w:b w:val="0"/>
          <w:sz w:val="22"/>
        </w:rPr>
        <w:t>Это отрицательный прогноз: он говорит, где переход невозможен при данных гипотезах. Пересечение горизонта означает только появление кандидата, а не фактическое событие.</w:t>
      </w:r>
    </w:p>
    <w:p>
      <w:pPr>
        <w:pStyle w:val="Heading1"/>
        <w:pageBreakBefore w:val="0"/>
        <w:spacing w:before="200" w:after="100"/>
        <w:keepNext/>
      </w:pPr>
      <w:r>
        <w:t>66. Проективный перенос Reper и невозможность изменения λ общим PGL₂-движением</w:t>
      </w:r>
    </w:p>
    <w:p>
      <w:pPr>
        <w:spacing w:after="80" w:line="259" w:lineRule="auto"/>
      </w:pPr>
      <w:r>
        <w:rPr>
          <w:rFonts w:ascii="Liberation Serif" w:hAnsi="Liberation Serif" w:eastAsia="Liberation Serif"/>
          <w:b/>
          <w:sz w:val="22"/>
        </w:rPr>
        <w:t>Теорема 9.42. Common-projective transport invariance.</w:t>
      </w:r>
      <w:r>
        <w:rPr>
          <w:rFonts w:ascii="Liberation Serif" w:hAnsi="Liberation Serif" w:eastAsia="Liberation Serif"/>
          <w:sz w:val="22"/>
        </w:rPr>
        <w:t>[THM] Пусть четыре точки Reper ρ=(r,i,u,d) переносятся одним и тем же PGL₂-преобразованием g_t. Тогда</w:t>
      </w:r>
    </w:p>
    <w:p>
      <w:pPr>
        <w:spacing w:before="60" w:after="100"/>
        <w:jc w:val="center"/>
      </w:pPr>
      <w:r>
        <w:rPr>
          <w:rFonts w:ascii="Cambria Math" w:hAnsi="Cambria Math" w:eastAsia="Cambria Math"/>
          <w:sz w:val="22"/>
        </w:rPr>
        <w:t>λ(g_tu,g_ti;g_tr,g_td)=λ(u,i;r,d).</w:t>
      </w:r>
    </w:p>
    <w:p>
      <w:pPr>
        <w:spacing w:before="0" w:after="100" w:line="259" w:lineRule="auto"/>
      </w:pPr>
      <w:r>
        <w:rPr>
          <w:rFonts w:ascii="Liberation Serif" w:hAnsi="Liberation Serif" w:eastAsia="Liberation Serif"/>
          <w:b w:val="0"/>
          <w:sz w:val="22"/>
        </w:rPr>
        <w:t>Следовательно, чистый общий проективный перенос не приближает и не удаляет Reper от гармонического значения. Для изменения λ необходимо относительное движение компонент, непроективный транспорт, смена D/Dom или прохождение через вырожденную конфигурацию.</w:t>
      </w:r>
    </w:p>
    <w:p>
      <w:pPr>
        <w:spacing w:after="80" w:line="259" w:lineRule="auto"/>
      </w:pPr>
      <w:r>
        <w:rPr>
          <w:rFonts w:ascii="Liberation Serif" w:hAnsi="Liberation Serif" w:eastAsia="Liberation Serif"/>
          <w:b/>
          <w:sz w:val="22"/>
        </w:rPr>
        <w:t>Следствие 9.43. Relative-transport necessity.</w:t>
      </w:r>
      <w:r>
        <w:rPr>
          <w:rFonts w:ascii="Liberation Serif" w:hAnsi="Liberation Serif" w:eastAsia="Liberation Serif"/>
          <w:sz w:val="22"/>
        </w:rPr>
        <w:t>[THM] Если наблюдается dλ/dt≠0 вне полюсов, то скорости r,i,u,d не могут быть одновременно порождены одним инфинитезимальным полем sl₂ на P¹. Ненулевой dλ является детектором относительной, а не общей проективной динамики.</w:t>
      </w:r>
    </w:p>
    <w:p>
      <w:pPr>
        <w:spacing w:after="80" w:line="259" w:lineRule="auto"/>
      </w:pPr>
      <w:r>
        <w:rPr>
          <w:rFonts w:ascii="Liberation Serif" w:hAnsi="Liberation Serif" w:eastAsia="Liberation Serif"/>
          <w:b/>
          <w:sz w:val="22"/>
        </w:rPr>
        <w:t>Определение 9.44. Relative Reper connection.</w:t>
      </w:r>
      <w:r>
        <w:rPr>
          <w:rFonts w:ascii="Liberation Serif" w:hAnsi="Liberation Serif" w:eastAsia="Liberation Serif"/>
          <w:sz w:val="22"/>
        </w:rPr>
        <w:t>[DEF-A] На четырёх копиях проективного расслоения допускаются связности ∇^r,∇^i,∇^u,∇^d. Их разности относительно общей проектной части образуют относительную связность ∇^rel. Именно ∇^rel входит в формулу dλ из главы 8.</w:t>
      </w:r>
    </w:p>
    <w:p>
      <w:pPr>
        <w:spacing w:after="80" w:line="259" w:lineRule="auto"/>
      </w:pPr>
      <w:r>
        <w:rPr>
          <w:rFonts w:ascii="Liberation Serif" w:hAnsi="Liberation Serif" w:eastAsia="Liberation Serif"/>
          <w:b/>
          <w:sz w:val="22"/>
        </w:rPr>
        <w:t>Предсказательный вывод 9.45.</w:t>
      </w:r>
      <w:r>
        <w:rPr>
          <w:rFonts w:ascii="Liberation Serif" w:hAnsi="Liberation Serif" w:eastAsia="Liberation Serif"/>
          <w:sz w:val="22"/>
        </w:rPr>
        <w:t>[THM/INTERFACE] Гармонический дефект δ_truth не должен интерпретироваться как временная координата при общем переносе. Он становится динамической диагностикой только после задания относительной кинематики Reper и проверки D/Dom.</w:t>
      </w:r>
    </w:p>
    <w:p>
      <w:pPr>
        <w:pStyle w:val="Heading1"/>
        <w:pageBreakBefore w:val="0"/>
        <w:spacing w:before="200" w:after="100"/>
        <w:keepNext/>
      </w:pPr>
      <w:r>
        <w:t>67. Главная условная теорема v0.7</w:t>
      </w:r>
    </w:p>
    <w:p>
      <w:pPr>
        <w:spacing w:after="80" w:line="259" w:lineRule="auto"/>
      </w:pPr>
      <w:r>
        <w:rPr>
          <w:rFonts w:ascii="Liberation Serif" w:hAnsi="Liberation Serif" w:eastAsia="Liberation Serif"/>
          <w:b/>
          <w:sz w:val="22"/>
        </w:rPr>
        <w:t>Теорема 9.46. Holonomy-associator-safe predictive theorem.</w:t>
      </w:r>
      <w:r>
        <w:rPr>
          <w:rFonts w:ascii="Liberation Serif" w:hAnsi="Liberation Serif" w:eastAsia="Liberation Serif"/>
          <w:sz w:val="22"/>
        </w:rPr>
        <w:t>[COND] Рассмотрим параметрическое семейство (A_t,⊙_t,∇_t,ρ_t,D_t) на интервале I. Предположим:</w:t>
      </w:r>
    </w:p>
    <w:p>
      <w:pPr>
        <w:pStyle w:val="ListBullet"/>
        <w:spacing w:after="40" w:line="252" w:lineRule="auto"/>
      </w:pPr>
      <w:r>
        <w:rPr>
          <w:rFonts w:ascii="Liberation Serif" w:hAnsi="Liberation Serif" w:eastAsia="Liberation Serif"/>
          <w:sz w:val="21"/>
        </w:rPr>
        <w:t>H1. Волоконные операции и связности имеют фиксированные типы и C²-зависимость от t.</w:t>
      </w:r>
    </w:p>
    <w:p>
      <w:pPr>
        <w:pStyle w:val="ListBullet"/>
        <w:spacing w:after="40" w:line="252" w:lineRule="auto"/>
      </w:pPr>
      <w:r>
        <w:rPr>
          <w:rFonts w:ascii="Liberation Serif" w:hAnsi="Liberation Serif" w:eastAsia="Liberation Serif"/>
          <w:sz w:val="21"/>
        </w:rPr>
        <w:t>H2. P_D образует устойчивую группуоидную категорию путей, а transport ODE разрешимо.</w:t>
      </w:r>
    </w:p>
    <w:p>
      <w:pPr>
        <w:pStyle w:val="ListBullet"/>
        <w:spacing w:after="40" w:line="252" w:lineRule="auto"/>
      </w:pPr>
      <w:r>
        <w:rPr>
          <w:rFonts w:ascii="Liberation Serif" w:hAnsi="Liberation Serif" w:eastAsia="Liberation Serif"/>
          <w:sz w:val="21"/>
        </w:rPr>
        <w:t>H3. Все D/Dom и provenance-пакеты версионированы и не конфликтуют.</w:t>
      </w:r>
    </w:p>
    <w:p>
      <w:pPr>
        <w:pStyle w:val="ListBullet"/>
        <w:spacing w:after="40" w:line="252" w:lineRule="auto"/>
      </w:pPr>
      <w:r>
        <w:rPr>
          <w:rFonts w:ascii="Liberation Serif" w:hAnsi="Liberation Serif" w:eastAsia="Liberation Serif"/>
          <w:sz w:val="21"/>
        </w:rPr>
        <w:t>H4. Конечный голономный сертификат G_N полон и стабилизирован.</w:t>
      </w:r>
    </w:p>
    <w:p>
      <w:pPr>
        <w:pStyle w:val="ListBullet"/>
        <w:spacing w:after="40" w:line="252" w:lineRule="auto"/>
      </w:pPr>
      <w:r>
        <w:rPr>
          <w:rFonts w:ascii="Liberation Serif" w:hAnsi="Liberation Serif" w:eastAsia="Liberation Serif"/>
          <w:sz w:val="21"/>
        </w:rPr>
        <w:t>H5. Ассоциаторный bridge package B_Ass вычислен; выбранные нормы и калибровочные инварианты фиксированы.</w:t>
      </w:r>
    </w:p>
    <w:p>
      <w:pPr>
        <w:pStyle w:val="ListBullet"/>
        <w:spacing w:after="40" w:line="252" w:lineRule="auto"/>
      </w:pPr>
      <w:r>
        <w:rPr>
          <w:rFonts w:ascii="Liberation Serif" w:hAnsi="Liberation Serif" w:eastAsia="Liberation Serif"/>
          <w:sz w:val="21"/>
        </w:rPr>
        <w:t>H6. При использовании Akivis/Sabinin-моста закрыты B-AK1-B-AK8.</w:t>
      </w:r>
    </w:p>
    <w:p>
      <w:pPr>
        <w:pStyle w:val="ListBullet"/>
        <w:spacing w:after="40" w:line="252" w:lineRule="auto"/>
      </w:pPr>
      <w:r>
        <w:rPr>
          <w:rFonts w:ascii="Liberation Serif" w:hAnsi="Liberation Serif" w:eastAsia="Liberation Serif"/>
          <w:sz w:val="21"/>
        </w:rPr>
        <w:t>H7. Reper-атлас имеет PGL₂-переходы, а λ вычисляется вне полюсов.</w:t>
      </w:r>
    </w:p>
    <w:p>
      <w:pPr>
        <w:pStyle w:val="ListBullet"/>
        <w:spacing w:after="40" w:line="252" w:lineRule="auto"/>
      </w:pPr>
      <w:r>
        <w:rPr>
          <w:rFonts w:ascii="Liberation Serif" w:hAnsi="Liberation Serif" w:eastAsia="Liberation Serif"/>
          <w:sz w:val="21"/>
        </w:rPr>
        <w:t>H8. Общая и относительная части транспорта Reper разделены.</w:t>
      </w:r>
    </w:p>
    <w:p>
      <w:pPr>
        <w:pStyle w:val="ListBullet"/>
        <w:spacing w:after="40" w:line="252" w:lineRule="auto"/>
      </w:pPr>
      <w:r>
        <w:rPr>
          <w:rFonts w:ascii="Liberation Serif" w:hAnsi="Liberation Serif" w:eastAsia="Liberation Serif"/>
          <w:sz w:val="21"/>
        </w:rPr>
        <w:t>H9. Глобализационные и tangent-obstruction сертификаты v0.5-v0.6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Δ_conn.</w:t>
      </w:r>
    </w:p>
    <w:p>
      <w:pPr>
        <w:spacing w:before="0" w:after="100" w:line="259" w:lineRule="auto"/>
      </w:pPr>
      <w:r>
        <w:rPr>
          <w:rFonts w:ascii="Liberation Serif" w:hAnsi="Liberation Serif" w:eastAsia="Liberation Serif"/>
          <w:b w:val="0"/>
          <w:sz w:val="22"/>
        </w:rPr>
        <w:t>Тогда на каждой связной компоненте I\Δ_conn сохраняются: ранг подтверждённой голономной алгебры, тип её представления на A, размерность стабилизатора Ass, нулевой/ненулевой статус C_∇, ∇Ass и K_Ass, а также λ при чистом общем PGL₂-переносе. Поэтому переход, требующий изменения хотя бы одного из этих инвариантов, невозможен внутри данной компоненты.</w:t>
      </w:r>
    </w:p>
    <w:p>
      <w:pPr>
        <w:spacing w:after="80" w:line="259" w:lineRule="auto"/>
      </w:pPr>
      <w:r>
        <w:rPr>
          <w:rFonts w:ascii="Liberation Serif" w:hAnsi="Liberation Serif" w:eastAsia="Liberation Serif"/>
          <w:b/>
          <w:sz w:val="22"/>
        </w:rPr>
        <w:t>Королларий 9.47. Необходимое условие структурного события.</w:t>
      </w:r>
      <w:r>
        <w:rPr>
          <w:rFonts w:ascii="Liberation Serif" w:hAnsi="Liberation Serif" w:eastAsia="Liberation Serif"/>
          <w:sz w:val="22"/>
        </w:rPr>
        <w:t>[COND] Кандидат перехода может возникнуть только при пересечении Δ_conn, активации относительной Reper-динамики, ненулевом bridge defect либо смене D/Dom. Ни одно из этих условий отдельно не является достаточным для наступления события.</w:t>
      </w:r>
    </w:p>
    <w:p>
      <w:pPr>
        <w:spacing w:after="80" w:line="259" w:lineRule="auto"/>
      </w:pPr>
      <w:r>
        <w:rPr>
          <w:rFonts w:ascii="Liberation Serif" w:hAnsi="Liberation Serif" w:eastAsia="Liberation Serif"/>
          <w:b/>
          <w:sz w:val="22"/>
        </w:rPr>
        <w:t>Королларий 9.48. Blocker-safe verdict.</w:t>
      </w:r>
      <w:r>
        <w:rPr>
          <w:rFonts w:ascii="Liberation Serif" w:hAnsi="Liberation Serif" w:eastAsia="Liberation Serif"/>
          <w:sz w:val="22"/>
        </w:rPr>
        <w:t>[THM/PROTOCOL] Если сертификат неполон или bridge conditions конфликтуют, вывод равен ABSTAIN. Если горизонты не пересечены и H1-H10 проверены, вывод равен NO-STRUCTURAL-TRANSITION-IN-MODEL. При проверенном пересечении выдаётся только CANDIDATE-TRANSITION.</w:t>
      </w:r>
    </w:p>
    <w:p>
      <w:pPr>
        <w:spacing w:before="100" w:after="40"/>
        <w:jc w:val="center"/>
      </w:pPr>
      <w:r>
        <w:drawing>
          <wp:inline xmlns:a="http://schemas.openxmlformats.org/drawingml/2006/main" xmlns:pic="http://schemas.openxmlformats.org/drawingml/2006/picture">
            <wp:extent cx="6172200" cy="3775495"/>
            <wp:docPr id="23" name="Picture 23"/>
            <wp:cNvGraphicFramePr>
              <a:graphicFrameLocks noChangeAspect="1"/>
            </wp:cNvGraphicFramePr>
            <a:graphic>
              <a:graphicData uri="http://schemas.openxmlformats.org/drawingml/2006/picture">
                <pic:pic>
                  <pic:nvPicPr>
                    <pic:cNvPr id="0" name="fig19_gate.png"/>
                    <pic:cNvPicPr/>
                  </pic:nvPicPr>
                  <pic:blipFill>
                    <a:blip r:embed="rId49"/>
                    <a:stretch>
                      <a:fillRect/>
                    </a:stretch>
                  </pic:blipFill>
                  <pic:spPr>
                    <a:xfrm>
                      <a:off x="0" y="0"/>
                      <a:ext cx="6172200" cy="3775495"/>
                    </a:xfrm>
                    <a:prstGeom prst="rect"/>
                  </pic:spPr>
                </pic:pic>
              </a:graphicData>
            </a:graphic>
          </wp:inline>
        </w:drawing>
      </w:r>
    </w:p>
    <w:p>
      <w:pPr>
        <w:pStyle w:val="Caption"/>
        <w:spacing w:after="120"/>
        <w:jc w:val="center"/>
      </w:pPr>
      <w:r>
        <w:t>Рисунок 19. Blocker-safe шлюз голономно-ассоциаторного прогноза. Собственная схема Тома II.</w:t>
      </w:r>
    </w:p>
    <w:p>
      <w:pPr>
        <w:pStyle w:val="Heading1"/>
        <w:pageBreakBefore w:val="0"/>
        <w:spacing w:before="200" w:after="100"/>
        <w:keepNext/>
      </w:pPr>
      <w:r>
        <w:t>68. Вычислительный сертификат HOL-ASS v0.7</w:t>
      </w:r>
    </w:p>
    <w:p>
      <w:pPr>
        <w:pStyle w:val="Heading2"/>
        <w:pageBreakBefore w:val="0"/>
        <w:spacing w:before="140" w:after="100"/>
        <w:keepNext/>
      </w:pPr>
      <w:r>
        <w:t>68.1. Машинно проверяемые объекты</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4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типов A, μ, ∇, Dom</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Решение transport ODE на тестовых путях</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P_γ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HOL-03</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P_{γ₂*γ₁}=P_{γ₂}P_{γ₁}</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composition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HOL-04</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R_∇ и Bianchi residual</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curvature object</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HOL-05</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Малоконтурный предел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small-loop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HOL-06</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Построение G_N и rank minors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holonomy lower bound</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HOL-07</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C_∇</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product compatibility</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HOL-08</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∇Ass и identity 9.20</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first-order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HOL-09</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K_Ass</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curvature bridge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H_⊙ и H_Ass</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finite transport defects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HOL-11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PGL₂-инвариантности λ</w:t>
            </w:r>
          </w:p>
        </w:tc>
        <w:tc>
          <w:tcPr>
            <w:tcW w:type="dxa" w:w="3456"/>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transport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HOL-12</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Финальный blocker-safe verdict</w:t>
            </w:r>
          </w:p>
        </w:tc>
        <w:tc>
          <w:tcPr>
            <w:tcW w:type="dxa" w:w="3456"/>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68.2. Автоматические тесты</w:t>
      </w:r>
    </w:p>
    <w:p>
      <w:pPr>
        <w:pStyle w:val="ListBullet"/>
        <w:spacing w:after="40" w:line="252" w:lineRule="auto"/>
      </w:pPr>
      <w:r>
        <w:rPr>
          <w:rFonts w:ascii="Liberation Serif" w:hAnsi="Liberation Serif" w:eastAsia="Liberation Serif"/>
          <w:sz w:val="21"/>
        </w:rPr>
        <w:t>TEST-CONN-01: связность удовлетворяет scalar Leibniz rule;</w:t>
      </w:r>
    </w:p>
    <w:p>
      <w:pPr>
        <w:pStyle w:val="ListBullet"/>
        <w:spacing w:after="40" w:line="252" w:lineRule="auto"/>
      </w:pPr>
      <w:r>
        <w:rPr>
          <w:rFonts w:ascii="Liberation Serif" w:hAnsi="Liberation Serif" w:eastAsia="Liberation Serif"/>
          <w:sz w:val="21"/>
        </w:rPr>
        <w:t>TEST-PATH-02: P_D замкнута относительно композиции и обращения там, где заявлена группа;</w:t>
      </w:r>
    </w:p>
    <w:p>
      <w:pPr>
        <w:pStyle w:val="ListBullet"/>
        <w:spacing w:after="40" w:line="252" w:lineRule="auto"/>
      </w:pPr>
      <w:r>
        <w:rPr>
          <w:rFonts w:ascii="Liberation Serif" w:hAnsi="Liberation Serif" w:eastAsia="Liberation Serif"/>
          <w:sz w:val="21"/>
        </w:rPr>
        <w:t>TEST-PT-03: transport composition associative с точностью solver tolerance;</w:t>
      </w:r>
    </w:p>
    <w:p>
      <w:pPr>
        <w:pStyle w:val="ListBullet"/>
        <w:spacing w:after="40" w:line="252" w:lineRule="auto"/>
      </w:pPr>
      <w:r>
        <w:rPr>
          <w:rFonts w:ascii="Liberation Serif" w:hAnsi="Liberation Serif" w:eastAsia="Liberation Serif"/>
          <w:sz w:val="21"/>
        </w:rPr>
        <w:t>TEST-CURV-04: координатная и операторная формулы R_∇ совпадают;</w:t>
      </w:r>
    </w:p>
    <w:p>
      <w:pPr>
        <w:pStyle w:val="ListBullet"/>
        <w:spacing w:after="40" w:line="252" w:lineRule="auto"/>
      </w:pPr>
      <w:r>
        <w:rPr>
          <w:rFonts w:ascii="Liberation Serif" w:hAnsi="Liberation Serif" w:eastAsia="Liberation Serif"/>
          <w:sz w:val="21"/>
        </w:rPr>
        <w:t>TEST-LOOP-05: ε⁻²(P_□-Id) сходится к выбранному знаку R_∇;</w:t>
      </w:r>
    </w:p>
    <w:p>
      <w:pPr>
        <w:pStyle w:val="ListBullet"/>
        <w:spacing w:after="40" w:line="252" w:lineRule="auto"/>
      </w:pPr>
      <w:r>
        <w:rPr>
          <w:rFonts w:ascii="Liberation Serif" w:hAnsi="Liberation Serif" w:eastAsia="Liberation Serif"/>
          <w:sz w:val="21"/>
        </w:rPr>
        <w:t>TEST-HOL-06: rank G_N подтверждён точной арифметикой или интервальными bounds;</w:t>
      </w:r>
    </w:p>
    <w:p>
      <w:pPr>
        <w:pStyle w:val="ListBullet"/>
        <w:spacing w:after="40" w:line="252" w:lineRule="auto"/>
      </w:pPr>
      <w:r>
        <w:rPr>
          <w:rFonts w:ascii="Liberation Serif" w:hAnsi="Liberation Serif" w:eastAsia="Liberation Serif"/>
          <w:sz w:val="21"/>
        </w:rPr>
        <w:t>TEST-PROD-07: C_∇=0 эквивалентно сохранению μ на тестовых путях;</w:t>
      </w:r>
    </w:p>
    <w:p>
      <w:pPr>
        <w:pStyle w:val="ListBullet"/>
        <w:spacing w:after="40" w:line="252" w:lineRule="auto"/>
      </w:pPr>
      <w:r>
        <w:rPr>
          <w:rFonts w:ascii="Liberation Serif" w:hAnsi="Liberation Serif" w:eastAsia="Liberation Serif"/>
          <w:sz w:val="21"/>
        </w:rPr>
        <w:t>TEST-DASS-08: формула 9.20 проверена символически;</w:t>
      </w:r>
    </w:p>
    <w:p>
      <w:pPr>
        <w:pStyle w:val="ListBullet"/>
        <w:spacing w:after="40" w:line="252" w:lineRule="auto"/>
      </w:pPr>
      <w:r>
        <w:rPr>
          <w:rFonts w:ascii="Liberation Serif" w:hAnsi="Liberation Serif" w:eastAsia="Liberation Serif"/>
          <w:sz w:val="21"/>
        </w:rPr>
        <w:t>TEST-KASS-09: K_Ass совпадает с induced curvature formula;</w:t>
      </w:r>
    </w:p>
    <w:p>
      <w:pPr>
        <w:pStyle w:val="ListBullet"/>
        <w:spacing w:after="40" w:line="252" w:lineRule="auto"/>
      </w:pPr>
      <w:r>
        <w:rPr>
          <w:rFonts w:ascii="Liberation Serif" w:hAnsi="Liberation Serif" w:eastAsia="Liberation Serif"/>
          <w:sz w:val="21"/>
        </w:rPr>
        <w:t>TEST-NOGO-10: модели 9.28-9.31 опровергают универсальное тождество;</w:t>
      </w:r>
    </w:p>
    <w:p>
      <w:pPr>
        <w:pStyle w:val="ListBullet"/>
        <w:spacing w:after="40" w:line="252" w:lineRule="auto"/>
      </w:pPr>
      <w:r>
        <w:rPr>
          <w:rFonts w:ascii="Liberation Serif" w:hAnsi="Liberation Serif" w:eastAsia="Liberation Serif"/>
          <w:sz w:val="21"/>
        </w:rPr>
        <w:t>TEST-PGL2-11: общая projective transport оставляет λ неизменной;</w:t>
      </w:r>
    </w:p>
    <w:p>
      <w:pPr>
        <w:pStyle w:val="ListBullet"/>
        <w:spacing w:after="40" w:line="252" w:lineRule="auto"/>
      </w:pPr>
      <w:r>
        <w:rPr>
          <w:rFonts w:ascii="Liberation Serif" w:hAnsi="Liberation Serif" w:eastAsia="Liberation Serif"/>
          <w:sz w:val="21"/>
        </w:rPr>
        <w:t>TEST-REL-12: dλ≠0 детектирует относительную компоненту вне полюсов;</w:t>
      </w:r>
    </w:p>
    <w:p>
      <w:pPr>
        <w:pStyle w:val="ListBullet"/>
        <w:spacing w:after="40" w:line="252" w:lineRule="auto"/>
      </w:pPr>
      <w:r>
        <w:rPr>
          <w:rFonts w:ascii="Liberation Serif" w:hAnsi="Liberation Serif" w:eastAsia="Liberation Serif"/>
          <w:sz w:val="21"/>
        </w:rPr>
        <w:t>TEST-GATE-13: неполный мост принудительно возвращает ABSTAIN;</w:t>
      </w:r>
    </w:p>
    <w:p>
      <w:pPr>
        <w:pStyle w:val="ListBullet"/>
        <w:spacing w:after="40" w:line="252" w:lineRule="auto"/>
      </w:pPr>
      <w:r>
        <w:rPr>
          <w:rFonts w:ascii="Liberation Serif" w:hAnsi="Liberation Serif" w:eastAsia="Liberation Serif"/>
          <w:sz w:val="21"/>
        </w:rPr>
        <w:t>TEST-HASH-14: исходные данные, пути, калибровки и proof objects имеют хеши.</w:t>
      </w:r>
    </w:p>
    <w:p>
      <w:pPr>
        <w:pStyle w:val="Heading2"/>
        <w:pageBreakBefore w:val="0"/>
        <w:spacing w:before="140" w:after="100"/>
        <w:keepNext/>
      </w:pPr>
      <w:r>
        <w:t>68.3. Псевдокод</w:t>
      </w:r>
    </w:p>
    <w:p>
      <w:pPr>
        <w:spacing w:before="80" w:after="140"/>
        <w:ind w:left="360" w:right="288"/>
      </w:pPr>
      <w:r>
        <w:rPr>
          <w:rFonts w:ascii="Liberation Mono" w:hAnsi="Liberation Mono" w:eastAsia="Liberation Mono"/>
          <w:sz w:val="18"/>
        </w:rPr>
        <w:t>INPUT family F_t=(A_t, mu_t, nabla_t, reper_t, D_t), path system P_D, order N</w:t>
        <w:br/>
        <w:t>CHECK types, Dom, provenance, path closure</w:t>
        <w:br/>
        <w:t>COMPUTE transports P_gamma and composition residuals</w:t>
        <w:br/>
        <w:t>COMPUTE curvature R, small-loop certificates, generator matrix G_N</w:t>
        <w:br/>
        <w:t>COMPUTE C_nabla, nabla_Ass, K_Ass, H_mu, H_Ass</w:t>
        <w:br/>
        <w:t>COMPUTE lambda and split common PGL2 motion from relative motion</w:t>
        <w:br/>
        <w:t>BUILD Delta_conn and blocker set B</w:t>
        <w:br/>
        <w:t>IF B != empty: RETURN ABSTAIN</w:t>
        <w:br/>
        <w:t>IF path(t) avoids Delta_conn and full-certificate hypotheses hold:</w:t>
        <w:br/>
        <w:t xml:space="preserve">    RETURN NO_STRUCTURAL_TRANSITION_IN_MODEL</w:t>
        <w:br/>
        <w:t>IF verified horizon crossing:</w:t>
        <w:br/>
        <w:t xml:space="preserve">    RETURN CANDIDATE_TRANSITION</w:t>
        <w:br/>
        <w:t>ELSE:</w:t>
        <w:br/>
        <w:t xml:space="preserve">    RETURN ABSTAIN</w:t>
      </w:r>
    </w:p>
    <w:p>
      <w:pPr>
        <w:pStyle w:val="Heading1"/>
        <w:pageBreakBefore w:val="0"/>
        <w:spacing w:before="200" w:after="100"/>
        <w:keepNext/>
      </w:pPr>
      <w:r>
        <w:t>69. Доказательные обязательства, библиография и контрольная точка v0.7</w:t>
      </w:r>
    </w:p>
    <w:p>
      <w:pPr>
        <w:pStyle w:val="Heading2"/>
        <w:pageBreakBefore w:val="0"/>
        <w:spacing w:before="140" w:after="100"/>
        <w:keepNext/>
      </w:pPr>
      <w:r>
        <w:t>69.1.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v0.7</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Строгая категория D-допустимых путей и существование transport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частично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Ассоциативность transport composition и no-go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D-Ambrose-Singer для ограниченной системы путей</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Эквивалентность C_∇=0 и сохранения μ транспортом</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T2-PO-058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Формула ∇Ass через C_∇</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T2-PO-059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Определение и естественность K_Ass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THM/DEF-A</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typed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Существование Akivis/Sabinin-моста β</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Независимость β от карт и калибровок</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Октонионная совместимая модель</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MODEL/THM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Universal-equality no-go</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Полнота конечного сертификата G_N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OPEN</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Локальная постоянность rank G_N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Common-PGL₂ invariance of λ</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Relative Reper connection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DEF-A/OPEN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определено, реализация открыта</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T2-PO-068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Holonomy-associator-safe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T2-PO-069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Независимый доменный запуск HOL-ASS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69.2. Библиографическая синхронизация</w:t>
      </w:r>
    </w:p>
    <w:p>
      <w:pPr>
        <w:spacing w:before="0" w:after="40" w:line="240" w:lineRule="auto"/>
      </w:pPr>
      <w:r>
        <w:rPr>
          <w:rFonts w:ascii="Liberation Serif" w:hAnsi="Liberation Serif" w:eastAsia="Liberation Serif"/>
          <w:b w:val="0"/>
          <w:sz w:val="22"/>
        </w:rPr>
        <w:t>[V0.7-1] Ehresmann, C. Les connexions infinitésimales dans un espace fibré différentiable. Séminaire Bourbaki, exposé 24, 1952, 153-168. Numdam.</w:t>
      </w:r>
    </w:p>
    <w:p>
      <w:pPr>
        <w:spacing w:before="0" w:after="40" w:line="240" w:lineRule="auto"/>
      </w:pPr>
      <w:r>
        <w:rPr>
          <w:rFonts w:ascii="Liberation Serif" w:hAnsi="Liberation Serif" w:eastAsia="Liberation Serif"/>
          <w:b w:val="0"/>
          <w:sz w:val="22"/>
        </w:rPr>
        <w:t>[V0.7-2] Cartan, E. Les groupes d’holonomie des espaces généralisés. Acta Mathematica 48 (1926), 1-42. DOI 10.1007/BF02629755.</w:t>
      </w:r>
    </w:p>
    <w:p>
      <w:pPr>
        <w:spacing w:before="0" w:after="40" w:line="240" w:lineRule="auto"/>
      </w:pPr>
      <w:r>
        <w:rPr>
          <w:rFonts w:ascii="Liberation Serif" w:hAnsi="Liberation Serif" w:eastAsia="Liberation Serif"/>
          <w:b w:val="0"/>
          <w:sz w:val="22"/>
        </w:rPr>
        <w:t>[V0.7-3] Ambrose, W.; Singer, I. M. A Theorem on Holonomy. Transactions of the AMS 75 (1953), 428-443. DOI 10.1090/S0002-9947-1953-0063739-1.</w:t>
      </w:r>
    </w:p>
    <w:p>
      <w:pPr>
        <w:spacing w:before="0" w:after="40" w:line="240" w:lineRule="auto"/>
      </w:pPr>
      <w:r>
        <w:rPr>
          <w:rFonts w:ascii="Liberation Serif" w:hAnsi="Liberation Serif" w:eastAsia="Liberation Serif"/>
          <w:b w:val="0"/>
          <w:sz w:val="22"/>
        </w:rPr>
        <w:t>[V0.7-4] Kobayashi, S.; Nomizu, K. Foundations of Differential Geometry, Vol. I. Wiley Classics Library.</w:t>
      </w:r>
    </w:p>
    <w:p>
      <w:pPr>
        <w:spacing w:before="0" w:after="40" w:line="240" w:lineRule="auto"/>
      </w:pPr>
      <w:r>
        <w:rPr>
          <w:rFonts w:ascii="Liberation Serif" w:hAnsi="Liberation Serif" w:eastAsia="Liberation Serif"/>
          <w:b w:val="0"/>
          <w:sz w:val="22"/>
        </w:rPr>
        <w:t>[V0.7-5] Akivis, M. A. Local algebras of a multidimensional three-web. Siberian Mathematical Journal 17 (1976), 3-8. DOI 10.1007/BF00969285.</w:t>
      </w:r>
    </w:p>
    <w:p>
      <w:pPr>
        <w:spacing w:before="0" w:after="40" w:line="240" w:lineRule="auto"/>
      </w:pPr>
      <w:r>
        <w:rPr>
          <w:rFonts w:ascii="Liberation Serif" w:hAnsi="Liberation Serif" w:eastAsia="Liberation Serif"/>
          <w:b w:val="0"/>
          <w:sz w:val="22"/>
        </w:rPr>
        <w:t>[V0.7-6] Sabinin, L. V. Smooth Quasigroups and Loops. Kluwer, 1999. DOI 10.1007/978-94-011-4491-9.</w:t>
      </w:r>
    </w:p>
    <w:p>
      <w:pPr>
        <w:spacing w:before="0" w:after="40" w:line="240" w:lineRule="auto"/>
      </w:pPr>
      <w:r>
        <w:rPr>
          <w:rFonts w:ascii="Liberation Serif" w:hAnsi="Liberation Serif" w:eastAsia="Liberation Serif"/>
          <w:b w:val="0"/>
          <w:sz w:val="22"/>
        </w:rPr>
        <w:t>[V0.7-7] Grigorian, S. G₂-structures and octonion bundles. Advances in Mathematics 308 (2017), 142-207; arXiv:1510.04226.</w:t>
      </w:r>
    </w:p>
    <w:p>
      <w:pPr>
        <w:spacing w:before="0" w:after="40" w:line="240" w:lineRule="auto"/>
      </w:pPr>
      <w:r>
        <w:rPr>
          <w:rFonts w:ascii="Liberation Serif" w:hAnsi="Liberation Serif" w:eastAsia="Liberation Serif"/>
          <w:b w:val="0"/>
          <w:sz w:val="22"/>
        </w:rPr>
        <w:t>[V0.7-8] Kurpishev, I. B. Том I v197 RU; Том II T2-RP-v0.1-v0.6; PILOT-01. Канонические внутренние источники проекта.</w:t>
      </w:r>
    </w:p>
    <w:p>
      <w:pPr>
        <w:pStyle w:val="Heading2"/>
        <w:pageBreakBefore w:val="0"/>
        <w:spacing w:before="140" w:after="100"/>
        <w:keepNext/>
      </w:pPr>
      <w:r>
        <w:t>69.3. Контрольная точка T2-RP-v0.7</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связность, транспорт, кривизна, Hol_D, C_∇, H_⊙, H_Ass и K_Ass; доказаны no-go Hol=Ass, формула ∇Ass, PGL₂-инвариантность λ и четыре разделяющие модели.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D-Ambrose-Singer, полнота конечного holonomy certificate, Akivis/Sabinin-мост и главная predictive theorem действуют только при перечисленных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Построение канонического β-моста для общего NAPG-объекта, Banach/Hilbert-версия, независимый доменный запуск и связь с внешним E-слоем.</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Ни Hol_D, ни R_∇ не объявляются ассоциатором; пересечение горизонта не объявляется событием;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T2-RP-v0.7,     next = T2-RP-v0.8.</w:t>
      </w:r>
    </w:p>
    <w:p>
      <w:pPr>
        <w:pStyle w:val="Lead"/>
        <w:spacing w:before="0" w:after="160" w:line="269" w:lineRule="auto"/>
      </w:pPr>
      <w:r>
        <w:rPr>
          <w:rFonts w:ascii="Liberation Serif" w:hAnsi="Liberation Serif" w:eastAsia="Liberation Serif"/>
          <w:b w:val="0"/>
          <w:sz w:val="26"/>
        </w:rPr>
        <w:t>Следующая сборка tom2_v0_8 развивает главу 10: комплексы дифференциальных форм NAPG, типизированные d/δ, правила знаков, Leibniz identities, локальность и контрпримеры к автоматическому δ²=0.</w:t>
      </w:r>
    </w:p>
    <w:p>
      <w:pPr>
        <w:pStyle w:val="Small"/>
        <w:spacing w:before="0" w:after="0" w:line="259" w:lineRule="auto"/>
        <w:jc w:val="center"/>
      </w:pPr>
      <w:r>
        <w:rPr>
          <w:rFonts w:ascii="Liberation Serif" w:hAnsi="Liberation Serif" w:eastAsia="Liberation Serif"/>
          <w:b w:val="0"/>
          <w:sz w:val="26"/>
        </w:rPr>
        <w:t>checkpoint=T2-RP-v0.7; source=T2-RP-v0.6; truth_layer_promotion=0; next=T2-RP-v0.8.</w:t>
      </w:r>
    </w:p>
    <w:p>
      <w:r>
        <w:br w:type="page"/>
      </w:r>
    </w:p>
    <w:p>
      <w:pPr>
        <w:pStyle w:val="Heading1"/>
        <w:pageBreakBefore w:val="0"/>
        <w:spacing w:before="200" w:after="100"/>
        <w:keepNext/>
      </w:pPr>
      <w:r>
        <w:t>70. Глава 10: дифференциальные формы NAPG и типизированные дифференциалы</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ОНТОЛОГИЯ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Дифференциал в NAPG не является безымянной стрелкой между соседними степенями. Он существует только вместе с носителем форм, областью определения, правилом знаков, локальностью и доказанным законом повторного применения.</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ГНОСЕОЛОГИЯ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Равенство d²=0 не следует из слова «дифференциал». Оно является отдельной аксиомой или теоремой. Ковариантные, внешние, кограничные и Hodge-операторы должны различаться до любой когомологической интерпретации.</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ФЕНОМЕНОЛОГИЯ</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Первое применение оператора фиксирует локальное изменение формы. Второе проверяет, замыкается ли изменение в комплекс или оставляет кривизну, смешанный дефект либо след несовместимости.</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В v0.8 запрещено писать H^p до проверки d^{p+1}d^p=0; запрещено смешивать d_N, δ_E и δ_Hdg; близость λ к -1 не исправляет ненулевой differential defect.</w:t>
            </w:r>
          </w:p>
        </w:tc>
      </w:tr>
    </w:tbl>
    <w:p>
      <w:pPr>
        <w:spacing w:after="20"/>
      </w:pPr>
    </w:p>
    <w:p>
      <w:pPr>
        <w:pStyle w:val="Lead"/>
        <w:spacing w:before="0" w:after="140" w:line="269" w:lineRule="auto"/>
      </w:pPr>
      <w:r>
        <w:rPr>
          <w:rFonts w:ascii="Liberation Serif" w:hAnsi="Liberation Serif" w:eastAsia="Liberation Serif"/>
          <w:b w:val="0"/>
          <w:sz w:val="26"/>
        </w:rPr>
        <w:t>Статус раздела: theorem/conditional package v0.8. Классические de Rham, graded-derivation, connection-curvature и Hodge-конструкции используются как prior art. Авторский вклад состоит в их типизированной сборке внутри NAPG, в differential defect ledger, mixed bridge package и предсказательном горизонте, связанном с D/Dom и Reper-аудитом.</w:t>
      </w:r>
    </w:p>
    <w:p>
      <w:pPr>
        <w:spacing w:before="100" w:after="40"/>
        <w:jc w:val="center"/>
      </w:pPr>
      <w:r>
        <w:drawing>
          <wp:inline xmlns:a="http://schemas.openxmlformats.org/drawingml/2006/main" xmlns:pic="http://schemas.openxmlformats.org/drawingml/2006/picture">
            <wp:extent cx="6172200" cy="3587591"/>
            <wp:docPr id="24" name="Picture 24"/>
            <wp:cNvGraphicFramePr>
              <a:graphicFrameLocks noChangeAspect="1"/>
            </wp:cNvGraphicFramePr>
            <a:graphic>
              <a:graphicData uri="http://schemas.openxmlformats.org/drawingml/2006/picture">
                <pic:pic>
                  <pic:nvPicPr>
                    <pic:cNvPr id="0" name="fig20_diff_layers.png"/>
                    <pic:cNvPicPr/>
                  </pic:nvPicPr>
                  <pic:blipFill>
                    <a:blip r:embed="rId50"/>
                    <a:stretch>
                      <a:fillRect/>
                    </a:stretch>
                  </pic:blipFill>
                  <pic:spPr>
                    <a:xfrm>
                      <a:off x="0" y="0"/>
                      <a:ext cx="6172200" cy="3587591"/>
                    </a:xfrm>
                    <a:prstGeom prst="rect"/>
                  </pic:spPr>
                </pic:pic>
              </a:graphicData>
            </a:graphic>
          </wp:inline>
        </w:drawing>
      </w:r>
    </w:p>
    <w:p>
      <w:pPr>
        <w:pStyle w:val="Caption"/>
        <w:spacing w:after="120"/>
        <w:jc w:val="center"/>
      </w:pPr>
      <w:r>
        <w:t>Рисунок 20. Три дифференциальных слоя NAPG и разложение полного дефекта. Собственная схема Тома II.</w:t>
      </w:r>
    </w:p>
    <w:p>
      <w:pPr>
        <w:pStyle w:val="Heading1"/>
        <w:pageBreakBefore w:val="0"/>
        <w:spacing w:before="200" w:after="100"/>
        <w:keepNext/>
      </w:pPr>
      <w:r>
        <w:t>71. Замороженная нотация и четыре типа операторов</w:t>
      </w:r>
    </w:p>
    <w:p>
      <w:pPr>
        <w:spacing w:after="80" w:line="259" w:lineRule="auto"/>
      </w:pPr>
      <w:r>
        <w:rPr>
          <w:rFonts w:ascii="Liberation Serif" w:hAnsi="Liberation Serif" w:eastAsia="Liberation Serif"/>
          <w:b/>
          <w:sz w:val="22"/>
        </w:rPr>
        <w:t>Определение 10.1. Внутренние пакетные формы.</w:t>
      </w:r>
      <w:r>
        <w:rPr>
          <w:rFonts w:ascii="Liberation Serif" w:hAnsi="Liberation Serif" w:eastAsia="Liberation Serif"/>
          <w:sz w:val="22"/>
        </w:rPr>
        <w:t>[DEF-A] Пусть X - допустимый гладкий или стратифицированный сектор. Через Ω_N^p(U) обозначается модуль NAPG-форм степени p над открытым U⊂X. Семейство U↦Ω_N^p(U) снабжается ограничениями и рассматривается как пучок или предпучок в зависимости от закрытых axioms descent.</w:t>
      </w:r>
    </w:p>
    <w:p>
      <w:pPr>
        <w:spacing w:before="60" w:after="100"/>
        <w:jc w:val="center"/>
      </w:pPr>
      <w:r>
        <w:rPr>
          <w:rFonts w:ascii="Cambria Math" w:hAnsi="Cambria Math" w:eastAsia="Cambria Math"/>
          <w:sz w:val="22"/>
        </w:rPr>
        <w:t>Ω_N^• = ⊕_{p≥0} Ω_N^p,     |α|=p для α∈Ω_N^p.                                      (10.1)</w:t>
      </w:r>
    </w:p>
    <w:p>
      <w:pPr>
        <w:spacing w:after="80" w:line="259" w:lineRule="auto"/>
      </w:pPr>
      <w:r>
        <w:rPr>
          <w:rFonts w:ascii="Liberation Serif" w:hAnsi="Liberation Serif" w:eastAsia="Liberation Serif"/>
          <w:b/>
          <w:sz w:val="22"/>
        </w:rPr>
        <w:t>Определение 10.2. Внутренний differential candidate.</w:t>
      </w:r>
      <w:r>
        <w:rPr>
          <w:rFonts w:ascii="Liberation Serif" w:hAnsi="Liberation Serif" w:eastAsia="Liberation Serif"/>
          <w:sz w:val="22"/>
        </w:rPr>
        <w:t>[DEF-A] Оператор d_N степени +1 задаётся как семейство частичных линейных отображений</w:t>
      </w:r>
    </w:p>
    <w:p>
      <w:pPr>
        <w:spacing w:before="60" w:after="100"/>
        <w:jc w:val="center"/>
      </w:pPr>
      <w:r>
        <w:rPr>
          <w:rFonts w:ascii="Cambria Math" w:hAnsi="Cambria Math" w:eastAsia="Cambria Math"/>
          <w:sz w:val="22"/>
        </w:rPr>
        <w:t>d_N^p : Dom(d_N^p) ⊂ Ω_N^p → Ω_N^{p+1}.                                    (10.2)</w:t>
      </w:r>
    </w:p>
    <w:p>
      <w:pPr>
        <w:spacing w:before="0" w:after="100" w:line="259" w:lineRule="auto"/>
      </w:pPr>
      <w:r>
        <w:rPr>
          <w:rFonts w:ascii="Liberation Serif" w:hAnsi="Liberation Serif" w:eastAsia="Liberation Serif"/>
          <w:b w:val="0"/>
          <w:sz w:val="22"/>
        </w:rPr>
        <w:t>Слово candidate сохраняется до проверки локальности, совместимости с ограничениями, graded Leibniz identity и nilpotency. Если выполнены только типы, объект называется graded operator. Если также выполнено d_N²=0, он становится differential.</w:t>
      </w:r>
    </w:p>
    <w:p>
      <w:pPr>
        <w:spacing w:after="80" w:line="259" w:lineRule="auto"/>
      </w:pPr>
      <w:r>
        <w:rPr>
          <w:rFonts w:ascii="Liberation Serif" w:hAnsi="Liberation Serif" w:eastAsia="Liberation Serif"/>
          <w:b/>
          <w:sz w:val="22"/>
        </w:rPr>
        <w:t>Определение 10.3. Внешний E-оператор.</w:t>
      </w:r>
      <w:r>
        <w:rPr>
          <w:rFonts w:ascii="Liberation Serif" w:hAnsi="Liberation Serif" w:eastAsia="Liberation Serif"/>
          <w:sz w:val="22"/>
        </w:rPr>
        <w:t>[DEF-A/COND] Внешний слой записывается отдельно: δ_E^q:E^q→E^{q+1}. Равенство δ_E²=0 не импортируется из внутреннего слоя и должно быть доказано в выбранном E-комплексе.</w:t>
      </w:r>
    </w:p>
    <w:p>
      <w:pPr>
        <w:spacing w:before="60" w:after="100"/>
        <w:jc w:val="center"/>
      </w:pPr>
      <w:r>
        <w:rPr>
          <w:rFonts w:ascii="Cambria Math" w:hAnsi="Cambria Math" w:eastAsia="Cambria Math"/>
          <w:sz w:val="22"/>
        </w:rPr>
        <w:t>δ_E : E^q → E^{q+1},     δ_E²=0 only after certificate.                         (10.3)</w:t>
      </w:r>
    </w:p>
    <w:p>
      <w:pPr>
        <w:spacing w:after="80" w:line="259" w:lineRule="auto"/>
      </w:pPr>
      <w:r>
        <w:rPr>
          <w:rFonts w:ascii="Liberation Serif" w:hAnsi="Liberation Serif" w:eastAsia="Liberation Serif"/>
          <w:b/>
          <w:sz w:val="22"/>
        </w:rPr>
        <w:t>Определение 10.4. Hodge-операторы.</w:t>
      </w:r>
      <w:r>
        <w:rPr>
          <w:rFonts w:ascii="Liberation Serif" w:hAnsi="Liberation Serif" w:eastAsia="Liberation Serif"/>
          <w:sz w:val="22"/>
        </w:rPr>
        <w:t>[CL/DEF-A] На ориентированном метрическом n-мерном секторе Hodge star обозначается ⋆_Hdg. Кодифференциал обозначается δ_Hdg, а Hodge-лапласиан - Δ_Hdg. Символ ⋆ в R⋆R не является Hodge star.</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5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Символ</w:t>
            </w:r>
          </w:p>
        </w:tc>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Степень</w:t>
            </w:r>
          </w:p>
        </w:tc>
        <w:tc>
          <w:tcPr>
            <w:tcW w:type="dxa" w:w="51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Назначение</w:t>
            </w:r>
          </w:p>
        </w:tc>
        <w:tc>
          <w:tcPr>
            <w:tcW w:type="dxa" w:w="216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Статус по умолчанию</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внутренний differential candidate NAPG</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DEF-A</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кограничный оператор внешнего E-слоя</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 до δ_E²=0</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формальный сопряжённый к d_N при Hodge-гипотезах</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Δ_Hdg</w:t>
            </w:r>
          </w:p>
        </w:tc>
        <w:tc>
          <w:tcPr>
            <w:tcW w:type="dxa" w:w="115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w:t>
            </w:r>
          </w:p>
        </w:tc>
        <w:tc>
          <w:tcPr>
            <w:tcW w:type="dxa" w:w="5112"/>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d_Nδ_Hdg+δ_Hdg d_N</w:t>
            </w:r>
          </w:p>
        </w:tc>
        <w:tc>
          <w:tcPr>
            <w:tcW w:type="dxa" w:w="216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COND</w:t>
            </w:r>
          </w:p>
        </w:tc>
      </w:tr>
      <w:tr>
        <w:tc>
          <w:tcPr>
            <w:tcW w:type="dxa" w:w="15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R⋆R</w:t>
            </w:r>
          </w:p>
        </w:tc>
        <w:tc>
          <w:tcPr>
            <w:tcW w:type="dxa" w:w="115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 степень формы</w:t>
            </w:r>
          </w:p>
        </w:tc>
        <w:tc>
          <w:tcPr>
            <w:tcW w:type="dxa" w:w="5112"/>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ассоциаторный объект</w:t>
            </w:r>
          </w:p>
        </w:tc>
        <w:tc>
          <w:tcPr>
            <w:tcW w:type="dxa" w:w="216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Definition Core</w:t>
            </w:r>
          </w:p>
        </w:tc>
      </w:tr>
    </w:tbl>
    <w:p>
      <w:pPr>
        <w:spacing w:after="20"/>
      </w:pPr>
    </w:p>
    <w:p>
      <w:pPr>
        <w:spacing w:after="80" w:line="259" w:lineRule="auto"/>
      </w:pPr>
      <w:r>
        <w:rPr>
          <w:rFonts w:ascii="Liberation Serif" w:hAnsi="Liberation Serif" w:eastAsia="Liberation Serif"/>
          <w:b/>
          <w:sz w:val="22"/>
        </w:rPr>
        <w:t>Принцип 10.5. Notation firewall.</w:t>
      </w:r>
      <w:r>
        <w:rPr>
          <w:rFonts w:ascii="Liberation Serif" w:hAnsi="Liberation Serif" w:eastAsia="Liberation Serif"/>
          <w:sz w:val="22"/>
        </w:rPr>
        <w:t>[THM/PROTOCOL] Любая формула, где δ, δ_Hdg и d_N взаимозаменяются без явной карты, получает blocker NOTATION-COLLISION и не допускается к proof-status.</w:t>
      </w:r>
    </w:p>
    <w:p>
      <w:pPr>
        <w:pStyle w:val="Heading1"/>
        <w:pageBreakBefore w:val="0"/>
        <w:spacing w:before="200" w:after="100"/>
        <w:keepNext/>
      </w:pPr>
      <w:r>
        <w:t>72. Graded Leibniz calculus и дефект дифференцирования</w:t>
      </w:r>
    </w:p>
    <w:p>
      <w:pPr>
        <w:pStyle w:val="Heading2"/>
        <w:pageBreakBefore w:val="0"/>
        <w:spacing w:before="140" w:after="100"/>
        <w:keepNext/>
      </w:pPr>
      <w:r>
        <w:t>72.1. Градуированное пакетное произведение</w:t>
      </w:r>
    </w:p>
    <w:p>
      <w:pPr>
        <w:spacing w:after="80" w:line="259" w:lineRule="auto"/>
      </w:pPr>
      <w:r>
        <w:rPr>
          <w:rFonts w:ascii="Liberation Serif" w:hAnsi="Liberation Serif" w:eastAsia="Liberation Serif"/>
          <w:b/>
          <w:sz w:val="22"/>
        </w:rPr>
        <w:t>Определение 10.6. Degree-compatible product.</w:t>
      </w:r>
      <w:r>
        <w:rPr>
          <w:rFonts w:ascii="Liberation Serif" w:hAnsi="Liberation Serif" w:eastAsia="Liberation Serif"/>
          <w:sz w:val="22"/>
        </w:rPr>
        <w:t>[DEF-A] Пусть ⊙:Ω_N^p×Ω_N^q→Ω_N^{p+q} является билинейной операцией на admissible domain. Ассоциативность не предполагается. Для однородных α,β определим Leibniz defect</w:t>
      </w:r>
    </w:p>
    <w:p>
      <w:pPr>
        <w:spacing w:before="60" w:after="100"/>
        <w:jc w:val="center"/>
      </w:pPr>
      <w:r>
        <w:rPr>
          <w:rFonts w:ascii="Cambria Math" w:hAnsi="Cambria Math" w:eastAsia="Cambria Math"/>
          <w:sz w:val="22"/>
        </w:rPr>
        <w:t>L_d(α,β)=d_N(α⊙β)-d_Nα⊙β-(-1)^{|α|}α⊙d_Nβ.                   (10.4)</w:t>
      </w:r>
    </w:p>
    <w:p>
      <w:pPr>
        <w:spacing w:after="80" w:line="259" w:lineRule="auto"/>
      </w:pPr>
      <w:r>
        <w:rPr>
          <w:rFonts w:ascii="Liberation Serif" w:hAnsi="Liberation Serif" w:eastAsia="Liberation Serif"/>
          <w:b/>
          <w:sz w:val="22"/>
        </w:rPr>
        <w:t>Определение 10.7. Graded derivation.</w:t>
      </w:r>
      <w:r>
        <w:rPr>
          <w:rFonts w:ascii="Liberation Serif" w:hAnsi="Liberation Serif" w:eastAsia="Liberation Serif"/>
          <w:sz w:val="22"/>
        </w:rPr>
        <w:t>[CL/DEF-A] Оператор d_N является градуированной деривацией степени +1, если L_d=0 на всей заявленной области.</w:t>
      </w:r>
    </w:p>
    <w:p>
      <w:pPr>
        <w:spacing w:after="80" w:line="259" w:lineRule="auto"/>
      </w:pPr>
      <w:r>
        <w:rPr>
          <w:rFonts w:ascii="Liberation Serif" w:hAnsi="Liberation Serif" w:eastAsia="Liberation Serif"/>
          <w:b/>
          <w:sz w:val="22"/>
        </w:rPr>
        <w:t>Лемма 10.8. Значение на единице.</w:t>
      </w:r>
      <w:r>
        <w:rPr>
          <w:rFonts w:ascii="Liberation Serif" w:hAnsi="Liberation Serif" w:eastAsia="Liberation Serif"/>
          <w:sz w:val="22"/>
        </w:rPr>
        <w:t>[THM] В унитальном секторе характеристики, отличной от 2, graded Leibniz identity влечёт d_N(1)=0. Действительно, d(1)=d(1⊙1)=d(1)+d(1).</w:t>
      </w:r>
    </w:p>
    <w:p>
      <w:pPr>
        <w:pStyle w:val="Heading2"/>
        <w:pageBreakBefore w:val="0"/>
        <w:spacing w:before="140" w:after="100"/>
        <w:keepNext/>
      </w:pPr>
      <w:r>
        <w:t>72.2. Коммутатор дериваций и квадрат</w:t>
      </w:r>
    </w:p>
    <w:p>
      <w:pPr>
        <w:spacing w:after="80" w:line="259" w:lineRule="auto"/>
      </w:pPr>
      <w:r>
        <w:rPr>
          <w:rFonts w:ascii="Liberation Serif" w:hAnsi="Liberation Serif" w:eastAsia="Liberation Serif"/>
          <w:b/>
          <w:sz w:val="22"/>
        </w:rPr>
        <w:t>Теорема 10.9. Замкнутость дериваций.</w:t>
      </w:r>
      <w:r>
        <w:rPr>
          <w:rFonts w:ascii="Liberation Serif" w:hAnsi="Liberation Serif" w:eastAsia="Liberation Serif"/>
          <w:sz w:val="22"/>
        </w:rPr>
        <w:t>[THM] Пусть D и E - однородные graded derivations степеней |D| и |E| на возможно неассоциативной градуированной алгебре. Тогда graded commutator</w:t>
      </w:r>
    </w:p>
    <w:p>
      <w:pPr>
        <w:spacing w:before="60" w:after="100"/>
        <w:jc w:val="center"/>
      </w:pPr>
      <w:r>
        <w:rPr>
          <w:rFonts w:ascii="Cambria Math" w:hAnsi="Cambria Math" w:eastAsia="Cambria Math"/>
          <w:sz w:val="22"/>
        </w:rPr>
        <w:t>[D,E]=D∘E-(-1)^{|D||E|}E∘D                                          (10.5)</w:t>
      </w:r>
    </w:p>
    <w:p>
      <w:pPr>
        <w:spacing w:before="0" w:after="100" w:line="259" w:lineRule="auto"/>
      </w:pPr>
      <w:r>
        <w:rPr>
          <w:rFonts w:ascii="Liberation Serif" w:hAnsi="Liberation Serif" w:eastAsia="Liberation Serif"/>
          <w:b w:val="0"/>
          <w:sz w:val="22"/>
        </w:rPr>
        <w:t>снова является graded derivation степени |D|+|E|. Доказательство использует только Leibniz identities и не требует ассоциативности ⊙.</w:t>
      </w:r>
    </w:p>
    <w:p>
      <w:pPr>
        <w:spacing w:after="80" w:line="259" w:lineRule="auto"/>
      </w:pPr>
      <w:r>
        <w:rPr>
          <w:rFonts w:ascii="Liberation Serif" w:hAnsi="Liberation Serif" w:eastAsia="Liberation Serif"/>
          <w:b/>
          <w:sz w:val="22"/>
        </w:rPr>
        <w:t>Следствие 10.10. Квадрат нечётной деривации.</w:t>
      </w:r>
      <w:r>
        <w:rPr>
          <w:rFonts w:ascii="Liberation Serif" w:hAnsi="Liberation Serif" w:eastAsia="Liberation Serif"/>
          <w:sz w:val="22"/>
        </w:rPr>
        <w:t>[THM] При char(K)≠2 для |d_N|=1 имеем [d_N,d_N]=2d_N². Поэтому d_N² является деривацией степени +2, но не обязано быть нулём.</w:t>
      </w:r>
    </w:p>
    <w:p>
      <w:pPr>
        <w:spacing w:before="60" w:after="100"/>
        <w:jc w:val="center"/>
      </w:pPr>
      <w:r>
        <w:rPr>
          <w:rFonts w:ascii="Cambria Math" w:hAnsi="Cambria Math" w:eastAsia="Cambria Math"/>
          <w:sz w:val="22"/>
        </w:rPr>
        <w:t>d_N²(α⊙β)=d_N²α⊙β+α⊙d_N²β.                                  (10.6)</w:t>
      </w:r>
    </w:p>
    <w:p>
      <w:pPr>
        <w:pStyle w:val="Heading2"/>
        <w:pageBreakBefore w:val="0"/>
        <w:spacing w:before="140" w:after="100"/>
        <w:keepNext/>
      </w:pPr>
      <w:r>
        <w:t>72.3. Дифференцирование ассоциатора</w:t>
      </w:r>
    </w:p>
    <w:p>
      <w:pPr>
        <w:spacing w:after="80" w:line="259" w:lineRule="auto"/>
      </w:pPr>
      <w:r>
        <w:rPr>
          <w:rFonts w:ascii="Liberation Serif" w:hAnsi="Liberation Serif" w:eastAsia="Liberation Serif"/>
          <w:b/>
          <w:sz w:val="22"/>
        </w:rPr>
        <w:t>Теорема 10.11. Associator Leibniz identity.</w:t>
      </w:r>
      <w:r>
        <w:rPr>
          <w:rFonts w:ascii="Liberation Serif" w:hAnsi="Liberation Serif" w:eastAsia="Liberation Serif"/>
          <w:sz w:val="22"/>
        </w:rPr>
        <w:t>[THM] Если d_N является graded derivation степени +1, то для однородных α,β,γ</w:t>
      </w:r>
    </w:p>
    <w:p>
      <w:pPr>
        <w:spacing w:before="60" w:after="100"/>
        <w:jc w:val="center"/>
      </w:pPr>
      <w:r>
        <w:rPr>
          <w:rFonts w:ascii="Cambria Math" w:hAnsi="Cambria Math" w:eastAsia="Cambria Math"/>
          <w:sz w:val="22"/>
        </w:rPr>
        <w:t>d_N Ass(α,β,γ)=Ass(d_Nα,β,γ)+(-1)^{|α|}Ass(α,d_Nβ,γ)+(-1)^{|α|+|β|}Ass(α,β,d_Nγ).     (10.7)</w:t>
      </w:r>
    </w:p>
    <w:p>
      <w:pPr>
        <w:spacing w:before="0" w:after="100" w:line="259" w:lineRule="auto"/>
      </w:pPr>
      <w:r>
        <w:rPr>
          <w:rFonts w:ascii="Liberation Serif" w:hAnsi="Liberation Serif" w:eastAsia="Liberation Serif"/>
          <w:b w:val="0"/>
          <w:sz w:val="22"/>
        </w:rPr>
        <w:t>Доказательство получается раскрытием d_N((α⊙β)⊙γ-α⊙(β⊙γ)) и группировкой четырёх пар скобок. Формула является внутренним differential bridge к главам 5 и 9.</w:t>
      </w:r>
    </w:p>
    <w:p>
      <w:pPr>
        <w:spacing w:after="80" w:line="259" w:lineRule="auto"/>
      </w:pPr>
      <w:r>
        <w:rPr>
          <w:rFonts w:ascii="Liberation Serif" w:hAnsi="Liberation Serif" w:eastAsia="Liberation Serif"/>
          <w:b/>
          <w:sz w:val="22"/>
        </w:rPr>
        <w:t>Следствие 10.12.</w:t>
      </w:r>
      <w:r>
        <w:rPr>
          <w:rFonts w:ascii="Liberation Serif" w:hAnsi="Liberation Serif" w:eastAsia="Liberation Serif"/>
          <w:sz w:val="22"/>
        </w:rPr>
        <w:t>[THM] Если d_N является derivation и Ass=0, ассоциативный сектор устойчив относительно d_N. Если Ass≠0, d_N переносит ассоциатор как тернарный graded tensor, но не уничтожает его.</w:t>
      </w:r>
    </w:p>
    <w:p>
      <w:pPr>
        <w:pStyle w:val="Heading1"/>
        <w:pageBreakBefore w:val="0"/>
        <w:spacing w:before="200" w:after="100"/>
        <w:keepNext/>
      </w:pPr>
      <w:r>
        <w:t>73. Почему d²=0 не является автоматическим</w:t>
      </w:r>
    </w:p>
    <w:p>
      <w:pPr>
        <w:spacing w:before="100" w:after="40"/>
        <w:jc w:val="center"/>
      </w:pPr>
      <w:r>
        <w:drawing>
          <wp:inline xmlns:a="http://schemas.openxmlformats.org/drawingml/2006/main" xmlns:pic="http://schemas.openxmlformats.org/drawingml/2006/picture">
            <wp:extent cx="6172200" cy="3780473"/>
            <wp:docPr id="25" name="Picture 25"/>
            <wp:cNvGraphicFramePr>
              <a:graphicFrameLocks noChangeAspect="1"/>
            </wp:cNvGraphicFramePr>
            <a:graphic>
              <a:graphicData uri="http://schemas.openxmlformats.org/drawingml/2006/picture">
                <pic:pic>
                  <pic:nvPicPr>
                    <pic:cNvPr id="0" name="fig21_d2_models.png"/>
                    <pic:cNvPicPr/>
                  </pic:nvPicPr>
                  <pic:blipFill>
                    <a:blip r:embed="rId51"/>
                    <a:stretch>
                      <a:fillRect/>
                    </a:stretch>
                  </pic:blipFill>
                  <pic:spPr>
                    <a:xfrm>
                      <a:off x="0" y="0"/>
                      <a:ext cx="6172200" cy="3780473"/>
                    </a:xfrm>
                    <a:prstGeom prst="rect"/>
                  </pic:spPr>
                </pic:pic>
              </a:graphicData>
            </a:graphic>
          </wp:inline>
        </w:drawing>
      </w:r>
    </w:p>
    <w:p>
      <w:pPr>
        <w:pStyle w:val="Caption"/>
        <w:spacing w:after="120"/>
        <w:jc w:val="center"/>
      </w:pPr>
      <w:r>
        <w:t>Рисунок 21. Четыре режима, показывающие независимость Leibniz identity и nilpotency. Собственная схема Тома II.</w:t>
      </w:r>
    </w:p>
    <w:p>
      <w:pPr>
        <w:pStyle w:val="Heading2"/>
        <w:pageBreakBefore w:val="0"/>
        <w:spacing w:before="140" w:after="100"/>
        <w:keepNext/>
      </w:pPr>
      <w:r>
        <w:t>73.1. Differential curvature</w:t>
      </w:r>
    </w:p>
    <w:p>
      <w:pPr>
        <w:spacing w:after="80" w:line="259" w:lineRule="auto"/>
      </w:pPr>
      <w:r>
        <w:rPr>
          <w:rFonts w:ascii="Liberation Serif" w:hAnsi="Liberation Serif" w:eastAsia="Liberation Serif"/>
          <w:b/>
          <w:sz w:val="22"/>
        </w:rPr>
        <w:t>Определение 10.13. Кривизна differential candidate.</w:t>
      </w:r>
      <w:r>
        <w:rPr>
          <w:rFonts w:ascii="Liberation Serif" w:hAnsi="Liberation Serif" w:eastAsia="Liberation Serif"/>
          <w:sz w:val="22"/>
        </w:rPr>
        <w:t>[DEF-A] Для graded derivation d_N степени +1 определим</w:t>
      </w:r>
    </w:p>
    <w:p>
      <w:pPr>
        <w:spacing w:before="60" w:after="100"/>
        <w:jc w:val="center"/>
      </w:pPr>
      <w:r>
        <w:rPr>
          <w:rFonts w:ascii="Cambria Math" w:hAnsi="Cambria Math" w:eastAsia="Cambria Math"/>
          <w:sz w:val="22"/>
        </w:rPr>
        <w:t>Ω_d := d_N² : Ω_N^p → Ω_N^{p+2}.                                  (10.8)</w:t>
      </w:r>
    </w:p>
    <w:p>
      <w:pPr>
        <w:spacing w:before="0" w:after="100" w:line="259" w:lineRule="auto"/>
      </w:pPr>
      <w:r>
        <w:rPr>
          <w:rFonts w:ascii="Liberation Serif" w:hAnsi="Liberation Serif" w:eastAsia="Liberation Serif"/>
          <w:b w:val="0"/>
          <w:sz w:val="22"/>
        </w:rPr>
        <w:t>Ω_d называется differential curvature только как внутренний термин v0.8. Он не отождествляется с R_∇ из главы 9, хотя в covariant model совпадает с действием кривизны связности.</w:t>
      </w:r>
    </w:p>
    <w:p>
      <w:pPr>
        <w:spacing w:after="80" w:line="259" w:lineRule="auto"/>
      </w:pPr>
      <w:r>
        <w:rPr>
          <w:rFonts w:ascii="Liberation Serif" w:hAnsi="Liberation Serif" w:eastAsia="Liberation Serif"/>
          <w:b/>
          <w:sz w:val="22"/>
        </w:rPr>
        <w:t>Лемма 10.14. Bianchi identity в операторной форме.</w:t>
      </w:r>
      <w:r>
        <w:rPr>
          <w:rFonts w:ascii="Liberation Serif" w:hAnsi="Liberation Serif" w:eastAsia="Liberation Serif"/>
          <w:sz w:val="22"/>
        </w:rPr>
        <w:t>[THM] Для Ω_d=d_N² выполнено [d_N,Ω_d]=0, поскольку d_N³-d_N³=0.</w:t>
      </w:r>
    </w:p>
    <w:p>
      <w:pPr>
        <w:spacing w:before="60" w:after="100"/>
        <w:jc w:val="center"/>
      </w:pPr>
      <w:r>
        <w:rPr>
          <w:rFonts w:ascii="Cambria Math" w:hAnsi="Cambria Math" w:eastAsia="Cambria Math"/>
          <w:sz w:val="22"/>
        </w:rPr>
        <w:t>[d_N,Ω_d]=0.                                                               (10.9)</w:t>
      </w:r>
    </w:p>
    <w:p>
      <w:pPr>
        <w:spacing w:after="80" w:line="259" w:lineRule="auto"/>
      </w:pPr>
      <w:r>
        <w:rPr>
          <w:rFonts w:ascii="Liberation Serif" w:hAnsi="Liberation Serif" w:eastAsia="Liberation Serif"/>
          <w:b/>
          <w:sz w:val="22"/>
        </w:rPr>
        <w:t>Определение 10.15. Precomplex и complex.</w:t>
      </w:r>
      <w:r>
        <w:rPr>
          <w:rFonts w:ascii="Liberation Serif" w:hAnsi="Liberation Serif" w:eastAsia="Liberation Serif"/>
          <w:sz w:val="22"/>
        </w:rPr>
        <w:t>[DEF-A] Последовательность Ω_N^p --d_N^p→ Ω_N^{p+1} называется precomplex после проверки типов. Она является complex только при d_N^{p+1}d_N^p=0 для всех p. Когомология H_N^p разрешена только во втором случае.</w:t>
      </w:r>
    </w:p>
    <w:p>
      <w:pPr>
        <w:pStyle w:val="Heading2"/>
        <w:pageBreakBefore w:val="0"/>
        <w:spacing w:before="140" w:after="100"/>
        <w:keepNext/>
      </w:pPr>
      <w:r>
        <w:t>73.2. Свободный контрпример</w:t>
      </w:r>
    </w:p>
    <w:p>
      <w:pPr>
        <w:spacing w:after="80" w:line="259" w:lineRule="auto"/>
      </w:pPr>
      <w:r>
        <w:rPr>
          <w:rFonts w:ascii="Liberation Serif" w:hAnsi="Liberation Serif" w:eastAsia="Liberation Serif"/>
          <w:b/>
          <w:sz w:val="22"/>
        </w:rPr>
        <w:t>Пример 10.16. Graded Leibniz without nilpotency.</w:t>
      </w:r>
      <w:r>
        <w:rPr>
          <w:rFonts w:ascii="Liberation Serif" w:hAnsi="Liberation Serif" w:eastAsia="Liberation Serif"/>
          <w:sz w:val="22"/>
        </w:rPr>
        <w:t>[THM/EX] Пусть F - свободная градуированная неассоциативная алгебра на генераторах a,b,c степеней 0,1,2. Определим d(a)=b, d(b)=c, d(c)=0 и продолжим d по graded Leibniz rule. Тогда L_d=0, но</w:t>
      </w:r>
    </w:p>
    <w:p>
      <w:pPr>
        <w:spacing w:before="60" w:after="100"/>
        <w:jc w:val="center"/>
      </w:pPr>
      <w:r>
        <w:rPr>
          <w:rFonts w:ascii="Cambria Math" w:hAnsi="Cambria Math" w:eastAsia="Cambria Math"/>
          <w:sz w:val="22"/>
        </w:rPr>
        <w:t>d²(a)=c≠0.                                                               (10.10)</w:t>
      </w:r>
    </w:p>
    <w:p>
      <w:pPr>
        <w:spacing w:before="0" w:after="100" w:line="259" w:lineRule="auto"/>
      </w:pPr>
      <w:r>
        <w:rPr>
          <w:rFonts w:ascii="Liberation Serif" w:hAnsi="Liberation Serif" w:eastAsia="Liberation Serif"/>
          <w:b w:val="0"/>
          <w:sz w:val="22"/>
        </w:rPr>
        <w:t>Следовательно, ни градуировка, ни локальность, ни правило Лейбница не дают d²=0.</w:t>
      </w:r>
    </w:p>
    <w:p>
      <w:pPr>
        <w:pStyle w:val="Heading2"/>
        <w:pageBreakBefore w:val="0"/>
        <w:spacing w:before="140" w:after="100"/>
        <w:keepNext/>
      </w:pPr>
      <w:r>
        <w:t>73.3. Ковариантный и суперсвязностный контрпримеры</w:t>
      </w:r>
    </w:p>
    <w:p>
      <w:pPr>
        <w:spacing w:after="80" w:line="259" w:lineRule="auto"/>
      </w:pPr>
      <w:r>
        <w:rPr>
          <w:rFonts w:ascii="Liberation Serif" w:hAnsi="Liberation Serif" w:eastAsia="Liberation Serif"/>
          <w:b/>
          <w:sz w:val="22"/>
        </w:rPr>
        <w:t>Пример 10.17. Covariant exterior derivative.</w:t>
      </w:r>
      <w:r>
        <w:rPr>
          <w:rFonts w:ascii="Liberation Serif" w:hAnsi="Liberation Serif" w:eastAsia="Liberation Serif"/>
          <w:sz w:val="22"/>
        </w:rPr>
        <w:t>[CL/THM] Для связности ∇ на векторном расслоении ковариантный внешний дифференциал d_∇ удовлетворяет</w:t>
      </w:r>
    </w:p>
    <w:p>
      <w:pPr>
        <w:spacing w:before="60" w:after="100"/>
        <w:jc w:val="center"/>
      </w:pPr>
      <w:r>
        <w:rPr>
          <w:rFonts w:ascii="Cambria Math" w:hAnsi="Cambria Math" w:eastAsia="Cambria Math"/>
          <w:sz w:val="22"/>
        </w:rPr>
        <w:t>d_∇² α = R_∇ ∧ α.                                                        (10.11)</w:t>
      </w:r>
    </w:p>
    <w:p>
      <w:pPr>
        <w:spacing w:before="0" w:after="100" w:line="259" w:lineRule="auto"/>
      </w:pPr>
      <w:r>
        <w:rPr>
          <w:rFonts w:ascii="Liberation Serif" w:hAnsi="Liberation Serif" w:eastAsia="Liberation Serif"/>
          <w:b w:val="0"/>
          <w:sz w:val="22"/>
        </w:rPr>
        <w:t>Поэтому d_∇ образует комплекс только на плоском секторе или на подпространстве, где действие R_∇ исчезает.</w:t>
      </w:r>
    </w:p>
    <w:p>
      <w:pPr>
        <w:spacing w:after="80" w:line="259" w:lineRule="auto"/>
      </w:pPr>
      <w:r>
        <w:rPr>
          <w:rFonts w:ascii="Liberation Serif" w:hAnsi="Liberation Serif" w:eastAsia="Liberation Serif"/>
          <w:b/>
          <w:sz w:val="22"/>
        </w:rPr>
        <w:t>Пример 10.18. Superconnection curvature.</w:t>
      </w:r>
      <w:r>
        <w:rPr>
          <w:rFonts w:ascii="Liberation Serif" w:hAnsi="Liberation Serif" w:eastAsia="Liberation Serif"/>
          <w:sz w:val="22"/>
        </w:rPr>
        <w:t>[CL/THM] Для нечётного оператора A=d+ω на формах со значениями в End(E) квадрат равен</w:t>
      </w:r>
    </w:p>
    <w:p>
      <w:pPr>
        <w:spacing w:before="60" w:after="100"/>
        <w:jc w:val="center"/>
      </w:pPr>
      <w:r>
        <w:rPr>
          <w:rFonts w:ascii="Cambria Math" w:hAnsi="Cambria Math" w:eastAsia="Cambria Math"/>
          <w:sz w:val="22"/>
        </w:rPr>
        <w:t>A² = dω + ω∧ω.                                                           (10.12)</w:t>
      </w:r>
    </w:p>
    <w:p>
      <w:pPr>
        <w:spacing w:before="0" w:after="100" w:line="259" w:lineRule="auto"/>
      </w:pPr>
      <w:r>
        <w:rPr>
          <w:rFonts w:ascii="Liberation Serif" w:hAnsi="Liberation Serif" w:eastAsia="Liberation Serif"/>
          <w:b w:val="0"/>
          <w:sz w:val="22"/>
        </w:rPr>
        <w:t>Условие A²=0 является уравнением Maurer-Cartan/flatness, а не следствием определения A.</w:t>
      </w:r>
    </w:p>
    <w:p>
      <w:pPr>
        <w:spacing w:after="80" w:line="259" w:lineRule="auto"/>
      </w:pPr>
      <w:r>
        <w:rPr>
          <w:rFonts w:ascii="Liberation Serif" w:hAnsi="Liberation Serif" w:eastAsia="Liberation Serif"/>
          <w:b/>
          <w:sz w:val="22"/>
        </w:rPr>
        <w:t>Предупреждение 10.19. d^N-calculus.</w:t>
      </w:r>
      <w:r>
        <w:rPr>
          <w:rFonts w:ascii="Liberation Serif" w:hAnsi="Liberation Serif" w:eastAsia="Liberation Serif"/>
          <w:sz w:val="22"/>
        </w:rPr>
        <w:t>[CL/BOUNDARY] Теории с d^N=0, N&gt;2, существуют как отдельные q-differential/N-complex конструкции. Они не дают обычную когомологию ker d / im d без дополнительного определения generalized homology.</w:t>
      </w:r>
    </w:p>
    <w:p>
      <w:pPr>
        <w:pStyle w:val="Heading1"/>
        <w:pageBreakBefore w:val="0"/>
        <w:spacing w:before="200" w:after="100"/>
        <w:keepNext/>
      </w:pPr>
      <w:r>
        <w:t>74. Локальность, ограничения и склейка дифференциалов</w:t>
      </w:r>
    </w:p>
    <w:p>
      <w:pPr>
        <w:pStyle w:val="Heading2"/>
        <w:pageBreakBefore w:val="0"/>
        <w:spacing w:before="140" w:after="100"/>
        <w:keepNext/>
      </w:pPr>
      <w:r>
        <w:t>74.1. Sheaf-locality</w:t>
      </w:r>
    </w:p>
    <w:p>
      <w:pPr>
        <w:spacing w:after="80" w:line="259" w:lineRule="auto"/>
      </w:pPr>
      <w:r>
        <w:rPr>
          <w:rFonts w:ascii="Liberation Serif" w:hAnsi="Liberation Serif" w:eastAsia="Liberation Serif"/>
          <w:b/>
          <w:sz w:val="22"/>
        </w:rPr>
        <w:t>Определение 10.20. Локальный оператор.</w:t>
      </w:r>
      <w:r>
        <w:rPr>
          <w:rFonts w:ascii="Liberation Serif" w:hAnsi="Liberation Serif" w:eastAsia="Liberation Serif"/>
          <w:sz w:val="22"/>
        </w:rPr>
        <w:t>[DEF-A] Семейство d_U:Ω_N^p(U)→Ω_N^{p+1}(U) называется локальным, если для V⊂U</w:t>
      </w:r>
    </w:p>
    <w:p>
      <w:pPr>
        <w:spacing w:before="60" w:after="100"/>
        <w:jc w:val="center"/>
      </w:pPr>
      <w:r>
        <w:rPr>
          <w:rFonts w:ascii="Cambria Math" w:hAnsi="Cambria Math" w:eastAsia="Cambria Math"/>
          <w:sz w:val="22"/>
        </w:rPr>
        <w:t>(d_U α)|_V = d_V(α|_V).                                                 (10.13)</w:t>
      </w:r>
    </w:p>
    <w:p>
      <w:pPr>
        <w:spacing w:after="80" w:line="259" w:lineRule="auto"/>
      </w:pPr>
      <w:r>
        <w:rPr>
          <w:rFonts w:ascii="Liberation Serif" w:hAnsi="Liberation Serif" w:eastAsia="Liberation Serif"/>
          <w:b/>
          <w:sz w:val="22"/>
        </w:rPr>
        <w:t>Лемма 10.21. Support nonincrease.</w:t>
      </w:r>
      <w:r>
        <w:rPr>
          <w:rFonts w:ascii="Liberation Serif" w:hAnsi="Liberation Serif" w:eastAsia="Liberation Serif"/>
          <w:sz w:val="22"/>
        </w:rPr>
        <w:t>[THM] Для sheaf-local operator supp(dα)⊂supp(α). Это утверждение не означает автоматически, что d является differential operator конечного порядка; такая классификация требует дополнительных гипотез типа теоремы Питра.</w:t>
      </w:r>
    </w:p>
    <w:p>
      <w:pPr>
        <w:pStyle w:val="Heading2"/>
        <w:pageBreakBefore w:val="0"/>
        <w:spacing w:before="140" w:after="100"/>
        <w:keepNext/>
      </w:pPr>
      <w:r>
        <w:t>74.2. Склейка</w:t>
      </w:r>
    </w:p>
    <w:p>
      <w:pPr>
        <w:spacing w:after="80" w:line="259" w:lineRule="auto"/>
      </w:pPr>
      <w:r>
        <w:rPr>
          <w:rFonts w:ascii="Liberation Serif" w:hAnsi="Liberation Serif" w:eastAsia="Liberation Serif"/>
          <w:b/>
          <w:sz w:val="22"/>
        </w:rPr>
        <w:t>Теорема 10.22. Gluing of local differentials.</w:t>
      </w:r>
      <w:r>
        <w:rPr>
          <w:rFonts w:ascii="Liberation Serif" w:hAnsi="Liberation Serif" w:eastAsia="Liberation Serif"/>
          <w:sz w:val="22"/>
        </w:rPr>
        <w:t>[THM] Пусть {U_i} покрывает X, d_i - локальные degree +1 operators и g_ij - переходы NAPG-расслоения. Если на U_i∩U_j</w:t>
      </w:r>
    </w:p>
    <w:p>
      <w:pPr>
        <w:spacing w:before="60" w:after="100"/>
        <w:jc w:val="center"/>
      </w:pPr>
      <w:r>
        <w:rPr>
          <w:rFonts w:ascii="Cambria Math" w:hAnsi="Cambria Math" w:eastAsia="Cambria Math"/>
          <w:sz w:val="22"/>
        </w:rPr>
        <w:t>g_ij ∘ d_j = d_i ∘ g_ij,                                                (10.14)</w:t>
      </w:r>
    </w:p>
    <w:p>
      <w:pPr>
        <w:spacing w:before="0" w:after="100" w:line="259" w:lineRule="auto"/>
      </w:pPr>
      <w:r>
        <w:rPr>
          <w:rFonts w:ascii="Liberation Serif" w:hAnsi="Liberation Serif" w:eastAsia="Liberation Serif"/>
          <w:b w:val="0"/>
          <w:sz w:val="22"/>
        </w:rPr>
        <w:t>то существует единственный глобальный оператор d_N, ограничения которого равны d_i. Если каждый d_i является derivation и d_i²=0, эти свойства переходят к глобальному d_N.</w:t>
      </w:r>
    </w:p>
    <w:p>
      <w:pPr>
        <w:spacing w:after="80" w:line="259" w:lineRule="auto"/>
      </w:pPr>
      <w:r>
        <w:rPr>
          <w:rFonts w:ascii="Liberation Serif" w:hAnsi="Liberation Serif" w:eastAsia="Liberation Serif"/>
          <w:b/>
          <w:sz w:val="22"/>
        </w:rPr>
        <w:t>Определение 10.23. Gluing defect.</w:t>
      </w:r>
      <w:r>
        <w:rPr>
          <w:rFonts w:ascii="Liberation Serif" w:hAnsi="Liberation Serif" w:eastAsia="Liberation Serif"/>
          <w:sz w:val="22"/>
        </w:rPr>
        <w:t>[DEF-A] На пересечениях положим</w:t>
      </w:r>
    </w:p>
    <w:p>
      <w:pPr>
        <w:spacing w:before="60" w:after="100"/>
        <w:jc w:val="center"/>
      </w:pPr>
      <w:r>
        <w:rPr>
          <w:rFonts w:ascii="Cambria Math" w:hAnsi="Cambria Math" w:eastAsia="Cambria Math"/>
          <w:sz w:val="22"/>
        </w:rPr>
        <w:t>K_ij := g_ij d_j - d_i g_ij.                                            (10.15)</w:t>
      </w:r>
    </w:p>
    <w:p>
      <w:pPr>
        <w:spacing w:before="0" w:after="100" w:line="259" w:lineRule="auto"/>
      </w:pPr>
      <w:r>
        <w:rPr>
          <w:rFonts w:ascii="Liberation Serif" w:hAnsi="Liberation Serif" w:eastAsia="Liberation Serif"/>
          <w:b w:val="0"/>
          <w:sz w:val="22"/>
        </w:rPr>
        <w:t>Ненулевой K_ij блокирует глобальный differential. При дополнительной линейной структуре и cocycle compatibility семейство {K_ij} может задавать Čech obstruction class; этот переход имеет статус COND до построения точного coefficient sheaf.</w:t>
      </w:r>
    </w:p>
    <w:p>
      <w:pPr>
        <w:spacing w:after="80" w:line="259" w:lineRule="auto"/>
      </w:pPr>
      <w:r>
        <w:rPr>
          <w:rFonts w:ascii="Liberation Serif" w:hAnsi="Liberation Serif" w:eastAsia="Liberation Serif"/>
          <w:b/>
          <w:sz w:val="22"/>
        </w:rPr>
        <w:t>Контрпример 10.24.</w:t>
      </w:r>
      <w:r>
        <w:rPr>
          <w:rFonts w:ascii="Liberation Serif" w:hAnsi="Liberation Serif" w:eastAsia="Liberation Serif"/>
          <w:sz w:val="22"/>
        </w:rPr>
        <w:t>[THM/EX] Два локальных оператора d_1=d и d_2=d+A на перекрытии не склеиваются при g_12=Id, если A≠0. Локальная nilpotency каждого оператора также не исправляет ненулевой K_12.</w:t>
      </w:r>
    </w:p>
    <w:p>
      <w:pPr>
        <w:pStyle w:val="Heading1"/>
        <w:pageBreakBefore w:val="0"/>
        <w:spacing w:before="200" w:after="100"/>
        <w:keepNext/>
      </w:pPr>
      <w:r>
        <w:t>75. Внутренний и внешний слои: total operator и mixed defect</w:t>
      </w:r>
    </w:p>
    <w:p>
      <w:pPr>
        <w:pStyle w:val="Heading2"/>
        <w:pageBreakBefore w:val="0"/>
        <w:spacing w:before="140" w:after="100"/>
        <w:keepNext/>
      </w:pPr>
      <w:r>
        <w:t>75.1. Биградуированная конструкция</w:t>
      </w:r>
    </w:p>
    <w:p>
      <w:pPr>
        <w:spacing w:after="80" w:line="259" w:lineRule="auto"/>
      </w:pPr>
      <w:r>
        <w:rPr>
          <w:rFonts w:ascii="Liberation Serif" w:hAnsi="Liberation Serif" w:eastAsia="Liberation Serif"/>
          <w:b/>
          <w:sz w:val="22"/>
        </w:rPr>
        <w:t>Определение 10.25. Bigraded bridge object.</w:t>
      </w:r>
      <w:r>
        <w:rPr>
          <w:rFonts w:ascii="Liberation Serif" w:hAnsi="Liberation Serif" w:eastAsia="Liberation Serif"/>
          <w:sz w:val="22"/>
        </w:rPr>
        <w:t>[DEF-A/COND] Пусть B^{p,q}=Ω_N^p⊗E^q. Внутренний оператор d_N имеет bidegree (1,0), внешний δ_E - (0,1). Для элемента bidegree (p,q) определим total operator</w:t>
      </w:r>
    </w:p>
    <w:p>
      <w:pPr>
        <w:spacing w:before="60" w:after="100"/>
        <w:jc w:val="center"/>
      </w:pPr>
      <w:r>
        <w:rPr>
          <w:rFonts w:ascii="Cambria Math" w:hAnsi="Cambria Math" w:eastAsia="Cambria Math"/>
          <w:sz w:val="22"/>
        </w:rPr>
        <w:t>D_tot = d_N + (-1)^p δ_E.                                               (10.16)</w:t>
      </w:r>
    </w:p>
    <w:p>
      <w:pPr>
        <w:spacing w:after="80" w:line="259" w:lineRule="auto"/>
      </w:pPr>
      <w:r>
        <w:rPr>
          <w:rFonts w:ascii="Liberation Serif" w:hAnsi="Liberation Serif" w:eastAsia="Liberation Serif"/>
          <w:b/>
          <w:sz w:val="22"/>
        </w:rPr>
        <w:t>Теорема 10.26. Разложение квадрата.</w:t>
      </w:r>
      <w:r>
        <w:rPr>
          <w:rFonts w:ascii="Liberation Serif" w:hAnsi="Liberation Serif" w:eastAsia="Liberation Serif"/>
          <w:sz w:val="22"/>
        </w:rPr>
        <w:t>[THM] При фиксированной convention</w:t>
      </w:r>
    </w:p>
    <w:p>
      <w:pPr>
        <w:spacing w:before="60" w:after="100"/>
        <w:jc w:val="center"/>
      </w:pPr>
      <w:r>
        <w:rPr>
          <w:rFonts w:ascii="Cambria Math" w:hAnsi="Cambria Math" w:eastAsia="Cambria Math"/>
          <w:sz w:val="22"/>
        </w:rPr>
        <w:t>D_tot² = Ω_int + Ω_E + (-1)^p M_mix,                                    (10.17)</w:t>
      </w:r>
    </w:p>
    <w:p>
      <w:pPr>
        <w:spacing w:before="0" w:after="100" w:line="259" w:lineRule="auto"/>
      </w:pPr>
      <w:r>
        <w:rPr>
          <w:rFonts w:ascii="Liberation Serif" w:hAnsi="Liberation Serif" w:eastAsia="Liberation Serif"/>
          <w:b w:val="0"/>
          <w:sz w:val="22"/>
        </w:rPr>
        <w:t>где Ω_int=d_N², Ω_E=δ_E² и M_mix=d_Nδ_E-δ_Ed_N. Следовательно, D_tot²=0 требует одновременного исчезновения двух curvature components и mixed commutator на каждом биизмерении.</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Компонента</w:t>
            </w:r>
          </w:p>
        </w:tc>
        <w:tc>
          <w:tcPr>
            <w:tcW w:type="dxa" w:w="129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Тип</w:t>
            </w:r>
          </w:p>
        </w:tc>
        <w:tc>
          <w:tcPr>
            <w:tcW w:type="dxa" w:w="53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Смысл</w:t>
            </w:r>
          </w:p>
        </w:tc>
        <w:tc>
          <w:tcPr>
            <w:tcW w:type="dxa" w:w="187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Нулевой статус</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(2,0)</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внутренняя differential curvature</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d_N²=0</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w:t>
            </w:r>
          </w:p>
        </w:tc>
        <w:tc>
          <w:tcPr>
            <w:tcW w:type="dxa" w:w="129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(0,2)</w:t>
            </w:r>
          </w:p>
        </w:tc>
        <w:tc>
          <w:tcPr>
            <w:tcW w:type="dxa" w:w="53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дефект внешнего E-комплекса</w:t>
            </w:r>
          </w:p>
        </w:tc>
        <w:tc>
          <w:tcPr>
            <w:tcW w:type="dxa" w:w="187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δ_E²=0</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c>
          <w:tcPr>
            <w:tcW w:type="dxa" w:w="129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(1,1)</w:t>
            </w:r>
          </w:p>
        </w:tc>
        <w:tc>
          <w:tcPr>
            <w:tcW w:type="dxa" w:w="53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несовместимость внутреннего и внешнего переходов</w:t>
            </w:r>
          </w:p>
        </w:tc>
        <w:tc>
          <w:tcPr>
            <w:tcW w:type="dxa" w:w="187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d_Nδ_E=δ_Ed_N</w:t>
            </w:r>
          </w:p>
        </w:tc>
      </w:tr>
    </w:tbl>
    <w:p>
      <w:pPr>
        <w:spacing w:after="20"/>
      </w:pPr>
    </w:p>
    <w:p>
      <w:pPr>
        <w:spacing w:after="80" w:line="259" w:lineRule="auto"/>
      </w:pPr>
      <w:r>
        <w:rPr>
          <w:rFonts w:ascii="Liberation Serif" w:hAnsi="Liberation Serif" w:eastAsia="Liberation Serif"/>
          <w:b/>
          <w:sz w:val="22"/>
        </w:rPr>
        <w:t>Королларий 10.27. Cohomology firewall.</w:t>
      </w:r>
      <w:r>
        <w:rPr>
          <w:rFonts w:ascii="Liberation Serif" w:hAnsi="Liberation Serif" w:eastAsia="Liberation Serif"/>
          <w:sz w:val="22"/>
        </w:rPr>
        <w:t>[THM/PROTOCOL] Если хотя бы одна компонента в (10.17) ненулевая или не вычислена, H^*(Tot B,D_tot) не объявляется. В RBD хранится defect triple, а не фиктивный cohomology label.</w:t>
      </w:r>
    </w:p>
    <w:p>
      <w:pPr>
        <w:pStyle w:val="Heading2"/>
        <w:pageBreakBefore w:val="0"/>
        <w:spacing w:before="140" w:after="100"/>
        <w:keepNext/>
      </w:pPr>
      <w:r>
        <w:t>75.2. Условный мост Π_E</w:t>
      </w:r>
    </w:p>
    <w:p>
      <w:pPr>
        <w:spacing w:after="80" w:line="259" w:lineRule="auto"/>
      </w:pPr>
      <w:r>
        <w:rPr>
          <w:rFonts w:ascii="Liberation Serif" w:hAnsi="Liberation Serif" w:eastAsia="Liberation Serif"/>
          <w:b/>
          <w:sz w:val="22"/>
        </w:rPr>
        <w:t>Определение 10.28. Differential bridge certificate.</w:t>
      </w:r>
      <w:r>
        <w:rPr>
          <w:rFonts w:ascii="Liberation Serif" w:hAnsi="Liberation Serif" w:eastAsia="Liberation Serif"/>
          <w:sz w:val="22"/>
        </w:rPr>
        <w:t>[DEF-A] Для Π_E:O_B→H³(E^•) требуется пакет</w:t>
      </w:r>
    </w:p>
    <w:p>
      <w:pPr>
        <w:spacing w:before="60" w:after="100"/>
        <w:jc w:val="center"/>
      </w:pPr>
      <w:r>
        <w:rPr>
          <w:rFonts w:ascii="Cambria Math" w:hAnsi="Cambria Math" w:eastAsia="Cambria Math"/>
          <w:sz w:val="22"/>
        </w:rPr>
        <w:t>Cert_E=(δ_E²=0, well-defined Π_E, representative independence, naturality, mixed compatibility).     (10.18)</w:t>
      </w:r>
    </w:p>
    <w:p>
      <w:pPr>
        <w:spacing w:after="80" w:line="259" w:lineRule="auto"/>
      </w:pPr>
      <w:r>
        <w:rPr>
          <w:rFonts w:ascii="Liberation Serif" w:hAnsi="Liberation Serif" w:eastAsia="Liberation Serif"/>
          <w:b/>
          <w:sz w:val="22"/>
        </w:rPr>
        <w:t>Граница 10.29.</w:t>
      </w:r>
      <w:r>
        <w:rPr>
          <w:rFonts w:ascii="Liberation Serif" w:hAnsi="Liberation Serif" w:eastAsia="Liberation Serif"/>
          <w:sz w:val="22"/>
        </w:rPr>
        <w:t>[OPEN] Исчезновение Ω_int не доказывает существование Π_E. Исчезновение Ω_E не доказывает, что внутреннее препятствие представляется внешним классом. Mixed compatibility является отдельным обязательством T2-PO-078.</w:t>
      </w:r>
    </w:p>
    <w:p>
      <w:pPr>
        <w:pStyle w:val="Heading1"/>
        <w:pageBreakBefore w:val="0"/>
        <w:spacing w:before="200" w:after="100"/>
        <w:keepNext/>
      </w:pPr>
      <w:r>
        <w:t>76. Hodge-слой: кодифференциал и лапласиан без подмены обозначений</w:t>
      </w:r>
    </w:p>
    <w:p>
      <w:pPr>
        <w:pStyle w:val="Heading2"/>
        <w:pageBreakBefore w:val="0"/>
        <w:spacing w:before="140" w:after="100"/>
        <w:keepNext/>
      </w:pPr>
      <w:r>
        <w:t>76.1. Условия существования</w:t>
      </w:r>
    </w:p>
    <w:p>
      <w:pPr>
        <w:spacing w:after="80" w:line="259" w:lineRule="auto"/>
      </w:pPr>
      <w:r>
        <w:rPr>
          <w:rFonts w:ascii="Liberation Serif" w:hAnsi="Liberation Serif" w:eastAsia="Liberation Serif"/>
          <w:b/>
          <w:sz w:val="22"/>
        </w:rPr>
        <w:t>Определение 10.30. Hodge sector.</w:t>
      </w:r>
      <w:r>
        <w:rPr>
          <w:rFonts w:ascii="Liberation Serif" w:hAnsi="Liberation Serif" w:eastAsia="Liberation Serif"/>
          <w:sz w:val="22"/>
        </w:rPr>
        <w:t>[CL/COND] Пусть U является ориентированным n-мерным гладким сектором с невырожденной метрикой g и допустимой мерой. Тогда</w:t>
      </w:r>
    </w:p>
    <w:p>
      <w:pPr>
        <w:spacing w:before="60" w:after="100"/>
        <w:jc w:val="center"/>
      </w:pPr>
      <w:r>
        <w:rPr>
          <w:rFonts w:ascii="Cambria Math" w:hAnsi="Cambria Math" w:eastAsia="Cambria Math"/>
          <w:sz w:val="22"/>
        </w:rPr>
        <w:t>⋆_Hdg : Ω^p(U) → Ω^{n-p}(U).                                             (10.19)</w:t>
      </w:r>
    </w:p>
    <w:p>
      <w:pPr>
        <w:spacing w:before="0" w:after="100" w:line="259" w:lineRule="auto"/>
      </w:pPr>
      <w:r>
        <w:rPr>
          <w:rFonts w:ascii="Liberation Serif" w:hAnsi="Liberation Serif" w:eastAsia="Liberation Serif"/>
          <w:b w:val="0"/>
          <w:sz w:val="22"/>
        </w:rPr>
        <w:t>Для псевдоримановой сигнатуры знак квадрата ⋆ зависит от p,n и индекса метрики. Любая формула должна фиксировать convention.</w:t>
      </w:r>
    </w:p>
    <w:p>
      <w:pPr>
        <w:spacing w:after="80" w:line="259" w:lineRule="auto"/>
      </w:pPr>
      <w:r>
        <w:rPr>
          <w:rFonts w:ascii="Liberation Serif" w:hAnsi="Liberation Serif" w:eastAsia="Liberation Serif"/>
          <w:b/>
          <w:sz w:val="22"/>
        </w:rPr>
        <w:t>Определение 10.31. Codifferential.</w:t>
      </w:r>
      <w:r>
        <w:rPr>
          <w:rFonts w:ascii="Liberation Serif" w:hAnsi="Liberation Serif" w:eastAsia="Liberation Serif"/>
          <w:sz w:val="22"/>
        </w:rPr>
        <w:t>[CL/COND] В выбранной римановой convention на p-формах</w:t>
      </w:r>
    </w:p>
    <w:p>
      <w:pPr>
        <w:spacing w:before="60" w:after="100"/>
        <w:jc w:val="center"/>
      </w:pPr>
      <w:r>
        <w:rPr>
          <w:rFonts w:ascii="Cambria Math" w:hAnsi="Cambria Math" w:eastAsia="Cambria Math"/>
          <w:sz w:val="22"/>
        </w:rPr>
        <w:t>δ_Hdg = (-1)^{n(p+1)+1} ⋆_Hdg d_N ⋆_Hdg.                               (10.20)</w:t>
      </w:r>
    </w:p>
    <w:p>
      <w:pPr>
        <w:spacing w:after="80" w:line="259" w:lineRule="auto"/>
      </w:pPr>
      <w:r>
        <w:rPr>
          <w:rFonts w:ascii="Liberation Serif" w:hAnsi="Liberation Serif" w:eastAsia="Liberation Serif"/>
          <w:b/>
          <w:sz w:val="22"/>
        </w:rPr>
        <w:t>Определение 10.32. Hodge Laplacian.</w:t>
      </w:r>
      <w:r>
        <w:rPr>
          <w:rFonts w:ascii="Liberation Serif" w:hAnsi="Liberation Serif" w:eastAsia="Liberation Serif"/>
          <w:sz w:val="22"/>
        </w:rPr>
        <w:t>[CL/COND]</w:t>
      </w:r>
    </w:p>
    <w:p>
      <w:pPr>
        <w:spacing w:before="60" w:after="100"/>
        <w:jc w:val="center"/>
      </w:pPr>
      <w:r>
        <w:rPr>
          <w:rFonts w:ascii="Cambria Math" w:hAnsi="Cambria Math" w:eastAsia="Cambria Math"/>
          <w:sz w:val="22"/>
        </w:rPr>
        <w:t>Δ_Hdg = d_N δ_Hdg + δ_Hdg d_N.                                          (10.21)</w:t>
      </w:r>
    </w:p>
    <w:p>
      <w:pPr>
        <w:spacing w:after="80" w:line="259" w:lineRule="auto"/>
      </w:pPr>
      <w:r>
        <w:rPr>
          <w:rFonts w:ascii="Liberation Serif" w:hAnsi="Liberation Serif" w:eastAsia="Liberation Serif"/>
          <w:b/>
          <w:sz w:val="22"/>
        </w:rPr>
        <w:t>Теорема 10.33.</w:t>
      </w:r>
      <w:r>
        <w:rPr>
          <w:rFonts w:ascii="Liberation Serif" w:hAnsi="Liberation Serif" w:eastAsia="Liberation Serif"/>
          <w:sz w:val="22"/>
        </w:rPr>
        <w:t>[THM] Если d_N²=0 и ⋆_Hdg является корректным изоморфизмом указанного сектора, то δ_Hdg²=0. Если d_N²≠0, nilpotency δ_Hdg не следует.</w:t>
      </w:r>
    </w:p>
    <w:p>
      <w:pPr>
        <w:spacing w:after="80" w:line="259" w:lineRule="auto"/>
      </w:pPr>
      <w:r>
        <w:rPr>
          <w:rFonts w:ascii="Liberation Serif" w:hAnsi="Liberation Serif" w:eastAsia="Liberation Serif"/>
          <w:b/>
          <w:sz w:val="22"/>
        </w:rPr>
        <w:t>Граница 10.34. Hodge decomposition.</w:t>
      </w:r>
      <w:r>
        <w:rPr>
          <w:rFonts w:ascii="Liberation Serif" w:hAnsi="Liberation Serif" w:eastAsia="Liberation Serif"/>
          <w:sz w:val="22"/>
        </w:rPr>
        <w:t>[COND] Разложение на exact, coexact и harmonic части требует эллиптичности, подходящих граничных условий, полноты функционального пространства и обычно компактности либо Fredholm-гипотез. В стратифицированной NAPG оно не объявляется без отдельного аналитического пакета F.</w:t>
      </w:r>
    </w:p>
    <w:p>
      <w:pPr>
        <w:pStyle w:val="Heading2"/>
        <w:pageBreakBefore w:val="0"/>
        <w:spacing w:before="140" w:after="100"/>
        <w:keepNext/>
      </w:pPr>
      <w:r>
        <w:t>76.2. Hodge compatibility defects</w:t>
      </w:r>
    </w:p>
    <w:p>
      <w:pPr>
        <w:spacing w:after="80" w:line="259" w:lineRule="auto"/>
      </w:pPr>
      <w:r>
        <w:rPr>
          <w:rFonts w:ascii="Liberation Serif" w:hAnsi="Liberation Serif" w:eastAsia="Liberation Serif"/>
          <w:b/>
          <w:sz w:val="22"/>
        </w:rPr>
        <w:t>Определение 10.35. Hodge transport defect.</w:t>
      </w:r>
      <w:r>
        <w:rPr>
          <w:rFonts w:ascii="Liberation Serif" w:hAnsi="Liberation Serif" w:eastAsia="Liberation Serif"/>
          <w:sz w:val="22"/>
        </w:rPr>
        <w:t>[DEF-A] Для перехода g_ij между картами</w:t>
      </w:r>
    </w:p>
    <w:p>
      <w:pPr>
        <w:spacing w:before="60" w:after="100"/>
        <w:jc w:val="center"/>
      </w:pPr>
      <w:r>
        <w:rPr>
          <w:rFonts w:ascii="Cambria Math" w:hAnsi="Cambria Math" w:eastAsia="Cambria Math"/>
          <w:sz w:val="22"/>
        </w:rPr>
        <w:t>H_ij = g_ij ⋆_j - ⋆_i g_ij.                                              (10.22)</w:t>
      </w:r>
    </w:p>
    <w:p>
      <w:pPr>
        <w:spacing w:after="80" w:line="259" w:lineRule="auto"/>
      </w:pPr>
      <w:r>
        <w:rPr>
          <w:rFonts w:ascii="Liberation Serif" w:hAnsi="Liberation Serif" w:eastAsia="Liberation Serif"/>
          <w:b/>
          <w:sz w:val="22"/>
        </w:rPr>
        <w:t>Определение 10.36. Formal-adjoint defect.</w:t>
      </w:r>
      <w:r>
        <w:rPr>
          <w:rFonts w:ascii="Liberation Serif" w:hAnsi="Liberation Serif" w:eastAsia="Liberation Serif"/>
          <w:sz w:val="22"/>
        </w:rPr>
        <w:t>[DEF-A] Если внутреннее произведение задано, положим</w:t>
      </w:r>
    </w:p>
    <w:p>
      <w:pPr>
        <w:spacing w:before="60" w:after="100"/>
        <w:jc w:val="center"/>
      </w:pPr>
      <w:r>
        <w:rPr>
          <w:rFonts w:ascii="Cambria Math" w:hAnsi="Cambria Math" w:eastAsia="Cambria Math"/>
          <w:sz w:val="22"/>
        </w:rPr>
        <w:t>A_Hdg = δ_Hdg - d_N^*.                                                   (10.23)</w:t>
      </w:r>
    </w:p>
    <w:p>
      <w:pPr>
        <w:spacing w:before="0" w:after="100" w:line="259" w:lineRule="auto"/>
      </w:pPr>
      <w:r>
        <w:rPr>
          <w:rFonts w:ascii="Liberation Serif" w:hAnsi="Liberation Serif" w:eastAsia="Liberation Serif"/>
          <w:b w:val="0"/>
          <w:sz w:val="22"/>
        </w:rPr>
        <w:t>Только при H_ij=0, A_Hdg=0 и аналитических гипотезах Hodge-слой считается глобальным и совместимым.</w:t>
      </w:r>
    </w:p>
    <w:p>
      <w:pPr>
        <w:pStyle w:val="Heading1"/>
        <w:pageBreakBefore w:val="0"/>
        <w:spacing w:before="200" w:after="100"/>
        <w:keepNext/>
      </w:pPr>
      <w:r>
        <w:t>77. Differential Reper и λ-гармония</w:t>
      </w:r>
    </w:p>
    <w:p>
      <w:pPr>
        <w:spacing w:after="80" w:line="259" w:lineRule="auto"/>
      </w:pPr>
      <w:r>
        <w:rPr>
          <w:rFonts w:ascii="Liberation Serif" w:hAnsi="Liberation Serif" w:eastAsia="Liberation Serif"/>
          <w:b/>
          <w:sz w:val="22"/>
        </w:rPr>
        <w:t>Определение 10.37. Differential Reper.</w:t>
      </w:r>
      <w:r>
        <w:rPr>
          <w:rFonts w:ascii="Liberation Serif" w:hAnsi="Liberation Serif" w:eastAsia="Liberation Serif"/>
          <w:sz w:val="22"/>
        </w:rPr>
        <w:t>[DEF-A] Операторный объект получает четвёрку</w:t>
      </w:r>
    </w:p>
    <w:p>
      <w:pPr>
        <w:spacing w:before="60" w:after="100"/>
        <w:jc w:val="center"/>
      </w:pPr>
      <w:r>
        <w:rPr>
          <w:rFonts w:ascii="Cambria Math" w:hAnsi="Cambria Math" w:eastAsia="Cambria Math"/>
          <w:sz w:val="22"/>
        </w:rPr>
        <w:t>Rep_diff(d_N)=(R_d,I_d,U_d;D_d),                                       (10.24)</w:t>
      </w:r>
    </w:p>
    <w:p>
      <w:pPr>
        <w:spacing w:before="0" w:after="100" w:line="259" w:lineRule="auto"/>
      </w:pPr>
      <w:r>
        <w:rPr>
          <w:rFonts w:ascii="Liberation Serif" w:hAnsi="Liberation Serif" w:eastAsia="Liberation Serif"/>
          <w:b w:val="0"/>
          <w:sz w:val="22"/>
        </w:rPr>
        <w:t>где R_d содержит вычисленную матрицу/формулу оператора, I_d - invariant signature, U_d - допустимые расширения и модели, D_d - источники, Dom, convention и proof certificate.</w:t>
      </w:r>
    </w:p>
    <w:p>
      <w:pPr>
        <w:spacing w:after="80" w:line="259" w:lineRule="auto"/>
      </w:pPr>
      <w:r>
        <w:rPr>
          <w:rFonts w:ascii="Liberation Serif" w:hAnsi="Liberation Serif" w:eastAsia="Liberation Serif"/>
          <w:b/>
          <w:sz w:val="22"/>
        </w:rPr>
        <w:t>Определение 10.38. Differential defect vector.</w:t>
      </w:r>
      <w:r>
        <w:rPr>
          <w:rFonts w:ascii="Liberation Serif" w:hAnsi="Liberation Serif" w:eastAsia="Liberation Serif"/>
          <w:sz w:val="22"/>
        </w:rPr>
        <w:t>[DEF-A]</w:t>
      </w:r>
    </w:p>
    <w:p>
      <w:pPr>
        <w:spacing w:before="60" w:after="100"/>
        <w:jc w:val="center"/>
      </w:pPr>
      <w:r>
        <w:rPr>
          <w:rFonts w:ascii="Cambria Math" w:hAnsi="Cambria Math" w:eastAsia="Cambria Math"/>
          <w:sz w:val="22"/>
        </w:rPr>
        <w:t>Def_diff=(||L_d||,||Ω_d||,||K_glue||,||M_mix||,||H||,pole_λ,Block_Dom).     (10.25)</w:t>
      </w:r>
    </w:p>
    <w:p>
      <w:pPr>
        <w:spacing w:after="80" w:line="259" w:lineRule="auto"/>
      </w:pPr>
      <w:r>
        <w:rPr>
          <w:rFonts w:ascii="Liberation Serif" w:hAnsi="Liberation Serif" w:eastAsia="Liberation Serif"/>
          <w:b/>
          <w:sz w:val="22"/>
        </w:rPr>
        <w:t>Принцип 10.39. Harmonic insufficiency.</w:t>
      </w:r>
      <w:r>
        <w:rPr>
          <w:rFonts w:ascii="Liberation Serif" w:hAnsi="Liberation Serif" w:eastAsia="Liberation Serif"/>
          <w:sz w:val="22"/>
        </w:rPr>
        <w:t>[THM/PROTOCOL] Условие λ=-1 не влечёт L_d=0, d_N²=0, локальность, gluing или Hodge compatibility. Поэтому проектно-гармонический селектор применяется только после differential certificate.</w:t>
      </w:r>
    </w:p>
    <w:p>
      <w:pPr>
        <w:spacing w:after="80" w:line="259" w:lineRule="auto"/>
      </w:pPr>
      <w:r>
        <w:rPr>
          <w:rFonts w:ascii="Liberation Serif" w:hAnsi="Liberation Serif" w:eastAsia="Liberation Serif"/>
          <w:b/>
          <w:sz w:val="22"/>
        </w:rPr>
        <w:t>Определение 10.40. Relaxed differential candidate.</w:t>
      </w:r>
      <w:r>
        <w:rPr>
          <w:rFonts w:ascii="Liberation Serif" w:hAnsi="Liberation Serif" w:eastAsia="Liberation Serif"/>
          <w:sz w:val="22"/>
        </w:rPr>
        <w:t>[DEF-A] Для порогов τ,η</w:t>
      </w:r>
    </w:p>
    <w:p>
      <w:pPr>
        <w:spacing w:before="60" w:after="100"/>
        <w:jc w:val="center"/>
      </w:pPr>
      <w:r>
        <w:rPr>
          <w:rFonts w:ascii="Cambria Math" w:hAnsi="Cambria Math" w:eastAsia="Cambria Math"/>
          <w:sz w:val="22"/>
        </w:rPr>
        <w:t>C_diff(τ,η)={x: δ_truth(x)≤τ, ||Def_diff(x)||≤η, Valid(D)=1, Dom=1}.       (10.26)</w:t>
      </w:r>
    </w:p>
    <w:p>
      <w:pPr>
        <w:spacing w:before="0" w:after="100" w:line="259" w:lineRule="auto"/>
      </w:pPr>
      <w:r>
        <w:rPr>
          <w:rFonts w:ascii="Liberation Serif" w:hAnsi="Liberation Serif" w:eastAsia="Liberation Serif"/>
          <w:b w:val="0"/>
          <w:sz w:val="22"/>
        </w:rPr>
        <w:t>C_diff является множеством кандидатов на дальнейшую проверку. Оно не является множеством истин и не задаёт физическое событие.</w:t>
      </w:r>
    </w:p>
    <w:p>
      <w:pPr>
        <w:pStyle w:val="Heading1"/>
        <w:pageBreakBefore w:val="0"/>
        <w:spacing w:before="200" w:after="100"/>
        <w:keepNext/>
      </w:pPr>
      <w:r>
        <w:t>78. Дифференциальный переходный горизонт</w:t>
      </w:r>
    </w:p>
    <w:p>
      <w:pPr>
        <w:pStyle w:val="Heading2"/>
        <w:pageBreakBefore w:val="0"/>
        <w:spacing w:before="140" w:after="100"/>
        <w:keepNext/>
      </w:pPr>
      <w:r>
        <w:t>78.1. Аналитические семейства</w:t>
      </w:r>
    </w:p>
    <w:p>
      <w:pPr>
        <w:spacing w:after="80" w:line="259" w:lineRule="auto"/>
      </w:pPr>
      <w:r>
        <w:rPr>
          <w:rFonts w:ascii="Liberation Serif" w:hAnsi="Liberation Serif" w:eastAsia="Liberation Serif"/>
          <w:b/>
          <w:sz w:val="22"/>
        </w:rPr>
        <w:t>Определение 10.41. Finite differential signature.</w:t>
      </w:r>
      <w:r>
        <w:rPr>
          <w:rFonts w:ascii="Liberation Serif" w:hAnsi="Liberation Serif" w:eastAsia="Liberation Serif"/>
          <w:sz w:val="22"/>
        </w:rPr>
        <w:t>[DEF-A] Для конечномерного усечения степеней 0≤p≤m и параметра t положим</w:t>
      </w:r>
    </w:p>
    <w:p>
      <w:pPr>
        <w:spacing w:before="60" w:after="100"/>
        <w:jc w:val="center"/>
      </w:pPr>
      <w:r>
        <w:rPr>
          <w:rFonts w:ascii="Cambria Math" w:hAnsi="Cambria Math" w:eastAsia="Cambria Math"/>
          <w:sz w:val="22"/>
        </w:rPr>
        <w:t>Σ_diff(t)=(rank d_t^p, rank(d_t^{p+1}d_t^p), rank L_{d_t}, rank K_t, rank M_t, rank H_t, dim H_t^p when defined).     (10.27)</w:t>
      </w:r>
    </w:p>
    <w:p>
      <w:pPr>
        <w:spacing w:after="80" w:line="259" w:lineRule="auto"/>
      </w:pPr>
      <w:r>
        <w:rPr>
          <w:rFonts w:ascii="Liberation Serif" w:hAnsi="Liberation Serif" w:eastAsia="Liberation Serif"/>
          <w:b/>
          <w:sz w:val="22"/>
        </w:rPr>
        <w:t>Определение 10.42. Differential horizon.</w:t>
      </w:r>
      <w:r>
        <w:rPr>
          <w:rFonts w:ascii="Liberation Serif" w:hAnsi="Liberation Serif" w:eastAsia="Liberation Serif"/>
          <w:sz w:val="22"/>
        </w:rPr>
        <w:t>[DEF-A] Δ_diff является объединением: нулевых множеств выбранных максимальных minors; точек изменения Dom; полюсов λ; точек, где certificate precision недостаточна; и конфликтов gluing/Hodge/E-bridge.</w:t>
      </w:r>
    </w:p>
    <w:p>
      <w:pPr>
        <w:spacing w:before="60" w:after="100"/>
        <w:jc w:val="center"/>
      </w:pPr>
      <w:r>
        <w:rPr>
          <w:rFonts w:ascii="Cambria Math" w:hAnsi="Cambria Math" w:eastAsia="Cambria Math"/>
          <w:sz w:val="22"/>
        </w:rPr>
        <w:t>Δ_safe^{++} = Δ_safe^+ ∪ Δ_diff.                                        (10.28)</w:t>
      </w:r>
    </w:p>
    <w:p>
      <w:pPr>
        <w:spacing w:after="80" w:line="259" w:lineRule="auto"/>
      </w:pPr>
      <w:r>
        <w:rPr>
          <w:rFonts w:ascii="Liberation Serif" w:hAnsi="Liberation Serif" w:eastAsia="Liberation Serif"/>
          <w:b/>
          <w:sz w:val="22"/>
        </w:rPr>
        <w:t>Теорема 10.43. Rank constancy.</w:t>
      </w:r>
      <w:r>
        <w:rPr>
          <w:rFonts w:ascii="Liberation Serif" w:hAnsi="Liberation Serif" w:eastAsia="Liberation Serif"/>
          <w:sz w:val="22"/>
        </w:rPr>
        <w:t>[THM] Для аналитического конечномерного семейства на каждой связной компоненте I\Δ_diff ранги всех сертифицированных матриц постоянны. Если d_t²=0 и ранги d_t^{p-1},d_t^p постоянны, то</w:t>
      </w:r>
    </w:p>
    <w:p>
      <w:pPr>
        <w:spacing w:before="60" w:after="100"/>
        <w:jc w:val="center"/>
      </w:pPr>
      <w:r>
        <w:rPr>
          <w:rFonts w:ascii="Cambria Math" w:hAnsi="Cambria Math" w:eastAsia="Cambria Math"/>
          <w:sz w:val="22"/>
        </w:rPr>
        <w:t>dim H_t^p = dim Ω^p - rank d_t^p - rank d_t^{p-1}                       (10.29)</w:t>
      </w:r>
    </w:p>
    <w:p>
      <w:pPr>
        <w:spacing w:before="0" w:after="100" w:line="259" w:lineRule="auto"/>
      </w:pPr>
      <w:r>
        <w:rPr>
          <w:rFonts w:ascii="Liberation Serif" w:hAnsi="Liberation Serif" w:eastAsia="Liberation Serif"/>
          <w:b w:val="0"/>
          <w:sz w:val="22"/>
        </w:rPr>
        <w:t>также постоянно.</w:t>
      </w:r>
    </w:p>
    <w:p>
      <w:pPr>
        <w:spacing w:after="80" w:line="259" w:lineRule="auto"/>
      </w:pPr>
      <w:r>
        <w:rPr>
          <w:rFonts w:ascii="Liberation Serif" w:hAnsi="Liberation Serif" w:eastAsia="Liberation Serif"/>
          <w:b/>
          <w:sz w:val="22"/>
        </w:rPr>
        <w:t>Теорема 10.44. Differential negative prediction.</w:t>
      </w:r>
      <w:r>
        <w:rPr>
          <w:rFonts w:ascii="Liberation Serif" w:hAnsi="Liberation Serif" w:eastAsia="Liberation Serif"/>
          <w:sz w:val="22"/>
        </w:rPr>
        <w:t>[COND] Если полный certificate выполнен и параметрический путь не пересекает Δ_safe^{++}, то изменение сертифицированного differential-complex type, появление/исчезновение cohomology dimensions и смена zero/nonzero differential defects внутри модели невозможны.</w:t>
      </w:r>
    </w:p>
    <w:p>
      <w:pPr>
        <w:spacing w:after="80" w:line="259" w:lineRule="auto"/>
      </w:pPr>
      <w:r>
        <w:rPr>
          <w:rFonts w:ascii="Liberation Serif" w:hAnsi="Liberation Serif" w:eastAsia="Liberation Serif"/>
          <w:b/>
          <w:sz w:val="22"/>
        </w:rPr>
        <w:t>Следствие 10.45.</w:t>
      </w:r>
      <w:r>
        <w:rPr>
          <w:rFonts w:ascii="Liberation Serif" w:hAnsi="Liberation Serif" w:eastAsia="Liberation Serif"/>
          <w:sz w:val="22"/>
        </w:rPr>
        <w:t>[COND] Пересечение Δ_diff создаёт только candidate-transition. Оно не доказывает интегрируемую деформацию, глобальное событие или физическую реализацию.</w:t>
      </w:r>
    </w:p>
    <w:p>
      <w:pPr>
        <w:pStyle w:val="Heading1"/>
        <w:pageBreakBefore w:val="0"/>
        <w:spacing w:before="200" w:after="100"/>
        <w:keepNext/>
      </w:pPr>
      <w:r>
        <w:t>79. Разделяющие модели</w:t>
      </w:r>
    </w:p>
    <w:tbl>
      <w:tblPr>
        <w:tblW w:type="auto" w:w="0"/>
        <w:jc w:val="center"/>
        <w:tblLayout w:type="fixed"/>
        <w:tblLook w:firstColumn="1" w:firstRow="1" w:lastColumn="0" w:lastRow="0" w:noHBand="0" w:noVBand="1" w:val="04A0"/>
      </w:tblPr>
      <w:tblGrid>
        <w:gridCol w:w="1950"/>
        <w:gridCol w:w="1950"/>
        <w:gridCol w:w="1950"/>
        <w:gridCol w:w="1950"/>
        <w:gridCol w:w="1950"/>
      </w:tblGrid>
      <w:tr>
        <w:trPr>
          <w:tblHeader w:val="true"/>
        </w:trPr>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Модель</w:t>
            </w:r>
          </w:p>
        </w:tc>
        <w:tc>
          <w:tcPr>
            <w:tcW w:type="dxa" w:w="10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L_d</w:t>
            </w:r>
          </w:p>
        </w:tc>
        <w:tc>
          <w:tcPr>
            <w:tcW w:type="dxa" w:w="172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d²</w:t>
            </w:r>
          </w:p>
        </w:tc>
        <w:tc>
          <w:tcPr>
            <w:tcW w:type="dxa" w:w="2088"/>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Глобальность</w:t>
            </w:r>
          </w:p>
        </w:tc>
        <w:tc>
          <w:tcPr>
            <w:tcW w:type="dxa" w:w="288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Вывод</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de Rham на гладком секторе</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обычном atlas</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свободная graded algebra</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алгебраическая</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Leibniz не даёт nilpotency</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covariant d_∇</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0 по скалярам</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R_∇∧</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глобально при ∇</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complex только в flat/invariant sector</w:t>
            </w:r>
          </w:p>
        </w:tc>
      </w:tr>
      <w:tr>
        <w:tc>
          <w:tcPr>
            <w:tcW w:type="dxa" w:w="2088"/>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локальные d_i с K_ij≠0</w:t>
            </w:r>
          </w:p>
        </w:tc>
        <w:tc>
          <w:tcPr>
            <w:tcW w:type="dxa" w:w="108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172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может быть 0</w:t>
            </w:r>
          </w:p>
        </w:tc>
        <w:tc>
          <w:tcPr>
            <w:tcW w:type="dxa" w:w="2088"/>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нет</w:t>
            </w:r>
          </w:p>
        </w:tc>
        <w:tc>
          <w:tcPr>
            <w:tcW w:type="dxa" w:w="288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local truth не глобализуется</w:t>
            </w:r>
          </w:p>
        </w:tc>
      </w:tr>
      <w:tr>
        <w:tc>
          <w:tcPr>
            <w:tcW w:type="dxa" w:w="2088"/>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total d_N+δ_E</w:t>
            </w:r>
          </w:p>
        </w:tc>
        <w:tc>
          <w:tcPr>
            <w:tcW w:type="dxa" w:w="108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зависит</w:t>
            </w:r>
          </w:p>
        </w:tc>
        <w:tc>
          <w:tcPr>
            <w:tcW w:type="dxa" w:w="172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Ω_int+Ω_E+M_mix</w:t>
            </w:r>
          </w:p>
        </w:tc>
        <w:tc>
          <w:tcPr>
            <w:tcW w:type="dxa" w:w="2088"/>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при bridge certificate</w:t>
            </w:r>
          </w:p>
        </w:tc>
        <w:tc>
          <w:tcPr>
            <w:tcW w:type="dxa" w:w="288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три независимых blockers</w:t>
            </w:r>
          </w:p>
        </w:tc>
      </w:tr>
    </w:tbl>
    <w:p>
      <w:pPr>
        <w:spacing w:after="20"/>
      </w:pPr>
    </w:p>
    <w:p>
      <w:pPr>
        <w:spacing w:after="80" w:line="259" w:lineRule="auto"/>
      </w:pPr>
      <w:r>
        <w:rPr>
          <w:rFonts w:ascii="Liberation Serif" w:hAnsi="Liberation Serif" w:eastAsia="Liberation Serif"/>
          <w:b/>
          <w:sz w:val="22"/>
        </w:rPr>
        <w:t>Контртеорема 10.46. Triple independence.</w:t>
      </w:r>
      <w:r>
        <w:rPr>
          <w:rFonts w:ascii="Liberation Serif" w:hAnsi="Liberation Serif" w:eastAsia="Liberation Serif"/>
          <w:sz w:val="22"/>
        </w:rPr>
        <w:t>[THM] На классе моделей 10.16-10.24 свойства graded Leibniz, nilpotency и globalizability логически независимы попарно. Следовательно, ни одно из них не может использоваться как суррогат двух остальных.</w:t>
      </w:r>
    </w:p>
    <w:p>
      <w:pPr>
        <w:pStyle w:val="Heading1"/>
        <w:pageBreakBefore w:val="0"/>
        <w:spacing w:before="200" w:after="100"/>
        <w:keepNext/>
      </w:pPr>
      <w:r>
        <w:t>80. Главная условная теорема v0.8</w:t>
      </w:r>
    </w:p>
    <w:p>
      <w:pPr>
        <w:spacing w:after="80" w:line="259" w:lineRule="auto"/>
      </w:pPr>
      <w:r>
        <w:rPr>
          <w:rFonts w:ascii="Liberation Serif" w:hAnsi="Liberation Serif" w:eastAsia="Liberation Serif"/>
          <w:b/>
          <w:sz w:val="22"/>
        </w:rPr>
        <w:t>Теорема 10.47. Differential-calculus-safe predictive theorem.</w:t>
      </w:r>
      <w:r>
        <w:rPr>
          <w:rFonts w:ascii="Liberation Serif" w:hAnsi="Liberation Serif" w:eastAsia="Liberation Serif"/>
          <w:sz w:val="22"/>
        </w:rPr>
        <w:t>[COND] Рассмотрим семейство (Ω_t^•,⊙_t,d_t,δ_{E,t},⋆_t,ρ_t,D_t) на интервале I. Предположим:</w:t>
      </w:r>
    </w:p>
    <w:p>
      <w:pPr>
        <w:pStyle w:val="ListBullet"/>
        <w:spacing w:after="40" w:line="252" w:lineRule="auto"/>
      </w:pPr>
      <w:r>
        <w:rPr>
          <w:rFonts w:ascii="Liberation Serif" w:hAnsi="Liberation Serif" w:eastAsia="Liberation Serif"/>
          <w:sz w:val="21"/>
        </w:rPr>
        <w:t>H1. Степени, носители, Dom/Cod и ограничения фиксированы и версионированы.</w:t>
      </w:r>
    </w:p>
    <w:p>
      <w:pPr>
        <w:pStyle w:val="ListBullet"/>
        <w:spacing w:after="40" w:line="252" w:lineRule="auto"/>
      </w:pPr>
      <w:r>
        <w:rPr>
          <w:rFonts w:ascii="Liberation Serif" w:hAnsi="Liberation Serif" w:eastAsia="Liberation Serif"/>
          <w:sz w:val="21"/>
        </w:rPr>
        <w:t>H2. ⊙_t degree-compatible, а Leibniz defect вычислен.</w:t>
      </w:r>
    </w:p>
    <w:p>
      <w:pPr>
        <w:pStyle w:val="ListBullet"/>
        <w:spacing w:after="40" w:line="252" w:lineRule="auto"/>
      </w:pPr>
      <w:r>
        <w:rPr>
          <w:rFonts w:ascii="Liberation Serif" w:hAnsi="Liberation Serif" w:eastAsia="Liberation Serif"/>
          <w:sz w:val="21"/>
        </w:rPr>
        <w:t>H3. d_t², δ_{E,t}² и mixed defect вычислены точной или сертифицированной интервальной арифметикой.</w:t>
      </w:r>
    </w:p>
    <w:p>
      <w:pPr>
        <w:pStyle w:val="ListBullet"/>
        <w:spacing w:after="40" w:line="252" w:lineRule="auto"/>
      </w:pPr>
      <w:r>
        <w:rPr>
          <w:rFonts w:ascii="Liberation Serif" w:hAnsi="Liberation Serif" w:eastAsia="Liberation Serif"/>
          <w:sz w:val="21"/>
        </w:rPr>
        <w:t>H4. Локальные операторы совместимы с restrictions и gluing maps.</w:t>
      </w:r>
    </w:p>
    <w:p>
      <w:pPr>
        <w:pStyle w:val="ListBullet"/>
        <w:spacing w:after="40" w:line="252" w:lineRule="auto"/>
      </w:pPr>
      <w:r>
        <w:rPr>
          <w:rFonts w:ascii="Liberation Serif" w:hAnsi="Liberation Serif" w:eastAsia="Liberation Serif"/>
          <w:sz w:val="21"/>
        </w:rPr>
        <w:t>H5. Hodge star существует только на заявленном метрическом секторе; его defects вычислены.</w:t>
      </w:r>
    </w:p>
    <w:p>
      <w:pPr>
        <w:pStyle w:val="ListBullet"/>
        <w:spacing w:after="40" w:line="252" w:lineRule="auto"/>
      </w:pPr>
      <w:r>
        <w:rPr>
          <w:rFonts w:ascii="Liberation Serif" w:hAnsi="Liberation Serif" w:eastAsia="Liberation Serif"/>
          <w:sz w:val="21"/>
        </w:rPr>
        <w:t>H6. Внешний Π_E используется только при закрытом Cert_E.</w:t>
      </w:r>
    </w:p>
    <w:p>
      <w:pPr>
        <w:pStyle w:val="ListBullet"/>
        <w:spacing w:after="40" w:line="252" w:lineRule="auto"/>
      </w:pPr>
      <w:r>
        <w:rPr>
          <w:rFonts w:ascii="Liberation Serif" w:hAnsi="Liberation Serif" w:eastAsia="Liberation Serif"/>
          <w:sz w:val="21"/>
        </w:rPr>
        <w:t>H7. Реперная λ-координата определена вне полюсов и не заменяет differential certificate.</w:t>
      </w:r>
    </w:p>
    <w:p>
      <w:pPr>
        <w:pStyle w:val="ListBullet"/>
        <w:spacing w:after="40" w:line="252" w:lineRule="auto"/>
      </w:pPr>
      <w:r>
        <w:rPr>
          <w:rFonts w:ascii="Liberation Serif" w:hAnsi="Liberation Serif" w:eastAsia="Liberation Serif"/>
          <w:sz w:val="21"/>
        </w:rPr>
        <w:t>H8. Finite truncation и rank minors достаточны для заявленного инварианта.</w:t>
      </w:r>
    </w:p>
    <w:p>
      <w:pPr>
        <w:pStyle w:val="ListBullet"/>
        <w:spacing w:after="40" w:line="252" w:lineRule="auto"/>
      </w:pPr>
      <w:r>
        <w:rPr>
          <w:rFonts w:ascii="Liberation Serif" w:hAnsi="Liberation Serif" w:eastAsia="Liberation Serif"/>
          <w:sz w:val="21"/>
        </w:rPr>
        <w:t>H9. Globalization, tangent и holonomy certificates v0.5-v0.7 действительны.</w:t>
      </w:r>
    </w:p>
    <w:p>
      <w:pPr>
        <w:pStyle w:val="ListBullet"/>
        <w:spacing w:after="40" w:line="252" w:lineRule="auto"/>
      </w:pPr>
      <w:r>
        <w:rPr>
          <w:rFonts w:ascii="Liberation Serif" w:hAnsi="Liberation Serif" w:eastAsia="Liberation Serif"/>
          <w:sz w:val="21"/>
        </w:rPr>
        <w:t>H10. Путь параметров не пересекает Δ_safe^{++}.</w:t>
      </w:r>
    </w:p>
    <w:p>
      <w:pPr>
        <w:spacing w:before="0" w:after="100" w:line="259" w:lineRule="auto"/>
      </w:pPr>
      <w:r>
        <w:rPr>
          <w:rFonts w:ascii="Liberation Serif" w:hAnsi="Liberation Serif" w:eastAsia="Liberation Serif"/>
          <w:b w:val="0"/>
          <w:sz w:val="22"/>
        </w:rPr>
        <w:t>Тогда finite differential signature Σ_diff локально постоянна; при d_t²=0 постоянны размеры сертифицированных cohomology groups; переход, требующий изменения этих инвариантов, исключён внутри данной компоненты.</w:t>
      </w:r>
    </w:p>
    <w:p>
      <w:pPr>
        <w:spacing w:after="80" w:line="259" w:lineRule="auto"/>
      </w:pPr>
      <w:r>
        <w:rPr>
          <w:rFonts w:ascii="Liberation Serif" w:hAnsi="Liberation Serif" w:eastAsia="Liberation Serif"/>
          <w:b/>
          <w:sz w:val="22"/>
        </w:rPr>
        <w:t>Королларий 10.48. Three-valued verdict.</w:t>
      </w:r>
      <w:r>
        <w:rPr>
          <w:rFonts w:ascii="Liberation Serif" w:hAnsi="Liberation Serif" w:eastAsia="Liberation Serif"/>
          <w:sz w:val="22"/>
        </w:rPr>
        <w:t>[THM/PROTOCOL] Полный непересекающий горизонт даёт NO-DIFFERENTIAL-TRANSITION-IN-MODEL; проверенное пересечение даёт CANDIDATE-TRANSITION; любой незакрытый blocker даёт ABSTAIN.</w:t>
      </w:r>
    </w:p>
    <w:p>
      <w:pPr>
        <w:spacing w:before="100" w:after="40"/>
        <w:jc w:val="center"/>
      </w:pPr>
      <w:r>
        <w:drawing>
          <wp:inline xmlns:a="http://schemas.openxmlformats.org/drawingml/2006/main" xmlns:pic="http://schemas.openxmlformats.org/drawingml/2006/picture">
            <wp:extent cx="6172200" cy="3549015"/>
            <wp:docPr id="26" name="Picture 26"/>
            <wp:cNvGraphicFramePr>
              <a:graphicFrameLocks noChangeAspect="1"/>
            </wp:cNvGraphicFramePr>
            <a:graphic>
              <a:graphicData uri="http://schemas.openxmlformats.org/drawingml/2006/picture">
                <pic:pic>
                  <pic:nvPicPr>
                    <pic:cNvPr id="0" name="fig22_diff_gate.png"/>
                    <pic:cNvPicPr/>
                  </pic:nvPicPr>
                  <pic:blipFill>
                    <a:blip r:embed="rId52"/>
                    <a:stretch>
                      <a:fillRect/>
                    </a:stretch>
                  </pic:blipFill>
                  <pic:spPr>
                    <a:xfrm>
                      <a:off x="0" y="0"/>
                      <a:ext cx="6172200" cy="3549015"/>
                    </a:xfrm>
                    <a:prstGeom prst="rect"/>
                  </pic:spPr>
                </pic:pic>
              </a:graphicData>
            </a:graphic>
          </wp:inline>
        </w:drawing>
      </w:r>
    </w:p>
    <w:p>
      <w:pPr>
        <w:pStyle w:val="Caption"/>
        <w:spacing w:after="120"/>
        <w:jc w:val="center"/>
      </w:pPr>
      <w:r>
        <w:t>Рисунок 22. Blocker-safe шлюз дифференциального прогноза. Собственная схема Тома II.</w:t>
      </w:r>
    </w:p>
    <w:p>
      <w:pPr>
        <w:pStyle w:val="Heading1"/>
        <w:pageBreakBefore w:val="0"/>
        <w:spacing w:before="200" w:after="100"/>
        <w:keepNext/>
      </w:pPr>
      <w:r>
        <w:t>81. Вычислительный сертификат DIFF-NAPG v0.8</w:t>
      </w:r>
    </w:p>
    <w:tbl>
      <w:tblPr>
        <w:tblW w:type="auto" w:w="0"/>
        <w:jc w:val="center"/>
        <w:tblLayout w:type="fixed"/>
        <w:tblLook w:firstColumn="1" w:firstRow="1" w:lastColumn="0" w:lastRow="0" w:noHBand="0" w:noVBand="1" w:val="04A0"/>
      </w:tblPr>
      <w:tblGrid>
        <w:gridCol w:w="3251"/>
        <w:gridCol w:w="3251"/>
        <w:gridCol w:w="3251"/>
      </w:tblGrid>
      <w:tr>
        <w:trPr>
          <w:tblHeader w:val="true"/>
        </w:trPr>
        <w:tc>
          <w:tcPr>
            <w:tcW w:type="dxa" w:w="115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ID</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Операция</w:t>
            </w:r>
          </w:p>
        </w:tc>
        <w:tc>
          <w:tcPr>
            <w:tcW w:type="dxa" w:w="3312"/>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7"/>
              </w:rPr>
              <w:t>Выход</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Проверка степеней, Dom/Cod и partial products</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typed manifest</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Leibniz defect L_d</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derivation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d² по каждой степени</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Ω_int matrices</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Вычисление δ_E²</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Ω_E matrices</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DIF-05</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Вычисление mixed commutator</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M_mix</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DIF-06</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Restriction/locality tests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locality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DIF-07</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Gluing defect K_ij</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descent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DIF-08</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Associator differential identity</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Ass-d bridge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DIF-09</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Hodge star, δ_Hdg, Δ_Hdg</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Hodge package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DIF-10</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Hodge/global defects</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H_ij, A_Hdg</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DIF-11</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Rank minors and Δ_diff</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transition horizon</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DIF-12</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Cohomology dimensions only if d²=0</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H^p certificate</w:t>
            </w:r>
          </w:p>
        </w:tc>
      </w:tr>
      <w:tr>
        <w:tc>
          <w:tcPr>
            <w:tcW w:type="dxa" w:w="115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DIF-13</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7"/>
              </w:rPr>
              <w:t>λ/D/Dom integration</w:t>
            </w:r>
          </w:p>
        </w:tc>
        <w:tc>
          <w:tcPr>
            <w:tcW w:type="dxa" w:w="3312"/>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7"/>
              </w:rPr>
              <w:t>Reper certificate</w:t>
            </w:r>
          </w:p>
        </w:tc>
      </w:tr>
      <w:tr>
        <w:tc>
          <w:tcPr>
            <w:tcW w:type="dxa" w:w="115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DIF-14</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7"/>
              </w:rPr>
              <w:t>Final blocker-safe verdict</w:t>
            </w:r>
          </w:p>
        </w:tc>
        <w:tc>
          <w:tcPr>
            <w:tcW w:type="dxa" w:w="3312"/>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7"/>
              </w:rPr>
              <w:t>NO/CANDIDATE/ABSTAIN</w:t>
            </w:r>
          </w:p>
        </w:tc>
      </w:tr>
    </w:tbl>
    <w:p>
      <w:pPr>
        <w:spacing w:after="20"/>
      </w:pPr>
    </w:p>
    <w:p>
      <w:pPr>
        <w:pStyle w:val="Heading2"/>
        <w:pageBreakBefore w:val="0"/>
        <w:spacing w:before="140" w:after="100"/>
        <w:keepNext/>
      </w:pPr>
      <w:r>
        <w:t>81.1. Автоматические тесты</w:t>
      </w:r>
    </w:p>
    <w:p>
      <w:pPr>
        <w:pStyle w:val="ListBullet"/>
        <w:spacing w:after="40" w:line="252" w:lineRule="auto"/>
      </w:pPr>
      <w:r>
        <w:rPr>
          <w:rFonts w:ascii="Liberation Serif" w:hAnsi="Liberation Serif" w:eastAsia="Liberation Serif"/>
          <w:sz w:val="21"/>
        </w:rPr>
        <w:t>TEST-TYPE-01: все d^p имеют ожидаемые степени и compatible domains;</w:t>
      </w:r>
    </w:p>
    <w:p>
      <w:pPr>
        <w:pStyle w:val="ListBullet"/>
        <w:spacing w:after="40" w:line="252" w:lineRule="auto"/>
      </w:pPr>
      <w:r>
        <w:rPr>
          <w:rFonts w:ascii="Liberation Serif" w:hAnsi="Liberation Serif" w:eastAsia="Liberation Serif"/>
          <w:sz w:val="21"/>
        </w:rPr>
        <w:t>TEST-LEIB-02: L_d вычисляется на базисных парах и символически на generators;</w:t>
      </w:r>
    </w:p>
    <w:p>
      <w:pPr>
        <w:pStyle w:val="ListBullet"/>
        <w:spacing w:after="40" w:line="252" w:lineRule="auto"/>
      </w:pPr>
      <w:r>
        <w:rPr>
          <w:rFonts w:ascii="Liberation Serif" w:hAnsi="Liberation Serif" w:eastAsia="Liberation Serif"/>
          <w:sz w:val="21"/>
        </w:rPr>
        <w:t>TEST-SQUARE-03: d^{p+1}d^p сравнивается с нулём exact/interval method;</w:t>
      </w:r>
    </w:p>
    <w:p>
      <w:pPr>
        <w:pStyle w:val="ListBullet"/>
        <w:spacing w:after="40" w:line="252" w:lineRule="auto"/>
      </w:pPr>
      <w:r>
        <w:rPr>
          <w:rFonts w:ascii="Liberation Serif" w:hAnsi="Liberation Serif" w:eastAsia="Liberation Serif"/>
          <w:sz w:val="21"/>
        </w:rPr>
        <w:t>TEST-DER2-04: d² удовлетворяет even Leibniz identity;</w:t>
      </w:r>
    </w:p>
    <w:p>
      <w:pPr>
        <w:pStyle w:val="ListBullet"/>
        <w:spacing w:after="40" w:line="252" w:lineRule="auto"/>
      </w:pPr>
      <w:r>
        <w:rPr>
          <w:rFonts w:ascii="Liberation Serif" w:hAnsi="Liberation Serif" w:eastAsia="Liberation Serif"/>
          <w:sz w:val="21"/>
        </w:rPr>
        <w:t>TEST-ASS-05: формула (10.7) проверяется на basis triples;</w:t>
      </w:r>
    </w:p>
    <w:p>
      <w:pPr>
        <w:pStyle w:val="ListBullet"/>
        <w:spacing w:after="40" w:line="252" w:lineRule="auto"/>
      </w:pPr>
      <w:r>
        <w:rPr>
          <w:rFonts w:ascii="Liberation Serif" w:hAnsi="Liberation Serif" w:eastAsia="Liberation Serif"/>
          <w:sz w:val="21"/>
        </w:rPr>
        <w:t>TEST-LOCAL-06: restriction square коммутирует;</w:t>
      </w:r>
    </w:p>
    <w:p>
      <w:pPr>
        <w:pStyle w:val="ListBullet"/>
        <w:spacing w:after="40" w:line="252" w:lineRule="auto"/>
      </w:pPr>
      <w:r>
        <w:rPr>
          <w:rFonts w:ascii="Liberation Serif" w:hAnsi="Liberation Serif" w:eastAsia="Liberation Serif"/>
          <w:sz w:val="21"/>
        </w:rPr>
        <w:t>TEST-GLUE-07: K_ij=0 на всех перекрытиях;</w:t>
      </w:r>
    </w:p>
    <w:p>
      <w:pPr>
        <w:pStyle w:val="ListBullet"/>
        <w:spacing w:after="40" w:line="252" w:lineRule="auto"/>
      </w:pPr>
      <w:r>
        <w:rPr>
          <w:rFonts w:ascii="Liberation Serif" w:hAnsi="Liberation Serif" w:eastAsia="Liberation Serif"/>
          <w:sz w:val="21"/>
        </w:rPr>
        <w:t>TEST-TOTAL-08: формула (10.17) совпадает с прямым D_tot²;</w:t>
      </w:r>
    </w:p>
    <w:p>
      <w:pPr>
        <w:pStyle w:val="ListBullet"/>
        <w:spacing w:after="40" w:line="252" w:lineRule="auto"/>
      </w:pPr>
      <w:r>
        <w:rPr>
          <w:rFonts w:ascii="Liberation Serif" w:hAnsi="Liberation Serif" w:eastAsia="Liberation Serif"/>
          <w:sz w:val="21"/>
        </w:rPr>
        <w:t>TEST-HODGE-09: star degree/sign convention зафиксирована;</w:t>
      </w:r>
    </w:p>
    <w:p>
      <w:pPr>
        <w:pStyle w:val="ListBullet"/>
        <w:spacing w:after="40" w:line="252" w:lineRule="auto"/>
      </w:pPr>
      <w:r>
        <w:rPr>
          <w:rFonts w:ascii="Liberation Serif" w:hAnsi="Liberation Serif" w:eastAsia="Liberation Serif"/>
          <w:sz w:val="21"/>
        </w:rPr>
        <w:t>TEST-CODIFF-10: δ_Hdg² проверяется, а не предполагается;</w:t>
      </w:r>
    </w:p>
    <w:p>
      <w:pPr>
        <w:pStyle w:val="ListBullet"/>
        <w:spacing w:after="40" w:line="252" w:lineRule="auto"/>
      </w:pPr>
      <w:r>
        <w:rPr>
          <w:rFonts w:ascii="Liberation Serif" w:hAnsi="Liberation Serif" w:eastAsia="Liberation Serif"/>
          <w:sz w:val="21"/>
        </w:rPr>
        <w:t>TEST-RANK-11: minors Δ_diff сертифицированы;</w:t>
      </w:r>
    </w:p>
    <w:p>
      <w:pPr>
        <w:pStyle w:val="ListBullet"/>
        <w:spacing w:after="40" w:line="252" w:lineRule="auto"/>
      </w:pPr>
      <w:r>
        <w:rPr>
          <w:rFonts w:ascii="Liberation Serif" w:hAnsi="Liberation Serif" w:eastAsia="Liberation Serif"/>
          <w:sz w:val="21"/>
        </w:rPr>
        <w:t>TEST-COH-12: H^p вычисляется только после d²=0;</w:t>
      </w:r>
    </w:p>
    <w:p>
      <w:pPr>
        <w:pStyle w:val="ListBullet"/>
        <w:spacing w:after="40" w:line="252" w:lineRule="auto"/>
      </w:pPr>
      <w:r>
        <w:rPr>
          <w:rFonts w:ascii="Liberation Serif" w:hAnsi="Liberation Serif" w:eastAsia="Liberation Serif"/>
          <w:sz w:val="21"/>
        </w:rPr>
        <w:t>TEST-GATE-13: любой blocker возвращает ABSTAIN;</w:t>
      </w:r>
    </w:p>
    <w:p>
      <w:pPr>
        <w:pStyle w:val="ListBullet"/>
        <w:spacing w:after="40" w:line="252" w:lineRule="auto"/>
      </w:pPr>
      <w:r>
        <w:rPr>
          <w:rFonts w:ascii="Liberation Serif" w:hAnsi="Liberation Serif" w:eastAsia="Liberation Serif"/>
          <w:sz w:val="21"/>
        </w:rPr>
        <w:t>TEST-HASH-14: данные, conventions и proof objects хешированы.</w:t>
      </w:r>
    </w:p>
    <w:p>
      <w:pPr>
        <w:pStyle w:val="Heading2"/>
        <w:pageBreakBefore w:val="0"/>
        <w:spacing w:before="140" w:after="100"/>
        <w:keepNext/>
      </w:pPr>
      <w:r>
        <w:t>81.2. Псевдокод</w:t>
      </w:r>
    </w:p>
    <w:p>
      <w:pPr>
        <w:spacing w:before="80" w:after="140"/>
        <w:ind w:left="360" w:right="288"/>
      </w:pPr>
      <w:r>
        <w:rPr>
          <w:rFonts w:ascii="Liberation Mono" w:hAnsi="Liberation Mono" w:eastAsia="Liberation Mono"/>
          <w:sz w:val="18"/>
        </w:rPr>
        <w:t>INPUT family F_t=(Omega, product, d_N, delta_E, Hodge, reper, D)</w:t>
        <w:br/>
        <w:t>CHECK degrees, domains, restrictions, conventions</w:t>
        <w:br/>
        <w:t>COMPUTE L_d, d_N^2, delta_E^2, mixed defect</w:t>
        <w:br/>
        <w:t>CHECK local-to-global gluing and Hodge compatibility</w:t>
        <w:br/>
        <w:t>IF any required object is undefined: RETURN ABSTAIN</w:t>
        <w:br/>
        <w:t>IF d_N^2=0: COMPUTE cohomology certificate</w:t>
        <w:br/>
        <w:t>ELSE: STORE precomplex defect; DO NOT create H^p</w:t>
        <w:br/>
        <w:t>BUILD Delta_diff from rank minors, domains, poles, bridge conflicts</w:t>
        <w:br/>
        <w:t>IF full certificate and path avoids Delta_safe++:</w:t>
        <w:br/>
        <w:t xml:space="preserve">    RETURN NO_DIFFERENTIAL_TRANSITION_IN_MODEL</w:t>
        <w:br/>
        <w:t>IF verified horizon crossing:</w:t>
        <w:br/>
        <w:t xml:space="preserve">    RETURN CANDIDATE_TRANSITION</w:t>
        <w:br/>
        <w:t>RETURN ABSTAIN</w:t>
      </w:r>
    </w:p>
    <w:p>
      <w:pPr>
        <w:pStyle w:val="Heading1"/>
        <w:pageBreakBefore w:val="0"/>
        <w:spacing w:before="200" w:after="100"/>
        <w:keepNext/>
      </w:pPr>
      <w:r>
        <w:t>82. Доказательные обязательства, источники и контрольная точка v0.8</w:t>
      </w:r>
    </w:p>
    <w:p>
      <w:pPr>
        <w:pStyle w:val="Heading2"/>
        <w:pageBreakBefore w:val="0"/>
        <w:spacing w:before="140" w:after="100"/>
        <w:keepNext/>
      </w:pPr>
      <w:r>
        <w:t>82.1. Новые доказательные обязательства</w:t>
      </w:r>
    </w:p>
    <w:tbl>
      <w:tblPr>
        <w:tblW w:type="auto" w:w="0"/>
        <w:jc w:val="center"/>
        <w:tblLayout w:type="fixed"/>
        <w:tblLook w:firstColumn="1" w:firstRow="1" w:lastColumn="0" w:lastRow="0" w:noHBand="0" w:noVBand="1" w:val="04A0"/>
      </w:tblPr>
      <w:tblGrid>
        <w:gridCol w:w="2438"/>
        <w:gridCol w:w="2438"/>
        <w:gridCol w:w="2438"/>
        <w:gridCol w:w="2438"/>
      </w:tblGrid>
      <w:tr>
        <w:trPr>
          <w:tblHeader w:val="true"/>
        </w:trPr>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PO</w:t>
            </w:r>
          </w:p>
        </w:tc>
        <w:tc>
          <w:tcPr>
            <w:tcW w:type="dxa" w:w="5256"/>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Содержание</w:t>
            </w:r>
          </w:p>
        </w:tc>
        <w:tc>
          <w:tcPr>
            <w:tcW w:type="dxa" w:w="144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Статус</w:t>
            </w:r>
          </w:p>
        </w:tc>
        <w:tc>
          <w:tcPr>
            <w:tcW w:type="dxa" w:w="1800"/>
            <w:shd w:fill="17365D"/>
            <w:tcMar>
              <w:top w:w="90" w:type="dxa"/>
              <w:start w:w="90" w:type="dxa"/>
              <w:bottom w:w="90" w:type="dxa"/>
              <w:end w:w="90" w:type="dxa"/>
            </w:tcMar>
            <w:vAlign w:val="center"/>
          </w:tcPr>
          <w:p>
            <w:pPr>
              <w:jc w:val="center"/>
            </w:pPr>
            <w:r>
              <w:rPr>
                <w:rFonts w:ascii="Liberation Sans" w:hAnsi="Liberation Sans" w:eastAsia="Liberation Sans"/>
                <w:b/>
                <w:color w:val="FFFFFF"/>
                <w:sz w:val="16"/>
              </w:rPr>
              <w:t>Вердикт v0.8</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Типизированный пучок Ω_N^• и partial product</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определено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Leibniz defect и graded derivation package</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Замкнутость derivations и d² как even derivation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Associator differential identity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No-go: Leibniz не влечёт d²=0</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Sheaf-locality и support property</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в sheaf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T2-PO-076</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Gluing theorem для локальных d_i</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T2-PO-077</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Čech obstruction class из K_ij</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OPEN coefficient sheaf</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T2-PO-078</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Mixed internal/E compatibility</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T2-PO-079</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Cert_E и Π_E well-definedness</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закрыто</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T2-PO-080</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Hodge codifferential и sign convention</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локально закрыто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T2-PO-081</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Hodge decomposition на стратах</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аналитические blockers</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T2-PO-082</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 Reper certificate</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DEF-A/COMP</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специфицировано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T2-PO-083</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Rank constancy и Δ_diff</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THM</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закрыто finite analytic sector</w:t>
            </w:r>
          </w:p>
        </w:tc>
      </w:tr>
      <w:tr>
        <w:tc>
          <w:tcPr>
            <w:tcW w:type="dxa" w:w="144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T2-PO-084</w:t>
            </w:r>
          </w:p>
        </w:tc>
        <w:tc>
          <w:tcPr>
            <w:tcW w:type="dxa" w:w="5256"/>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Differential-safe predictive theorem</w:t>
            </w:r>
          </w:p>
        </w:tc>
        <w:tc>
          <w:tcPr>
            <w:tcW w:type="dxa" w:w="1440"/>
            <w:tcMar>
              <w:top w:w="85" w:type="dxa"/>
              <w:start w:w="90" w:type="dxa"/>
              <w:bottom w:w="85" w:type="dxa"/>
              <w:end w:w="90" w:type="dxa"/>
            </w:tcMar>
            <w:vAlign w:val="center"/>
            <w:shd w:fill="F4F7FA"/>
          </w:tcPr>
          <w:p>
            <w:pPr>
              <w:spacing w:after="0" w:line="240" w:lineRule="auto"/>
              <w:jc w:val="left"/>
            </w:pPr>
            <w:r>
              <w:rPr>
                <w:rFonts w:ascii="Liberation Serif" w:hAnsi="Liberation Serif" w:eastAsia="Liberation Serif"/>
                <w:sz w:val="16"/>
              </w:rPr>
              <w:t>COND</w:t>
            </w:r>
          </w:p>
        </w:tc>
        <w:tc>
          <w:tcPr>
            <w:tcW w:type="dxa" w:w="1800"/>
            <w:tcMar>
              <w:top w:w="85" w:type="dxa"/>
              <w:start w:w="90" w:type="dxa"/>
              <w:bottom w:w="85" w:type="dxa"/>
              <w:end w:w="90" w:type="dxa"/>
            </w:tcMar>
            <w:vAlign w:val="center"/>
            <w:shd w:fill="F4F7FA"/>
          </w:tcPr>
          <w:p>
            <w:pPr>
              <w:spacing w:after="0" w:line="240" w:lineRule="auto"/>
              <w:jc w:val="center"/>
            </w:pPr>
            <w:r>
              <w:rPr>
                <w:rFonts w:ascii="Liberation Serif" w:hAnsi="Liberation Serif" w:eastAsia="Liberation Serif"/>
                <w:sz w:val="16"/>
              </w:rPr>
              <w:t>сформулировано</w:t>
            </w:r>
          </w:p>
        </w:tc>
      </w:tr>
      <w:tr>
        <w:tc>
          <w:tcPr>
            <w:tcW w:type="dxa" w:w="144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T2-PO-085</w:t>
            </w:r>
          </w:p>
        </w:tc>
        <w:tc>
          <w:tcPr>
            <w:tcW w:type="dxa" w:w="5256"/>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Banach/Hilbert extension</w:t>
            </w:r>
          </w:p>
        </w:tc>
        <w:tc>
          <w:tcPr>
            <w:tcW w:type="dxa" w:w="1440"/>
            <w:tcMar>
              <w:top w:w="85" w:type="dxa"/>
              <w:start w:w="90" w:type="dxa"/>
              <w:bottom w:w="85" w:type="dxa"/>
              <w:end w:w="90" w:type="dxa"/>
            </w:tcMar>
            <w:vAlign w:val="center"/>
          </w:tcPr>
          <w:p>
            <w:pPr>
              <w:spacing w:after="0" w:line="240"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tcPr>
          <w:p>
            <w:pPr>
              <w:spacing w:after="0" w:line="240" w:lineRule="auto"/>
              <w:jc w:val="center"/>
            </w:pPr>
            <w:r>
              <w:rPr>
                <w:rFonts w:ascii="Liberation Serif" w:hAnsi="Liberation Serif" w:eastAsia="Liberation Serif"/>
                <w:sz w:val="16"/>
              </w:rPr>
              <w:t>не построено</w:t>
            </w:r>
          </w:p>
        </w:tc>
      </w:tr>
      <w:tr>
        <w:trPr>
          <w:cantSplit/>
        </w:trPr>
        <w:tc>
          <w:tcPr>
            <w:tcW w:type="dxa" w:w="144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T2-PO-086</w:t>
            </w:r>
          </w:p>
        </w:tc>
        <w:tc>
          <w:tcPr>
            <w:tcW w:type="dxa" w:w="5256"/>
            <w:tcMar>
              <w:top w:w="85" w:type="dxa"/>
              <w:start w:w="90" w:type="dxa"/>
              <w:bottom w:w="85" w:type="dxa"/>
              <w:end w:w="90" w:type="dxa"/>
            </w:tcMar>
            <w:vAlign w:val="center"/>
            <w:shd w:fill="F4F7FA"/>
          </w:tcPr>
          <w:p>
            <w:pPr>
              <w:spacing w:after="0" w:line="228" w:lineRule="auto"/>
            </w:pPr>
            <w:r>
              <w:rPr>
                <w:rFonts w:ascii="Liberation Serif" w:hAnsi="Liberation Serif" w:eastAsia="Liberation Serif"/>
                <w:sz w:val="16"/>
              </w:rPr>
              <w:t>Независимый запуск DIFF-NAPG</w:t>
            </w:r>
          </w:p>
        </w:tc>
        <w:tc>
          <w:tcPr>
            <w:tcW w:type="dxa" w:w="1440"/>
            <w:tcMar>
              <w:top w:w="85" w:type="dxa"/>
              <w:start w:w="90" w:type="dxa"/>
              <w:bottom w:w="85" w:type="dxa"/>
              <w:end w:w="90" w:type="dxa"/>
            </w:tcMar>
            <w:vAlign w:val="center"/>
            <w:shd w:fill="F4F7FA"/>
          </w:tcPr>
          <w:p>
            <w:pPr>
              <w:spacing w:after="0" w:line="228" w:lineRule="auto"/>
              <w:jc w:val="left"/>
            </w:pPr>
            <w:r>
              <w:rPr>
                <w:rFonts w:ascii="Liberation Serif" w:hAnsi="Liberation Serif" w:eastAsia="Liberation Serif"/>
                <w:sz w:val="16"/>
              </w:rPr>
              <w:t>OPEN</w:t>
            </w:r>
          </w:p>
        </w:tc>
        <w:tc>
          <w:tcPr>
            <w:tcW w:type="dxa" w:w="1800"/>
            <w:tcMar>
              <w:top w:w="85" w:type="dxa"/>
              <w:start w:w="90" w:type="dxa"/>
              <w:bottom w:w="85" w:type="dxa"/>
              <w:end w:w="90" w:type="dxa"/>
            </w:tcMar>
            <w:vAlign w:val="center"/>
            <w:shd w:fill="F4F7FA"/>
          </w:tcPr>
          <w:p>
            <w:pPr>
              <w:spacing w:after="0" w:line="228" w:lineRule="auto"/>
              <w:jc w:val="center"/>
            </w:pPr>
            <w:r>
              <w:rPr>
                <w:rFonts w:ascii="Liberation Serif" w:hAnsi="Liberation Serif" w:eastAsia="Liberation Serif"/>
                <w:sz w:val="16"/>
              </w:rPr>
              <w:t>не исполнен</w:t>
            </w:r>
          </w:p>
        </w:tc>
      </w:tr>
    </w:tbl>
    <w:p>
      <w:pPr>
        <w:spacing w:after="20"/>
      </w:pPr>
    </w:p>
    <w:p>
      <w:pPr>
        <w:pStyle w:val="Heading2"/>
        <w:pageBreakBefore w:val="0"/>
        <w:spacing w:before="140" w:after="100"/>
        <w:keepNext/>
      </w:pPr>
      <w:r>
        <w:t>82.2. Библиографическая синхронизация</w:t>
      </w:r>
    </w:p>
    <w:p>
      <w:pPr>
        <w:spacing w:before="0" w:after="40" w:line="240" w:lineRule="auto"/>
      </w:pPr>
      <w:r>
        <w:rPr>
          <w:rFonts w:ascii="Liberation Serif" w:hAnsi="Liberation Serif" w:eastAsia="Liberation Serif"/>
          <w:b w:val="0"/>
          <w:sz w:val="22"/>
        </w:rPr>
        <w:t>[V0.8-1] The Stacks Project. The de Rham complex, Tags 0FKF, 07HX. Определения универсальных дифференциалов и комплекса.</w:t>
      </w:r>
    </w:p>
    <w:p>
      <w:pPr>
        <w:spacing w:before="0" w:after="40" w:line="240" w:lineRule="auto"/>
      </w:pPr>
      <w:r>
        <w:rPr>
          <w:rFonts w:ascii="Liberation Serif" w:hAnsi="Liberation Serif" w:eastAsia="Liberation Serif"/>
          <w:b w:val="0"/>
          <w:sz w:val="22"/>
        </w:rPr>
        <w:t>[V0.8-2] Cuntz, J.; Quillen, D. Algebra Extensions and Nonsingularity. Journal of the AMS 8 (1995), 251-289. DOI 10.1090/S0894-0347-1995-1303029-0.</w:t>
      </w:r>
    </w:p>
    <w:p>
      <w:pPr>
        <w:spacing w:before="0" w:after="40" w:line="240" w:lineRule="auto"/>
      </w:pPr>
      <w:r>
        <w:rPr>
          <w:rFonts w:ascii="Liberation Serif" w:hAnsi="Liberation Serif" w:eastAsia="Liberation Serif"/>
          <w:b w:val="0"/>
          <w:sz w:val="22"/>
        </w:rPr>
        <w:t>[V0.8-3] Dubois-Violette, M.; Kerner, R.; Madore, J. Non-commutative differential geometry of matrix algebras. Journal of Mathematical Physics 31 (1990), 316-322.</w:t>
      </w:r>
    </w:p>
    <w:p>
      <w:pPr>
        <w:spacing w:before="0" w:after="40" w:line="240" w:lineRule="auto"/>
      </w:pPr>
      <w:r>
        <w:rPr>
          <w:rFonts w:ascii="Liberation Serif" w:hAnsi="Liberation Serif" w:eastAsia="Liberation Serif"/>
          <w:b w:val="0"/>
          <w:sz w:val="22"/>
        </w:rPr>
        <w:t>[V0.8-4] Quillen, D. Superconnections and the Chern character. Topology 24 (1985), 89-95. DOI 10.1016/0040-9383(85)90047-3.</w:t>
      </w:r>
    </w:p>
    <w:p>
      <w:pPr>
        <w:spacing w:before="0" w:after="40" w:line="240" w:lineRule="auto"/>
      </w:pPr>
      <w:r>
        <w:rPr>
          <w:rFonts w:ascii="Liberation Serif" w:hAnsi="Liberation Serif" w:eastAsia="Liberation Serif"/>
          <w:b w:val="0"/>
          <w:sz w:val="22"/>
        </w:rPr>
        <w:t>[V0.8-5] Dubois-Violette, M. Generalized differential spaces with d^N=0 and the q-differential calculus. Czech. Math. J. 46 (1996), 765-787. DOI 10.1007/BF01690337.</w:t>
      </w:r>
    </w:p>
    <w:p>
      <w:pPr>
        <w:spacing w:before="0" w:after="40" w:line="240" w:lineRule="auto"/>
      </w:pPr>
      <w:r>
        <w:rPr>
          <w:rFonts w:ascii="Liberation Serif" w:hAnsi="Liberation Serif" w:eastAsia="Liberation Serif"/>
          <w:b w:val="0"/>
          <w:sz w:val="22"/>
        </w:rPr>
        <w:t>[V0.8-6] Nijenhuis, A.; Richardson, R. W. Cohomology and deformations in graded Lie algebras. Bulletin AMS 72 (1966), 1-29.</w:t>
      </w:r>
    </w:p>
    <w:p>
      <w:pPr>
        <w:spacing w:before="0" w:after="40" w:line="240" w:lineRule="auto"/>
      </w:pPr>
      <w:r>
        <w:rPr>
          <w:rFonts w:ascii="Liberation Serif" w:hAnsi="Liberation Serif" w:eastAsia="Liberation Serif"/>
          <w:b w:val="0"/>
          <w:sz w:val="22"/>
        </w:rPr>
        <w:t>[V0.8-7] Hodge, W. V. D. The Theory and Applications of Harmonic Integrals. Cambridge University Press.</w:t>
      </w:r>
    </w:p>
    <w:p>
      <w:pPr>
        <w:spacing w:before="0" w:after="40" w:line="240" w:lineRule="auto"/>
      </w:pPr>
      <w:r>
        <w:rPr>
          <w:rFonts w:ascii="Liberation Serif" w:hAnsi="Liberation Serif" w:eastAsia="Liberation Serif"/>
          <w:b w:val="0"/>
          <w:sz w:val="22"/>
        </w:rPr>
        <w:t>[V0.8-8] Kurpishev, I. B. Том I v197 RU; Том II T2-RP-v0.1-v0.7; PILOT-01. Канонические внутренние источники проекта.</w:t>
      </w:r>
    </w:p>
    <w:p>
      <w:pPr>
        <w:pStyle w:val="Heading2"/>
        <w:pageBreakBefore w:val="0"/>
        <w:spacing w:before="140" w:after="100"/>
        <w:keepNext/>
      </w:pPr>
      <w:r>
        <w:t>82.3. Контрольная точка T2-RP-v0.8</w:t>
      </w:r>
    </w:p>
    <w:tbl>
      <w:tblPr>
        <w:tblW w:type="auto" w:w="0"/>
        <w:jc w:val="center"/>
        <w:tblLayout w:type="fixed"/>
        <w:tblLook w:firstColumn="1" w:firstRow="1" w:lastColumn="0" w:lastRow="0" w:noHBand="0" w:noVBand="1" w:val="04A0"/>
      </w:tblPr>
      <w:tblGrid>
        <w:gridCol w:w="4876"/>
        <w:gridCol w:w="4876"/>
      </w:tblGrid>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ДОКАЗАНО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Типизированы внутренний d_N, внешний δ_E, Hodge-слой, Leibniz defect, differential curvature, gluing defect и mixed defect; доказаны associator identity, d²-derivation theorem и no-go для автоматической nilpotency.</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УСЛОВНО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Total complex, Π_E, Hodge decomposition и differential-safe predictive theorem действуют только при перечисленных мостовых и аналитических гипотезах.</w:t>
            </w:r>
          </w:p>
        </w:tc>
      </w:tr>
      <w:tr>
        <w:tc>
          <w:tcPr>
            <w:tcW w:type="dxa" w:w="3528"/>
            <w:tcMar>
              <w:top w:w="100" w:type="dxa"/>
              <w:start w:w="110" w:type="dxa"/>
              <w:bottom w:w="100" w:type="dxa"/>
              <w:end w:w="110" w:type="dxa"/>
            </w:tcMar>
            <w:vAlign w:val="center"/>
            <w:shd w:fill="17365D"/>
          </w:tcPr>
          <w:p>
            <w:pPr>
              <w:jc w:val="center"/>
            </w:pPr>
            <w:r>
              <w:rPr>
                <w:rFonts w:ascii="Liberation Sans" w:hAnsi="Liberation Sans" w:eastAsia="Liberation Sans"/>
                <w:b/>
                <w:color w:val="FFFFFF"/>
                <w:sz w:val="20"/>
              </w:rPr>
              <w:t>ОТКРЫТО</w:t>
            </w:r>
          </w:p>
        </w:tc>
        <w:tc>
          <w:tcPr>
            <w:tcW w:type="dxa" w:w="6408"/>
            <w:tcMar>
              <w:top w:w="100" w:type="dxa"/>
              <w:start w:w="110" w:type="dxa"/>
              <w:bottom w:w="100" w:type="dxa"/>
              <w:end w:w="110" w:type="dxa"/>
            </w:tcMar>
            <w:vAlign w:val="center"/>
            <w:shd w:fill="EAF1F8"/>
          </w:tcPr>
          <w:p>
            <w:pPr>
              <w:spacing w:after="0" w:line="252" w:lineRule="auto"/>
            </w:pPr>
            <w:r>
              <w:rPr>
                <w:rFonts w:ascii="Liberation Serif" w:hAnsi="Liberation Serif" w:eastAsia="Liberation Serif"/>
                <w:sz w:val="20"/>
              </w:rPr>
              <w:t>Coefficient sheaf для Čech obstruction, канонический внутренне-внешний bridge, Banach/Hilbert completion и независимый доменный запуск.</w:t>
            </w:r>
          </w:p>
        </w:tc>
      </w:tr>
      <w:tr>
        <w:tc>
          <w:tcPr>
            <w:tcW w:type="dxa" w:w="3528"/>
            <w:tcMar>
              <w:top w:w="100" w:type="dxa"/>
              <w:start w:w="110" w:type="dxa"/>
              <w:bottom w:w="100" w:type="dxa"/>
              <w:end w:w="110" w:type="dxa"/>
            </w:tcMar>
            <w:vAlign w:val="center"/>
            <w:shd w:fill="A87512"/>
          </w:tcPr>
          <w:p>
            <w:pPr>
              <w:jc w:val="center"/>
            </w:pPr>
            <w:r>
              <w:rPr>
                <w:rFonts w:ascii="Liberation Sans" w:hAnsi="Liberation Sans" w:eastAsia="Liberation Sans"/>
                <w:b/>
                <w:color w:val="FFFFFF"/>
                <w:sz w:val="20"/>
              </w:rPr>
              <w:t>ГРАНИЦА</w:t>
            </w:r>
          </w:p>
        </w:tc>
        <w:tc>
          <w:tcPr>
            <w:tcW w:type="dxa" w:w="6408"/>
            <w:tcMar>
              <w:top w:w="100" w:type="dxa"/>
              <w:start w:w="110" w:type="dxa"/>
              <w:bottom w:w="100" w:type="dxa"/>
              <w:end w:w="110" w:type="dxa"/>
            </w:tcMar>
            <w:vAlign w:val="center"/>
            <w:shd w:fill="F7EED9"/>
          </w:tcPr>
          <w:p>
            <w:pPr>
              <w:spacing w:after="0" w:line="252" w:lineRule="auto"/>
            </w:pPr>
            <w:r>
              <w:rPr>
                <w:rFonts w:ascii="Liberation Serif" w:hAnsi="Liberation Serif" w:eastAsia="Liberation Serif"/>
                <w:sz w:val="20"/>
              </w:rPr>
              <w:t>H^p не определяется для precomplex без d²=0; λ=-1 не устраняет differential defects; физический статус ПН.2 и F-1-F-14 не изменён.</w:t>
            </w:r>
          </w:p>
        </w:tc>
      </w:tr>
    </w:tbl>
    <w:p>
      <w:pPr>
        <w:spacing w:after="20"/>
      </w:pPr>
    </w:p>
    <w:p>
      <w:pPr>
        <w:spacing w:before="60" w:after="100"/>
        <w:jc w:val="center"/>
      </w:pPr>
      <w:r>
        <w:rPr>
          <w:rFonts w:ascii="Cambria Math" w:hAnsi="Cambria Math" w:eastAsia="Cambria Math"/>
          <w:sz w:val="22"/>
        </w:rPr>
        <w:t>truth_layer_promotion = 0,     checkpoint = T2-RP-v0.8,     next = T2-RP-v0.9.</w:t>
      </w:r>
    </w:p>
    <w:p>
      <w:pPr>
        <w:pStyle w:val="Lead"/>
        <w:spacing w:before="0" w:after="160" w:line="269" w:lineRule="auto"/>
      </w:pPr>
      <w:r>
        <w:rPr>
          <w:rFonts w:ascii="Liberation Serif" w:hAnsi="Liberation Serif" w:eastAsia="Liberation Serif"/>
          <w:b w:val="0"/>
          <w:sz w:val="26"/>
        </w:rPr>
        <w:t>Следующая сборка tom2_v0_9 развивает главу 11: внутренний минимальный комплекс C_min^•, δ_min, Θ_min, его функториальность, когомологические носители и строгий интерфейс к obstruction theory.</w:t>
      </w:r>
    </w:p>
    <w:p>
      <w:pPr>
        <w:pStyle w:val="Small"/>
        <w:spacing w:before="0" w:after="0" w:line="259" w:lineRule="auto"/>
        <w:jc w:val="center"/>
      </w:pPr>
      <w:r>
        <w:rPr>
          <w:rFonts w:ascii="Liberation Serif" w:hAnsi="Liberation Serif" w:eastAsia="Liberation Serif"/>
          <w:b w:val="0"/>
          <w:sz w:val="26"/>
        </w:rPr>
        <w:t>checkpoint=T2-RP-v0.8; source=T2-RP-v0.7; truth_layer_promotion=0; next=T2-RP-v0.9.</w:t>
      </w:r>
    </w:p>
    <w:sectPr w:rsidR="00FC693F" w:rsidRPr="0006063C" w:rsidSect="00034616">
      <w:pgSz w:w="11906" w:h="16838"/>
      <w:pgMar w:top="964" w:right="1020" w:bottom="935" w:left="113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B6573"/>
        <w:sz w:val="16"/>
      </w:rPr>
      <w:t xml:space="preserve">Курпишев Иван Борисович · Калининград · 2026   |   </w:t>
    </w:r>
    <w:r>
      <w:fldChar w:fldCharType="begin"/>
      <w:instrText xml:space="preserve">PAGE</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Liberation Sans" w:hAnsi="Liberation Sans" w:eastAsia="Liberation Sans"/>
        <w:b/>
        <w:color w:val="17365D"/>
        <w:sz w:val="17"/>
      </w:rPr>
      <w:t>БАЗОВЫЙ ПРОЕКТ KLT-RBD · ТОМ II · NAPG 3.0 · v0.8</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90" w:line="259" w:lineRule="auto"/>
    </w:pPr>
    <w:rPr>
      <w:rFonts w:ascii="Liberation Serif" w:hAnsi="Liberation Serif" w:eastAsia="Liberation Seri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spacing w:before="0" w:after="160"/>
      <w:outlineLvl w:val="0"/>
    </w:pPr>
    <w:rPr>
      <w:rFonts w:asciiTheme="majorHAnsi" w:eastAsiaTheme="majorEastAsia" w:hAnsiTheme="majorHAnsi" w:cstheme="majorBidi" w:ascii="Liberation Sans" w:hAnsi="Liberation Sans" w:eastAsia="Liberation Sans"/>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Liberation Sans" w:hAnsi="Liberation Sans" w:eastAsia="Liberation Sans"/>
      <w:b/>
      <w:bCs/>
      <w:color w:val="2F5597"/>
      <w:sz w:val="26"/>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Liberation Sans" w:hAnsi="Liberation Sans" w:eastAsia="Liberation Sans"/>
      <w:b/>
      <w:bCs/>
      <w:color w:val="9C6B1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Liberation Sans" w:hAnsi="Liberation Sans" w:eastAsia="Liberation Sans"/>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Liberation Sans" w:hAnsi="Liberation Sans" w:eastAsia="Liberation Sans"/>
      <w:b/>
      <w:i/>
      <w:iCs/>
      <w:color w:val="9C6B18"/>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rFonts w:ascii="Liberation Serif" w:hAnsi="Liberation Serif"/>
      <w:b/>
      <w:bCs/>
      <w:i/>
      <w:color w:val="5B6573"/>
      <w:sz w:val="17"/>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rPr>
      <w:rFonts w:ascii="Liberation Serif" w:hAnsi="Liberation Serif"/>
      <w:b w:val="0"/>
      <w:color w:val="1F2933"/>
      <w:sz w:val="22"/>
    </w:rPr>
  </w:style>
  <w:style w:type="paragraph" w:customStyle="1" w:styleId="Small">
    <w:name w:val="Small"/>
    <w:basedOn w:val="Normal"/>
    <w:rPr>
      <w:rFonts w:ascii="Liberation Serif" w:hAnsi="Liberation Serif"/>
      <w:b w:val="0"/>
      <w:color w:val="5B6573"/>
      <w:sz w:val="17"/>
    </w:rPr>
  </w:style>
  <w:style w:type="paragraph" w:customStyle="1" w:styleId="Status">
    <w:name w:val="Status"/>
    <w:basedOn w:val="Normal"/>
    <w:rPr>
      <w:rFonts w:ascii="Liberation Sans" w:hAnsi="Liberation Sans"/>
      <w:b/>
      <w:color w:val="17365D"/>
      <w:sz w:val="19"/>
    </w:rPr>
  </w:style>
  <w:style w:type="paragraph" w:customStyle="1" w:styleId="Formula">
    <w:name w:val="Formula"/>
    <w:basedOn w:val="Normal"/>
    <w:rPr>
      <w:rFonts w:ascii="Liberation Serif" w:hAnsi="Liberation Serif"/>
      <w:b w:val="0"/>
      <w:color w:val="1F2933"/>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yperlink" Target="https://pi.math.cornell.edu/~hatcher/VBKT/VB.pdf" TargetMode="External"/><Relationship Id="rId31" Type="http://schemas.openxmlformats.org/officeDocument/2006/relationships/hyperlink" Target="https://math.uchicago.edu/~may/MISC/ChapterI.pdf" TargetMode="External"/><Relationship Id="rId32" Type="http://schemas.openxmlformats.org/officeDocument/2006/relationships/hyperlink" Target="https://stacks.math.columbia.edu/tag/02ZC" TargetMode="External"/><Relationship Id="rId33" Type="http://schemas.openxmlformats.org/officeDocument/2006/relationships/hyperlink" Target="https://stacks.math.columbia.edu/tag/0CJZ" TargetMode="External"/><Relationship Id="rId34" Type="http://schemas.openxmlformats.org/officeDocument/2006/relationships/hyperlink" Target="https://projecteuclid.org/euclid.ijm/1255455733" TargetMode="External"/><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 Id="rId38" Type="http://schemas.openxmlformats.org/officeDocument/2006/relationships/hyperlink" Target="https://stacks.math.columbia.edu/tag/0B28" TargetMode="External"/><Relationship Id="rId39" Type="http://schemas.openxmlformats.org/officeDocument/2006/relationships/hyperlink" Target="https://stacks.math.columbia.edu/tag/00RM" TargetMode="External"/><Relationship Id="rId40" Type="http://schemas.openxmlformats.org/officeDocument/2006/relationships/hyperlink" Target="https://stacks.math.columbia.edu/tag/08P5" TargetMode="External"/><Relationship Id="rId41" Type="http://schemas.openxmlformats.org/officeDocument/2006/relationships/hyperlink" Target="https://stacks.math.columbia.edu/tag/06I2" TargetMode="External"/><Relationship Id="rId42" Type="http://schemas.openxmlformats.org/officeDocument/2006/relationships/hyperlink" Target="https://stacks.math.columbia.edu/tag/02GZ" TargetMode="External"/><Relationship Id="rId43" Type="http://schemas.openxmlformats.org/officeDocument/2006/relationships/hyperlink" Target="https://www.ams.org/journals/tran/1968-130-02/S0002-9947-1968-0217093-3/" TargetMode="External"/><Relationship Id="rId44" Type="http://schemas.openxmlformats.org/officeDocument/2006/relationships/hyperlink" Target="https://projecteuclid.org/journals/bulletin-of-the-american-mathematical-society/volume-70/issue-3/Cohomology-and-deformations-of-algebraic-structures/bams/1183526023.full" TargetMode="External"/><Relationship Id="rId45" Type="http://schemas.openxmlformats.org/officeDocument/2006/relationships/hyperlink" Target="https://projecteuclid.org/journals/bulletin-of-the-american-mathematical-society/volume-72/issue-1.P1/Cohomology-and-deformations-in-graded-Lie-algebras/bams/1183527432.short" TargetMode="External"/><Relationship Id="rId46" Type="http://schemas.openxmlformats.org/officeDocument/2006/relationships/hyperlink" Target="https://annals.math.princeton.edu/1966/84-1/p01" TargetMode="External"/><Relationship Id="rId47" Type="http://schemas.openxmlformats.org/officeDocument/2006/relationships/image" Target="media/image21.png"/><Relationship Id="rId48" Type="http://schemas.openxmlformats.org/officeDocument/2006/relationships/image" Target="media/image22.png"/><Relationship Id="rId49" Type="http://schemas.openxmlformats.org/officeDocument/2006/relationships/image" Target="media/image23.png"/><Relationship Id="rId50" Type="http://schemas.openxmlformats.org/officeDocument/2006/relationships/image" Target="media/image24.png"/><Relationship Id="rId51" Type="http://schemas.openxmlformats.org/officeDocument/2006/relationships/image" Target="media/image25.png"/><Relationship Id="rId52"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Базовый проект KLT-RBD. Том II. NAPG 3.0. tom2_v0_8</dc:title>
  <dc:subject>Дифференциальные формы NAPG, precomplex, Hodge-слой и d^2-defect</dc:subject>
  <dc:creator>Курпишев Иван Борисович</dc:creator>
  <cp:keywords>KLT-RBD, NAPG 3.0, неассоциативная геометрия, репер, проективная гармония, квадратичная обструкция</cp:keywords>
  <dc:description>T2-RP-v0.8; truth_layer_promotion=0</dc:description>
  <cp:lastModifiedBy/>
  <cp:revision>1</cp:revision>
  <dcterms:created xsi:type="dcterms:W3CDTF">2013-12-23T23:15:00Z</dcterms:created>
  <dcterms:modified xsi:type="dcterms:W3CDTF">2013-12-23T23:15:00Z</dcterms:modified>
  <cp:category/>
</cp:coreProperties>
</file>