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drawing>
          <wp:inline xmlns:a="http://schemas.openxmlformats.org/drawingml/2006/main" xmlns:pic="http://schemas.openxmlformats.org/drawingml/2006/picture">
            <wp:extent cx="1440000" cy="1440000"/>
            <wp:docPr id="1" name="Picture 1"/>
            <wp:cNvGraphicFramePr>
              <a:graphicFrameLocks noChangeAspect="1"/>
            </wp:cNvGraphicFramePr>
            <a:graphic>
              <a:graphicData uri="http://schemas.openxmlformats.org/drawingml/2006/picture">
                <pic:pic>
                  <pic:nvPicPr>
                    <pic:cNvPr id="0" name="ivan.jpg"/>
                    <pic:cNvPicPr/>
                  </pic:nvPicPr>
                  <pic:blipFill>
                    <a:blip r:embed="rId9"/>
                    <a:stretch>
                      <a:fillRect/>
                    </a:stretch>
                  </pic:blipFill>
                  <pic:spPr>
                    <a:xfrm>
                      <a:off x="0" y="0"/>
                      <a:ext cx="1440000" cy="1440000"/>
                    </a:xfrm>
                    <a:prstGeom prst="rect"/>
                  </pic:spPr>
                </pic:pic>
              </a:graphicData>
            </a:graphic>
          </wp:inline>
        </w:drawing>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0"/>
        <w:widowControl/>
      </w:pPr>
    </w:p>
    <w:p>
      <w:pPr>
        <w:jc w:val="center"/>
        <w:widowControl/>
      </w:pPr>
      <w:r>
        <w:rPr>
          <w:rFonts w:ascii="Liberation Serif" w:hAnsi="Liberation Serif" w:eastAsia="Liberation Serif"/>
          <w:sz w:val="21"/>
        </w:rPr>
        <w:t>Контрольная точка T2-RP-v0.6 · выпуск tom2_v0_6</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br w:type="page"/>
      </w:r>
    </w:p>
    <w:p>
      <w:pPr>
        <w:pStyle w:val="Heading1"/>
        <w:widowControl/>
        <w:keepNext/>
      </w:pPr>
      <w:r>
        <w:rPr>
          <w:rFonts w:ascii="Liberation Serif" w:hAnsi="Liberation Serif" w:eastAsia="Liberation Serif"/>
          <w:sz w:val="21"/>
        </w:rPr>
        <w:t>Паспорт выпуска tom2_v0_6</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T2-RP-v0.4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Кумулятивная рабочая редакция: v0.1-v0.3 сохранены; глава 6 углублена до theorem/conditional package v0.4.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Карта источников и правовое досье; master-skeleton 24 глав; Definition Core; ассоциаторный слой; безопасная и условная алгебро-геометрическая двойственность; обновлённая матрица PO.</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tom2_v0_5: глава 7 — атласы, расслоения, пакетные многообразия и cocycle-obstruction.</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rPr>
          <w:rFonts w:ascii="Liberation Serif" w:hAnsi="Liberation Serif" w:eastAsia="Liberation Serif"/>
          <w:sz w:val="22"/>
        </w:rPr>
        <w:t>Выпуск tom2_v0_6 является кумулятивным продолжением v0.5 и развивает главу 8 Тома II: касательные и кокасательные объекты, деривации, dual-number tangent functor, касательные конусы, NAPG-деформационный комплекс, предел гладкости и интегрируемость формальных направлений. Построено различение между Zariski tangent space, tangent cone, reduced tangent quotient и реальными дугами; введён линейзационный горизонт предсказательного метода. Первая производная гармонического квадратичного дефекта на точном гармоническом локусе вырождается, поэтому для отбора направлений там обязателен второй порядок. Условные и физические мосты статуса не меняют.</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rPr>
          <w:rFonts w:ascii="Liberation Serif" w:hAnsi="Liberation Serif" w:eastAsia="Liberation Serif"/>
          <w:sz w:val="21"/>
        </w:rPr>
        <w:t>8. Контрольная точка T2-RP-v0.1; 9-17. Математическое углубление v0.2; 18-23. Ассоциаторная геометрия v0.3; 24-34. Пакетно-реперная алгебро-геометрическая двойственность v0.4; 35-45. Атласы, расслоения и препятствия глобализации v0.5; 46-57. Касательные и кокасательные объекты, гладкость и интегрируемость v0.6</w:t>
      </w:r>
    </w:p>
    <w:p>
      <w:pPr>
        <w:pStyle w:val="Small"/>
        <w:widowControl/>
      </w:pPr>
      <w:r>
        <w:rPr>
          <w:rFonts w:ascii="Liberation Serif" w:hAnsi="Liberation Serif" w:eastAsia="Liberation Serif"/>
          <w:color w:val="5B6573"/>
          <w:sz w:val="19"/>
        </w:rPr>
        <w:t>Примечание: выпуск v0.6 является кумулятивным. Материалы v0.1-v0.5 сохранены как точки отката. Новый строгий текст расположен в части «Касательные и кокасательные объекты NAPG». Он не заменяет descent-слой v0.5, а линеаризует его локальные семейства и формулирует проверяемые условия, при которых формальное направление действительно интегрируется в дугу.</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drawing>
          <wp:inline xmlns:a="http://schemas.openxmlformats.org/drawingml/2006/main" xmlns:pic="http://schemas.openxmlformats.org/drawingml/2006/picture">
            <wp:extent cx="5940000" cy="870170"/>
            <wp:docPr id="2" name="Picture 2"/>
            <wp:cNvGraphicFramePr>
              <a:graphicFrameLocks noChangeAspect="1"/>
            </wp:cNvGraphicFramePr>
            <a:graphic>
              <a:graphicData uri="http://schemas.openxmlformats.org/drawingml/2006/picture">
                <pic:pic>
                  <pic:nvPicPr>
                    <pic:cNvPr id="0" name="sources.png"/>
                    <pic:cNvPicPr/>
                  </pic:nvPicPr>
                  <pic:blipFill>
                    <a:blip r:embed="rId10"/>
                    <a:stretch>
                      <a:fillRect/>
                    </a:stretch>
                  </pic:blipFill>
                  <pic:spPr>
                    <a:xfrm>
                      <a:off x="0" y="0"/>
                      <a:ext cx="5940000" cy="870170"/>
                    </a:xfrm>
                    <a:prstGeom prst="rect"/>
                  </pic:spPr>
                </pic:pic>
              </a:graphicData>
            </a:graphic>
          </wp:inline>
        </w:drawing>
      </w:r>
    </w:p>
    <w:p>
      <w:pPr>
        <w:pStyle w:val="Caption"/>
        <w:jc w:val="center"/>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sectPr w:rsidR="00FC693F" w:rsidRPr="0006063C" w:rsidSect="00034616">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Liberation Sans" w:hAnsi="Liberation Sans" w:eastAsia="Liberation Sans"/>
        <w:b/>
        <w:color w:val="17365D"/>
        <w:sz w:val="17"/>
      </w:rPr>
      <w:t>БАЗОВЫЙ ПРОЕКТ KLT-RBD · ТОМ II · NAPG 3.0 · v0.6</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tom2_v0_6</dc:title>
  <dc:subject>Касательные и кокасательные объекты, деформационный комплекс и область гладкости NAPG</dc:subject>
  <dc:creator>Курпишев Иван Борисович</dc:creator>
  <cp:keywords>KLT-RBD, NAPG 3.0, неассоциативная геометрия, репер, проективная гармония, квадратичная обструкция</cp:keywords>
  <dc:description>T2-RP-v0.6; truth_layer_promotion=0</dc:description>
  <cp:lastModifiedBy/>
  <cp:revision>1</cp:revision>
  <dcterms:created xsi:type="dcterms:W3CDTF">2013-12-23T23:15:00Z</dcterms:created>
  <dcterms:modified xsi:type="dcterms:W3CDTF">2013-12-23T23:15:00Z</dcterms:modified>
  <cp:category/>
</cp:coreProperties>
</file>