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rPr>
          <w:tblHeader w:val="true"/>
          <w:cantSplit/>
        </w:trP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100" w:before="80"/>
        <w:widowControl/>
        <w:jc w:val="center"/>
      </w:pPr>
      <w:r>
        <w:drawing>
          <wp:inline xmlns:a="http://schemas.openxmlformats.org/drawingml/2006/main" xmlns:pic="http://schemas.openxmlformats.org/drawingml/2006/picture">
            <wp:extent cx="1261872" cy="1261872"/>
            <wp:docPr id="45" name="Picture 45" descr="Портрет автора Курпишева Ивана Борисовича на титульной странице Тома II." title="Фотография автора"/>
            <wp:cNvGraphicFramePr>
              <a:graphicFrameLocks noChangeAspect="1"/>
            </wp:cNvGraphicFramePr>
            <a:graphic>
              <a:graphicData uri="http://schemas.openxmlformats.org/drawingml/2006/picture">
                <pic:pic>
                  <pic:nvPicPr>
                    <pic:cNvPr id="0" name="image.jpg" descr="Портрет автора Курпишева Ивана Борисовича на титульной странице Тома II." title="Портрет автора Курпишева Ивана Борисовича на титульной странице Тома II."/>
                    <pic:cNvPicPr/>
                  </pic:nvPicPr>
                  <pic:blipFill>
                    <a:blip r:embed="rId9"/>
                    <a:stretch>
                      <a:fillRect/>
                    </a:stretch>
                  </pic:blipFill>
                  <pic:spPr>
                    <a:xfrm>
                      <a:off x="0" y="0"/>
                      <a:ext cx="1261872" cy="1261872"/>
                    </a:xfrm>
                    <a:prstGeom prst="rect"/>
                  </pic:spPr>
                </pic:pic>
              </a:graphicData>
            </a:graphic>
          </wp:inline>
        </w:drawing>
      </w:r>
    </w:p>
    <w:p>
      <w:pPr>
        <w:jc w:val="center"/>
        <w:widowControl/>
      </w:pPr>
      <w:r>
        <w:rPr>
          <w:b w:val="0"/>
        </w:rPr>
        <w:t>Контрольная точка T2-RP-v0.22 · выпуск tom2_v0_22</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r>
    </w:p>
    <w:p>
      <w:bookmarkStart w:id="901" w:name="h_12"/>
      <w:pPr>
        <w:pStyle w:val="Heading1"/>
        <w:widowControl/>
        <w:keepNext/>
      </w:pPr>
      <w:r>
        <w:rPr>
          <w:b w:val="0"/>
        </w:rPr>
        <w:t>Паспорт выпуска tom2_v0_22</w:t>
      </w:r>
      <w:bookmarkEnd w:id="901"/>
    </w:p>
    <w:tbl>
      <w:tblPr>
        <w:tblStyle w:val="TableGrid"/>
        <w:tblW w:type="auto" w:w="0"/>
        <w:jc w:val="center"/>
        <w:tblLayout w:type="autofit"/>
        <w:tblLook w:firstColumn="1" w:firstRow="1" w:lastColumn="0" w:lastRow="0" w:noHBand="0" w:noVBand="1" w:val="04A0"/>
      </w:tblPr>
      <w:tblGrid>
        <w:gridCol w:w="4876"/>
        <w:gridCol w:w="4876"/>
      </w:tblGrid>
      <w:tr>
        <w:trPr>
          <w:cantSplit/>
          <w:tblHeader w:val="true"/>
        </w:trPr>
        <w:tc>
          <w:tcPr>
            <w:tcW w:type="dxa" w:w="3969"/>
            <w:shd w:fill="1F4E78"/>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ans" w:hAnsi="Liberation Sans" w:cs="Liberation Sans"/>
                <w:b/>
                <w:color w:val="FFFFFF"/>
                <w:sz w:val="17"/>
              </w:rPr>
              <w:t>Контрольная точка</w:t>
            </w:r>
          </w:p>
        </w:tc>
        <w:tc>
          <w:tcPr>
            <w:tcW w:type="dxa" w:w="5669"/>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shd w:fill="1F4E78"/>
          </w:tcPr>
          <w:p>
            <w:pPr>
              <w:spacing w:before="0" w:after="0" w:line="240" w:lineRule="auto"/>
            </w:pPr>
            <w:r>
              <w:rPr>
                <w:rFonts w:ascii="Liberation Sans" w:hAnsi="Liberation Sans" w:cs="Liberation Sans"/>
                <w:b/>
                <w:color w:val="FFFFFF"/>
                <w:sz w:val="17"/>
              </w:rPr>
              <w:t>T2-RP-v0.22</w:t>
            </w:r>
          </w:p>
        </w:tc>
      </w:tr>
      <w:tr>
        <w:trPr>
          <w:cantSplit/>
        </w:trPr>
        <w:tc>
          <w:tcPr>
            <w:tcW w:type="dxa" w:w="3969"/>
            <w:shd w:fill="DDE7F2"/>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Статус</w:t>
            </w:r>
          </w:p>
        </w:tc>
        <w:tc>
          <w:tcPr>
            <w:tcW w:type="dxa" w:w="5669"/>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Кумулятивная предзамораживающая редакция: v0.1-v0.21 сохранены; выполнены интегральный proof audit, синхронизация 500 T2-PO, реестр формальных утверждений, 404 формульных ID, предметный указатель, перекрёстные ссылки, accessibility-ремедиация и publication gate v0.22.</w:t>
            </w:r>
          </w:p>
        </w:tc>
      </w:tr>
      <w:tr>
        <w:trPr>
          <w:cantSplit/>
        </w:trPr>
        <w:tc>
          <w:tcPr>
            <w:tcW w:type="dxa" w:w="3969"/>
            <w:shd w:fill="DDE7F2"/>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Каноническая нулевая точка</w:t>
            </w:r>
          </w:p>
        </w:tc>
        <w:tc>
          <w:tcPr>
            <w:tcW w:type="dxa" w:w="5669"/>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tom1_v197.docx + tom1_v197_ru.pdf; Том I не редактируется и не пересобирается.</w:t>
            </w:r>
          </w:p>
        </w:tc>
      </w:tr>
      <w:tr>
        <w:trPr>
          <w:cantSplit/>
        </w:trPr>
        <w:tc>
          <w:tcPr>
            <w:tcW w:type="dxa" w:w="3969"/>
            <w:shd w:fill="DDE7F2"/>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Обязательный регламент</w:t>
            </w:r>
          </w:p>
        </w:tc>
        <w:tc>
          <w:tcPr>
            <w:tcW w:type="dxa" w:w="5669"/>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tom2_chat_guide_v1.docx, SHA-256 98fab8ceafe9088a385e2cc807bbeda6563c669273f4bd0b64577fb19a2c32ea.</w:t>
            </w:r>
          </w:p>
        </w:tc>
      </w:tr>
      <w:tr>
        <w:trPr>
          <w:cantSplit/>
        </w:trPr>
        <w:tc>
          <w:tcPr>
            <w:tcW w:type="dxa" w:w="3969"/>
            <w:shd w:fill="DDE7F2"/>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Состав выпуска</w:t>
            </w:r>
          </w:p>
        </w:tc>
        <w:tc>
          <w:tcPr>
            <w:tcW w:type="dxa" w:w="5669"/>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Карта источников и правовое досье; master-skeleton 24 глав; слои v0.2-v0.21; theorem/PO/formula/subject registers; typed cross-references; accessibility audit; editorial, mathematical and empirical publication gates; freeze-blocker ledger.</w:t>
            </w:r>
          </w:p>
        </w:tc>
      </w:tr>
      <w:tr>
        <w:trPr>
          <w:cantSplit/>
        </w:trPr>
        <w:tc>
          <w:tcPr>
            <w:tcW w:type="dxa" w:w="3969"/>
            <w:shd w:fill="DDE7F2"/>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Форматы</w:t>
            </w:r>
          </w:p>
        </w:tc>
        <w:tc>
          <w:tcPr>
            <w:tcW w:type="dxa" w:w="5669"/>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Нативно редактируемый DOCX и поисковый PDF. ZIP/CSV/JSON/HTML не формируются.</w:t>
            </w:r>
          </w:p>
        </w:tc>
      </w:tr>
      <w:tr>
        <w:trPr>
          <w:cantSplit/>
        </w:trPr>
        <w:tc>
          <w:tcPr>
            <w:tcW w:type="dxa" w:w="3969"/>
            <w:shd w:fill="DDE7F2"/>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Статус-замок</w:t>
            </w:r>
          </w:p>
        </w:tc>
        <w:tc>
          <w:tcPr>
            <w:tcW w:type="dxa" w:w="5669"/>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COND, MODEL, COMP, CONJ и PHY-HYP не повышаются без нового доказательства или независимого свидетельства.</w:t>
            </w:r>
          </w:p>
        </w:tc>
      </w:tr>
      <w:tr>
        <w:trPr>
          <w:cantSplit/>
        </w:trPr>
        <w:tc>
          <w:tcPr>
            <w:tcW w:type="dxa" w:w="3969"/>
            <w:shd w:fill="DDE7F2"/>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Следующая точка</w:t>
            </w:r>
          </w:p>
        </w:tc>
        <w:tc>
          <w:tcPr>
            <w:tcW w:type="dxa" w:w="5669"/>
            <w:tcMar>
              <w:top w:w="80" w:type="dxa"/>
              <w:start w:w="100" w:type="dxa"/>
              <w:bottom w:w="80" w:type="dxa"/>
              <w:end w:w="100" w:type="dxa"/>
            </w:tcMar>
            <w:tcBorders>
              <w:top w:val="single" w:sz="4" w:color="B7C9DD"/>
              <w:left w:val="single" w:sz="4" w:color="B7C9DD"/>
              <w:bottom w:val="single" w:sz="4" w:color="B7C9DD"/>
              <w:right w:val="single" w:sz="4" w:color="B7C9DD"/>
            </w:tcBorders>
            <w:vAlign w:val="center"/>
          </w:tcPr>
          <w:p>
            <w:pPr>
              <w:spacing w:before="0" w:after="0" w:line="240" w:lineRule="auto"/>
            </w:pPr>
            <w:r>
              <w:rPr>
                <w:rFonts w:ascii="Liberation Serif" w:hAnsi="Liberation Serif" w:cs="Liberation Serif"/>
                <w:b w:val="0"/>
                <w:sz w:val="17"/>
              </w:rPr>
              <w:t>Условная следующая точка: T2-FREEZE-v1.0 после принятия publication-gate verdict и фиксации открытых математических, вычислительных и EXT-RUN блокеров без повышения их статуса.</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rPr>
          <w:b w:val="0"/>
        </w:rPr>
        <w:t>Выпуск tom2_v0_22 является кумулятивным продолжением v0.21 и выполняет интегральный proof audit всех двадцати четырёх глав: синхронизирует реестры формальных утверждений и T2-PO, вводит типизированные стабильные идентификаторы, формульный и предметный указатели, внутренние перекрёстные ссылки, приложения, accessibility-ремедиацию и многоуровневый publication gate перед возможной заморозкой Тома II. Математические, вычислительные, модельные и физические статусы не повышаются автоматически.</w:t>
      </w:r>
    </w:p>
    <w:tbl>
      <w:tblPr>
        <w:tblW w:type="auto" w:w="0"/>
        <w:jc w:val="center"/>
        <w:tblLayout w:type="fixed"/>
        <w:tblLook w:firstColumn="1" w:firstRow="1" w:lastColumn="0" w:lastRow="0" w:noHBand="0" w:noVBand="1" w:val="04A0"/>
      </w:tblPr>
      <w:tblGrid>
        <w:gridCol w:w="9411"/>
      </w:tblGrid>
      <w:tr>
        <w:trPr>
          <w:tblHeader w:val="true"/>
          <w:cantSplit/>
        </w:trP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bookmarkStart w:id="902" w:name="h_16"/>
      <w:pPr>
        <w:pStyle w:val="Heading1"/>
        <w:widowControl/>
        <w:keepNext/>
      </w:pPr>
      <w:r>
        <w:rPr>
          <w:rFonts w:ascii="Liberation Sans" w:hAnsi="Liberation Sans" w:eastAsia="Liberation Sans"/>
          <w:b/>
          <w:color w:val="17365D"/>
          <w:sz w:val="36"/>
          <w:lang w:val="ru-RU"/>
        </w:rPr>
        <w:t>Содержание и маршрут сборки</w:t>
      </w:r>
      <w:bookmarkEnd w:id="902"/>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rPr>
          <w:b w:val="0"/>
        </w:rPr>
        <w:t>8. Контрольная точка T2-RP-v0.1; 9-17. Математическое углубление v0.2; 18-23. Ассоциаторная геометрия v0.3; 24-34. Алгебро-геометрическая двойственность v0.4; 35-45. Атласы и глобализация v0.5; 46-57. Касательные объекты v0.6; 58-69. Связности и голономия v0.7; 70-82. Дифференциальные формы v0.8; 83-99. Минимальный комплекс v0.9; 100-115. Внешний E-мост v0.10; 116-131. Проективизация препятствий v0.11; 132-148. Hodge-Fredholm слой v0.12; 149-166. Деформационные функторы и Кураниши v0.13; 167-193. Wall-crossing и монодромия v0.14; 194-215. Глобальные derived/stacky moduli и predictive carrier v0.15; 216-237. Виртуальные циклы и probability firewall v0.16; 238-264. Категорифицированные motivic/refined invariants, generating series и dynamic firewall v0.17; 265-292. Нелинейные эволюции, transfer/path-space и temporal interface v0.18; 293-328. Stochastic semigroups, martingale problems, stopping/control/causal firewall v0.19; 329-370. Large deviations, risk-sensitive semigroups, rare-event geometry, robust ambiguity и finite-sample certification v0.20.; 371-420. End-to-end оператор, композиция бюджетов, общий theorem schema, алгоритмический контракт и итоговая матрица фальсифицируемости v0.21.; 371-420. End-to-end оператор, error budgets и falsifiability v0.21; 421-440. Интегральный proof audit, реестры, индексы, accessibility и publication gate v0.22.</w:t>
      </w:r>
    </w:p>
    <w:p>
      <w:pPr>
        <w:pStyle w:val="Small"/>
        <w:widowControl/>
      </w:pPr>
      <w:r>
        <w:rPr>
          <w:b w:val="0"/>
        </w:rPr>
        <w:t>Примечание: выпуск v0.22 является кумулятивным. Материалы v0.1-v0.21 сохранены как точки отката. Настоящий слой не переписывает доказательства, а проверяет адресуемость, статус, полноту реестров, навигацию и границы вывода. Результат publication gate разделяется на редакционный, математический и эмпирико-физический уровни; прохождение первого не означает прохождения остальных.</w:t>
      </w:r>
    </w:p>
    <w:p>
      <w:bookmarkStart w:id="903" w:name="h_26"/>
      <w:pPr>
        <w:pStyle w:val="Heading1"/>
        <w:widowControl/>
        <w:keepNext/>
      </w:pPr>
      <w:r>
        <w:rPr>
          <w:rFonts w:ascii="Liberation Sans" w:hAnsi="Liberation Sans" w:eastAsia="Liberation Sans"/>
          <w:b/>
          <w:color w:val="17365D"/>
          <w:sz w:val="36"/>
          <w:lang w:val="ru-RU"/>
        </w:rPr>
        <w:t>Карта источников и исходный аудит</w:t>
      </w:r>
      <w:bookmarkEnd w:id="903"/>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r>
    </w:p>
    <w:p>
      <w:pPr>
        <w:pStyle w:val="Caption"/>
        <w:jc w:val="center"/>
        <w:keepNext/>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rPr>
          <w:cantSplit/>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rPr>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rPr>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rPr>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rPr>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rPr>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rPr>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rPr>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rPr>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rPr>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rPr>
          <w:cantSplit/>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rPr>
          <w:tblHeader w:val="true"/>
          <w:cantSplit/>
        </w:trP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bookmarkStart w:id="904" w:name="h_34"/>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bookmarkEnd w:id="904"/>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cantSplit/>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rPr>
          <w:cantSplit/>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rPr>
          <w:cantSplit/>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rPr>
          <w:cantSplit/>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rPr>
          <w:cantSplit/>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rPr>
          <w:cantSplit/>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rPr>
          <w:cantSplit/>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rPr>
          <w:tblHeader w:val="true"/>
          <w:cantSplit/>
        </w:trP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descr="Рисунок 2. Факсимиле свидетельства о государственной регистрации базы данных № 2026622733." title="Рисунок 2. Факсимиле свидетельства о государственной регистрации базы данных № 2026622733."/>
            <wp:cNvGraphicFramePr>
              <a:graphicFrameLocks noChangeAspect="1"/>
            </wp:cNvGraphicFramePr>
            <a:graphic>
              <a:graphicData uri="http://schemas.openxmlformats.org/drawingml/2006/picture">
                <pic:pic>
                  <pic:nvPicPr>
                    <pic:cNvPr id="0" name="rbd22.png" descr="Рисунок 2. Факсимиле свидетельства о государственной регистрации базы данных № 2026622733." title="Рисунок 2. Факсимиле свидетельства о государственной регистрации базы данных № 2026622733."/>
                    <pic:cNvPicPr/>
                  </pic:nvPicPr>
                  <pic:blipFill>
                    <a:blip r:embed="rId11"/>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descr="Рисунок 3. Факсимиле свидетельства о государственной регистрации программы для ЭВМ № 2026665126." title="Рисунок 3. Факсимиле свидетельства о государственной регистрации программы для ЭВМ № 2026665126."/>
            <wp:cNvGraphicFramePr>
              <a:graphicFrameLocks noChangeAspect="1"/>
            </wp:cNvGraphicFramePr>
            <a:graphic>
              <a:graphicData uri="http://schemas.openxmlformats.org/drawingml/2006/picture">
                <pic:pic>
                  <pic:nvPicPr>
                    <pic:cNvPr id="0" name="evmcert.png" descr="Рисунок 3. Факсимиле свидетельства о государственной регистрации программы для ЭВМ № 2026665126." title="Рисунок 3. Факсимиле свидетельства о государственной регистрации программы для ЭВМ № 2026665126."/>
                    <pic:cNvPicPr/>
                  </pic:nvPicPr>
                  <pic:blipFill>
                    <a:blip r:embed="rId12"/>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3. Факсимиле свидетельства о государственной регистрации программы для ЭВМ № 2026665126.</w:t>
      </w:r>
    </w:p>
    <w:p>
      <w:bookmarkStart w:id="905" w:name="h_41"/>
      <w:pPr>
        <w:pStyle w:val="Heading1"/>
        <w:widowControl/>
        <w:keepNext/>
      </w:pPr>
      <w:r>
        <w:rPr>
          <w:rFonts w:ascii="Liberation Sans" w:hAnsi="Liberation Sans" w:eastAsia="Liberation Sans"/>
          <w:b/>
          <w:color w:val="17365D"/>
          <w:sz w:val="36"/>
          <w:lang w:val="ru-RU"/>
        </w:rPr>
        <w:t>Master-skeleton Тома II: 24 главы</w:t>
      </w:r>
      <w:bookmarkEnd w:id="905"/>
    </w:p>
    <w:tbl>
      <w:tblPr>
        <w:tblW w:type="auto" w:w="0"/>
        <w:jc w:val="center"/>
        <w:tblLayout w:type="fixed"/>
        <w:tblLook w:firstColumn="1" w:firstRow="1" w:lastColumn="0" w:lastRow="0" w:noHBand="0" w:noVBand="1" w:val="04A0"/>
      </w:tblPr>
      <w:tblGrid>
        <w:gridCol w:w="9411"/>
      </w:tblGrid>
      <w:tr>
        <w:trPr>
          <w:tblHeader w:val="true"/>
          <w:cantSplit/>
        </w:trP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rPr>
          <w:cantSplit/>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bookmarkStart w:id="906" w:name="h_43"/>
      <w:pPr>
        <w:pStyle w:val="Heading1"/>
        <w:widowControl/>
        <w:keepNext/>
      </w:pPr>
      <w:r>
        <w:rPr>
          <w:rFonts w:ascii="Liberation Sans" w:hAnsi="Liberation Sans" w:eastAsia="Liberation Sans"/>
          <w:b/>
          <w:color w:val="17365D"/>
          <w:sz w:val="36"/>
          <w:lang w:val="ru-RU"/>
        </w:rPr>
        <w:t>Карта зависимостей</w:t>
      </w:r>
      <w:bookmarkEnd w:id="906"/>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descr="Рисунок 4. Направленный граф зависимостей двадцати четырёх глав Тома II." title="Рисунок 4. Направленный граф зависимостей двадцати четырёх глав Тома II."/>
            <wp:cNvGraphicFramePr>
              <a:graphicFrameLocks noChangeAspect="1"/>
            </wp:cNvGraphicFramePr>
            <a:graphic>
              <a:graphicData uri="http://schemas.openxmlformats.org/drawingml/2006/picture">
                <pic:pic>
                  <pic:nvPicPr>
                    <pic:cNvPr id="0" name="deps.png" descr="Рисунок 4. Направленный граф зависимостей двадцати четырёх глав Тома II." title="Рисунок 4. Направленный граф зависимостей двадцати четырёх глав Тома II."/>
                    <pic:cNvPicPr/>
                  </pic:nvPicPr>
                  <pic:blipFill>
                    <a:blip r:embed="rId13"/>
                    <a:stretch>
                      <a:fillRect/>
                    </a:stretch>
                  </pic:blipFill>
                  <pic:spPr>
                    <a:xfrm>
                      <a:off x="0" y="0"/>
                      <a:ext cx="6120000" cy="2012532"/>
                    </a:xfrm>
                    <a:prstGeom prst="rect"/>
                  </pic:spPr>
                </pic:pic>
              </a:graphicData>
            </a:graphic>
          </wp:inline>
        </w:drawing>
      </w:r>
    </w:p>
    <w:p>
      <w:pPr>
        <w:pStyle w:val="Caption"/>
        <w:jc w:val="center"/>
        <w:keepNext/>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descr="Рисунок 5. Шлюз доказательных статусов: повышение допускается только через доказательство или независимое свидетельство." title="Рисунок 5. Шлюз доказательных статусов: повышение допускается только через доказательство или независимое свидетельство."/>
            <wp:cNvGraphicFramePr>
              <a:graphicFrameLocks noChangeAspect="1"/>
            </wp:cNvGraphicFramePr>
            <a:graphic>
              <a:graphicData uri="http://schemas.openxmlformats.org/drawingml/2006/picture">
                <pic:pic>
                  <pic:nvPicPr>
                    <pic:cNvPr id="0" name="status.png" descr="Рисунок 5. Шлюз доказательных статусов: повышение допускается только через доказательство или независимое свидетельство." title="Рисунок 5. Шлюз доказательных статусов: повышение допускается только через доказательство или независимое свидетельство."/>
                    <pic:cNvPicPr/>
                  </pic:nvPicPr>
                  <pic:blipFill>
                    <a:blip r:embed="rId14"/>
                    <a:stretch>
                      <a:fillRect/>
                    </a:stretch>
                  </pic:blipFill>
                  <pic:spPr>
                    <a:xfrm>
                      <a:off x="0" y="0"/>
                      <a:ext cx="6048000" cy="1299823"/>
                    </a:xfrm>
                    <a:prstGeom prst="rect"/>
                  </pic:spPr>
                </pic:pic>
              </a:graphicData>
            </a:graphic>
          </wp:inline>
        </w:drawing>
      </w:r>
    </w:p>
    <w:p>
      <w:pPr>
        <w:pStyle w:val="Caption"/>
        <w:jc w:val="center"/>
        <w:keepNext/>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bookmarkStart w:id="907" w:name="h_49"/>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bookmarkEnd w:id="907"/>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08" w:name="h_57"/>
      <w:pPr>
        <w:pStyle w:val="Heading1"/>
        <w:widowControl/>
        <w:keepNext/>
      </w:pPr>
      <w:r>
        <w:rPr>
          <w:rFonts w:ascii="Liberation Sans" w:hAnsi="Liberation Sans" w:eastAsia="Liberation Sans"/>
          <w:b/>
          <w:color w:val="17365D"/>
          <w:sz w:val="36"/>
          <w:lang w:val="ru-RU"/>
        </w:rPr>
        <w:t>Глава 2. Замороженный реестр обозначений</w:t>
      </w:r>
      <w:bookmarkEnd w:id="908"/>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rPr>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rPr>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rPr>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rPr>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rPr>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rPr>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rPr>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rPr>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rPr>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rPr>
          <w:cantSplit/>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bookmarkStart w:id="909" w:name="h_66"/>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bookmarkEnd w:id="909"/>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10" w:name="h_74"/>
      <w:pPr>
        <w:pStyle w:val="Heading1"/>
        <w:widowControl/>
        <w:keepNext/>
      </w:pPr>
      <w:r>
        <w:rPr>
          <w:rFonts w:ascii="Liberation Sans" w:hAnsi="Liberation Sans" w:eastAsia="Liberation Sans"/>
          <w:b/>
          <w:color w:val="17365D"/>
          <w:sz w:val="36"/>
          <w:lang w:val="ru-RU"/>
        </w:rPr>
        <w:t>Глава 4. Градуированная алгебра (𝕂, 𝒜•, ⊙, 𝔊)</w:t>
      </w:r>
      <w:bookmarkEnd w:id="910"/>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11" w:name="h_82"/>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bookmarkEnd w:id="911"/>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12" w:name="h_90"/>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bookmarkEnd w:id="912"/>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13" w:name="h_98"/>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bookmarkEnd w:id="913"/>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14" w:name="h_106"/>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bookmarkEnd w:id="914"/>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15" w:name="h_114"/>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bookmarkEnd w:id="915"/>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16" w:name="h_122"/>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bookmarkEnd w:id="916"/>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17" w:name="h_130"/>
      <w:pPr>
        <w:pStyle w:val="Heading1"/>
        <w:widowControl/>
        <w:keepNext/>
      </w:pPr>
      <w:r>
        <w:rPr>
          <w:rFonts w:ascii="Liberation Sans" w:hAnsi="Liberation Sans" w:eastAsia="Liberation Sans"/>
          <w:b/>
          <w:color w:val="17365D"/>
          <w:sz w:val="36"/>
          <w:lang w:val="ru-RU"/>
        </w:rPr>
        <w:t>Глава 11. Hodge-слой, δ_Hdg и Δ_Hdg</w:t>
      </w:r>
      <w:bookmarkEnd w:id="917"/>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18" w:name="h_138"/>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bookmarkEnd w:id="918"/>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rPr>
          <w:tblHeader w:val="true"/>
          <w:cantSplit/>
        </w:trP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bookmarkStart w:id="919" w:name="h_152"/>
      <w:pPr>
        <w:pStyle w:val="Heading1"/>
        <w:widowControl/>
        <w:keepNext/>
      </w:pPr>
      <w:r>
        <w:rPr>
          <w:rFonts w:ascii="Liberation Sans" w:hAnsi="Liberation Sans" w:eastAsia="Liberation Sans"/>
          <w:b/>
          <w:color w:val="17365D"/>
          <w:sz w:val="36"/>
          <w:lang w:val="ru-RU"/>
        </w:rPr>
        <w:t>Глава 13. Внешний E-слой и отображение Π_E</w:t>
      </w:r>
      <w:bookmarkEnd w:id="919"/>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bookmarkStart w:id="920" w:name="h_168"/>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bookmarkEnd w:id="920"/>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21" w:name="h_176"/>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bookmarkEnd w:id="921"/>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22" w:name="h_184"/>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bookmarkEnd w:id="922"/>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23" w:name="h_192"/>
      <w:pPr>
        <w:pStyle w:val="Heading1"/>
        <w:widowControl/>
        <w:keepNext/>
      </w:pPr>
      <w:r>
        <w:rPr>
          <w:rFonts w:ascii="Liberation Sans" w:hAnsi="Liberation Sans" w:eastAsia="Liberation Sans"/>
          <w:b/>
          <w:color w:val="17365D"/>
          <w:sz w:val="36"/>
          <w:lang w:val="ru-RU"/>
        </w:rPr>
        <w:t>Глава 17. Редукции Гильберта и Клейна</w:t>
      </w:r>
      <w:bookmarkEnd w:id="923"/>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24" w:name="h_200"/>
      <w:pPr>
        <w:pStyle w:val="Heading1"/>
        <w:widowControl/>
        <w:keepNext/>
      </w:pPr>
      <w:r>
        <w:rPr>
          <w:rFonts w:ascii="Liberation Sans" w:hAnsi="Liberation Sans" w:eastAsia="Liberation Sans"/>
          <w:b/>
          <w:color w:val="17365D"/>
          <w:sz w:val="36"/>
          <w:lang w:val="ru-RU"/>
        </w:rPr>
        <w:t>Глава 18. Комплексная, кэлерова и Calabi–Yau-ветви</w:t>
      </w:r>
      <w:bookmarkEnd w:id="924"/>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25" w:name="h_208"/>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bookmarkEnd w:id="925"/>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rPr>
          <w:tblHeader w:val="true"/>
          <w:cantSplit/>
        </w:trP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bookmarkStart w:id="926" w:name="h_219"/>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bookmarkEnd w:id="926"/>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27" w:name="h_227"/>
      <w:pPr>
        <w:pStyle w:val="Heading1"/>
        <w:widowControl/>
        <w:keepNext/>
      </w:pPr>
      <w:r>
        <w:rPr>
          <w:rFonts w:ascii="Liberation Sans" w:hAnsi="Liberation Sans" w:eastAsia="Liberation Sans"/>
          <w:b/>
          <w:color w:val="17365D"/>
          <w:sz w:val="36"/>
          <w:lang w:val="ru-RU"/>
        </w:rPr>
        <w:t>Глава 21. Реестр теорем и граф зависимостей</w:t>
      </w:r>
      <w:bookmarkEnd w:id="927"/>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28" w:name="h_235"/>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bookmarkEnd w:id="928"/>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bookmarkStart w:id="929" w:name="h_243"/>
      <w:pPr>
        <w:pStyle w:val="Heading1"/>
        <w:widowControl/>
        <w:keepNext/>
      </w:pPr>
      <w:r>
        <w:rPr>
          <w:rFonts w:ascii="Liberation Sans" w:hAnsi="Liberation Sans" w:eastAsia="Liberation Sans"/>
          <w:b/>
          <w:color w:val="17365D"/>
          <w:sz w:val="36"/>
          <w:lang w:val="ru-RU"/>
        </w:rPr>
        <w:t>Глава 23. Prior art и граница авторской новизны</w:t>
      </w:r>
      <w:bookmarkEnd w:id="929"/>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rPr>
          <w:cantSplit/>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rPr>
          <w:cantSplit/>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rPr>
          <w:cantSplit/>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rPr>
          <w:cantSplit/>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rPr>
          <w:cantSplit/>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rPr>
          <w:cantSplit/>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rPr>
          <w:cantSplit/>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bookmarkStart w:id="930" w:name="h_252"/>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bookmarkEnd w:id="930"/>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bookmarkStart w:id="931" w:name="h_261"/>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bookmarkEnd w:id="931"/>
    </w:p>
    <w:tbl>
      <w:tblPr>
        <w:tblW w:type="auto" w:w="0"/>
        <w:jc w:val="center"/>
        <w:tblLayout w:type="fixed"/>
        <w:tblLook w:firstColumn="1" w:firstRow="1" w:lastColumn="0" w:lastRow="0" w:noHBand="0" w:noVBand="1" w:val="04A0"/>
      </w:tblPr>
      <w:tblGrid>
        <w:gridCol w:w="7625"/>
        <w:gridCol w:w="7625"/>
      </w:tblGrid>
      <w:tr>
        <w:trPr>
          <w:cantSplit/>
          <w:tblHeader w:val="true"/>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bookmarkStart w:id="2097" w:name="po_001"/>
            <w:pPr>
              <w:spacing w:before="0" w:after="0" w:line="240" w:lineRule="auto"/>
            </w:pPr>
            <w:r>
              <w:rPr>
                <w:rFonts w:ascii="Liberation Sans" w:hAnsi="Liberation Sans" w:eastAsia="Liberation Sans"/>
                <w:b/>
                <w:sz w:val="12"/>
              </w:rPr>
              <w:t>T2-PO-001</w:t>
            </w:r>
            <w:bookmarkEnd w:id="2097"/>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bookmarkStart w:id="2098" w:name="po_002"/>
            <w:pPr>
              <w:spacing w:before="0" w:after="0" w:line="240" w:lineRule="auto"/>
            </w:pPr>
            <w:r>
              <w:rPr>
                <w:rFonts w:ascii="Liberation Sans" w:hAnsi="Liberation Sans" w:eastAsia="Liberation Sans"/>
                <w:b/>
                <w:sz w:val="12"/>
              </w:rPr>
              <w:t>T2-PO-002</w:t>
            </w:r>
            <w:bookmarkEnd w:id="2098"/>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bookmarkStart w:id="2104" w:name="po_008"/>
            <w:pPr>
              <w:spacing w:before="0" w:after="0" w:line="240" w:lineRule="auto"/>
            </w:pPr>
            <w:r>
              <w:rPr>
                <w:rFonts w:ascii="Liberation Sans" w:hAnsi="Liberation Sans" w:eastAsia="Liberation Sans"/>
                <w:b/>
                <w:sz w:val="12"/>
              </w:rPr>
              <w:t>T2-PO-008</w:t>
            </w:r>
            <w:bookmarkEnd w:id="2104"/>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rPr>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headerReference w:type="default" r:id="rId63"/>
          <w:pgSz w:w="16838" w:h="11906" w:orient="landscape"/>
          <w:pgMar w:top="850" w:right="794" w:bottom="850" w:left="794" w:header="397" w:footer="397" w:gutter="0"/>
          <w:cols w:space="720"/>
          <w:titlePg/>
          <w:docGrid w:linePitch="360"/>
        </w:sectPr>
        <w:widowControl/>
      </w:pPr>
    </w:p>
    <w:p>
      <w:bookmarkStart w:id="932" w:name="h_264"/>
      <w:pPr>
        <w:pStyle w:val="Heading1"/>
        <w:widowControl/>
        <w:keepNext/>
      </w:pPr>
      <w:r>
        <w:rPr>
          <w:rFonts w:ascii="Liberation Sans" w:hAnsi="Liberation Sans" w:eastAsia="Liberation Sans"/>
          <w:b/>
          <w:color w:val="17365D"/>
          <w:sz w:val="36"/>
          <w:lang w:val="ru-RU"/>
        </w:rPr>
        <w:t>Контрольная точка T2-RP-v0.1</w:t>
      </w:r>
      <w:bookmarkEnd w:id="932"/>
    </w:p>
    <w:tbl>
      <w:tblPr>
        <w:tblW w:type="auto" w:w="0"/>
        <w:jc w:val="center"/>
        <w:tblLayout w:type="fixed"/>
        <w:tblLook w:firstColumn="1" w:firstRow="1" w:lastColumn="0" w:lastRow="0" w:noHBand="0" w:noVBand="1" w:val="04A0"/>
      </w:tblPr>
      <w:tblGrid>
        <w:gridCol w:w="9411"/>
      </w:tblGrid>
      <w:tr>
        <w:trPr>
          <w:tblHeader w:val="true"/>
          <w:cantSplit/>
        </w:trP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rPr>
          <w:cantSplit/>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rPr>
          <w:cantSplit/>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rPr>
          <w:cantSplit/>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rPr>
          <w:cantSplit/>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rPr>
          <w:cantSplit/>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rPr>
          <w:cantSplit/>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rPr>
          <w:cantSplit/>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rPr>
          <w:cantSplit/>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bookmarkStart w:id="933" w:name="h_271"/>
      <w:pPr>
        <w:pStyle w:val="Heading1"/>
        <w:widowControl/>
        <w:keepNext/>
      </w:pPr>
      <w:r>
        <w:rPr>
          <w:rFonts w:ascii="Liberation Sans" w:hAnsi="Liberation Sans" w:eastAsia="Liberation Sans"/>
          <w:b/>
          <w:color w:val="17365D"/>
          <w:sz w:val="36"/>
          <w:lang w:val="ru-RU"/>
        </w:rPr>
        <w:t>Библиографическая стартовая полка</w:t>
      </w:r>
      <w:bookmarkEnd w:id="933"/>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34" w:name="h_286"/>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bookmarkEnd w:id="934"/>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bookmarkStart w:id="935" w:name="h_291"/>
      <w:pPr>
        <w:pStyle w:val="Heading1"/>
        <w:widowControl/>
        <w:keepNext/>
      </w:pPr>
      <w:r>
        <w:rPr>
          <w:rFonts w:ascii="Liberation Sans" w:hAnsi="Liberation Sans" w:eastAsia="Liberation Sans"/>
          <w:b/>
          <w:color w:val="17365D"/>
          <w:sz w:val="36"/>
        </w:rPr>
        <w:t>10. Глава 2. Замороженный реестр обозначений</w:t>
      </w:r>
      <w:bookmarkEnd w:id="935"/>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bookmarkStart w:id="936" w:name="h_312"/>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bookmarkEnd w:id="936"/>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descr="Рисунок 3. Внутреннее определяющее ядро NAPG_q и минимальный комплекс. Собственная схема Тома II." title="Рисунок 3. Внутреннее определяющее ядро NAPG_q и минимальный комплекс. Собственная схема Тома II."/>
            <wp:cNvGraphicFramePr>
              <a:graphicFrameLocks noChangeAspect="1"/>
            </wp:cNvGraphicFramePr>
            <a:graphic>
              <a:graphicData uri="http://schemas.openxmlformats.org/drawingml/2006/picture">
                <pic:pic>
                  <pic:nvPicPr>
                    <pic:cNvPr id="0" name="diag_core_v02.png" descr="Рисунок 3. Внутреннее определяющее ядро NAPG_q и минимальный комплекс. Собственная схема Тома II." title="Рисунок 3. Внутреннее определяющее ядро NAPG_q и минимальный комплекс. Собственная схема Тома II."/>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bookmarkStart w:id="937" w:name="h_345"/>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bookmarkEnd w:id="937"/>
    </w:p>
    <w:tbl>
      <w:tblPr>
        <w:tblW w:type="auto" w:w="0"/>
        <w:jc w:val="center"/>
        <w:tblLayout w:type="fixed"/>
        <w:tblLook w:firstColumn="1" w:firstRow="1" w:lastColumn="0" w:lastRow="0" w:noHBand="0" w:noVBand="1" w:val="04A0"/>
      </w:tblPr>
      <w:tblGrid>
        <w:gridCol w:w="4876"/>
        <w:gridCol w:w="4876"/>
      </w:tblGrid>
      <w:tr>
        <w:trPr>
          <w:cantSplit/>
          <w:tblHeader w:val="true"/>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descr="Рисунок 4. Двойная инвариантность структурного селектора. Собственная схема Тома II." title="Рисунок 4. Двойная инвариантность структурного селектора. Собственная схема Тома II."/>
            <wp:cNvGraphicFramePr>
              <a:graphicFrameLocks noChangeAspect="1"/>
            </wp:cNvGraphicFramePr>
            <a:graphic>
              <a:graphicData uri="http://schemas.openxmlformats.org/drawingml/2006/picture">
                <pic:pic>
                  <pic:nvPicPr>
                    <pic:cNvPr id="0" name="diag_double_inv_v02.png" descr="Рисунок 4. Двойная инвариантность структурного селектора. Собственная схема Тома II." title="Рисунок 4. Двойная инвариантность структурного селектора. Собственная схема Тома II."/>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bookmarkStart w:id="938" w:name="h_405"/>
      <w:pPr>
        <w:pStyle w:val="Heading1"/>
        <w:pageBreakBefore w:val="0"/>
        <w:widowControl/>
        <w:keepNext/>
      </w:pPr>
      <w:r>
        <w:rPr>
          <w:rFonts w:ascii="Liberation Sans" w:hAnsi="Liberation Sans" w:eastAsia="Liberation Sans"/>
          <w:b/>
          <w:color w:val="17365D"/>
          <w:sz w:val="36"/>
        </w:rPr>
        <w:t>13. Теоремный пакет v0.2</w:t>
      </w:r>
      <w:bookmarkEnd w:id="938"/>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bookmarkStart w:id="939" w:name="h_408"/>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bookmarkEnd w:id="939"/>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bookmarkStart w:id="2099" w:name="po_003"/>
            <w:pPr>
              <w:spacing w:before="0" w:after="0" w:line="240" w:lineRule="auto"/>
            </w:pPr>
            <w:r>
              <w:rPr>
                <w:rFonts w:ascii="Liberation Sans" w:hAnsi="Liberation Sans" w:eastAsia="Liberation Sans"/>
                <w:b/>
                <w:i w:val="0"/>
                <w:sz w:val="15"/>
              </w:rPr>
              <w:t>T2-PO-003</w:t>
            </w:r>
            <w:bookmarkEnd w:id="2099"/>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bookmarkStart w:id="2100" w:name="po_004"/>
            <w:pPr>
              <w:spacing w:before="0" w:after="0" w:line="240" w:lineRule="auto"/>
            </w:pPr>
            <w:r>
              <w:rPr>
                <w:rFonts w:ascii="Liberation Sans" w:hAnsi="Liberation Sans" w:eastAsia="Liberation Sans"/>
                <w:b/>
                <w:i w:val="0"/>
                <w:sz w:val="15"/>
              </w:rPr>
              <w:t>T2-PO-004</w:t>
            </w:r>
            <w:bookmarkEnd w:id="2100"/>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bookmarkStart w:id="2101" w:name="po_005"/>
            <w:pPr>
              <w:spacing w:before="0" w:after="0" w:line="240" w:lineRule="auto"/>
            </w:pPr>
            <w:r>
              <w:rPr>
                <w:rFonts w:ascii="Liberation Sans" w:hAnsi="Liberation Sans" w:eastAsia="Liberation Sans"/>
                <w:b/>
                <w:i w:val="0"/>
                <w:sz w:val="15"/>
              </w:rPr>
              <w:t>T2-PO-005</w:t>
            </w:r>
            <w:bookmarkEnd w:id="2101"/>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bookmarkStart w:id="2102" w:name="po_006"/>
            <w:pPr>
              <w:spacing w:before="0" w:after="0" w:line="240" w:lineRule="auto"/>
            </w:pPr>
            <w:r>
              <w:rPr>
                <w:rFonts w:ascii="Liberation Sans" w:hAnsi="Liberation Sans" w:eastAsia="Liberation Sans"/>
                <w:b/>
                <w:i w:val="0"/>
                <w:sz w:val="15"/>
              </w:rPr>
              <w:t>T2-PO-006</w:t>
            </w:r>
            <w:bookmarkEnd w:id="2102"/>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bookmarkStart w:id="2103" w:name="po_007"/>
            <w:pPr>
              <w:spacing w:before="0" w:after="0" w:line="240" w:lineRule="auto"/>
            </w:pPr>
            <w:r>
              <w:rPr>
                <w:rFonts w:ascii="Liberation Sans" w:hAnsi="Liberation Sans" w:eastAsia="Liberation Sans"/>
                <w:b/>
                <w:i w:val="0"/>
                <w:sz w:val="15"/>
              </w:rPr>
              <w:t>T2-PO-007</w:t>
            </w:r>
            <w:bookmarkEnd w:id="2103"/>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bookmarkStart w:id="2106" w:name="po_010"/>
            <w:pPr>
              <w:spacing w:before="0" w:after="0" w:line="240" w:lineRule="auto"/>
            </w:pPr>
            <w:r>
              <w:rPr>
                <w:rFonts w:ascii="Liberation Sans" w:hAnsi="Liberation Sans" w:eastAsia="Liberation Sans"/>
                <w:b/>
                <w:i w:val="0"/>
                <w:sz w:val="15"/>
              </w:rPr>
              <w:t>T2-PO-010</w:t>
            </w:r>
            <w:bookmarkEnd w:id="2106"/>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bookmarkStart w:id="940" w:name="h_410"/>
      <w:pPr>
        <w:pStyle w:val="Heading1"/>
        <w:pageBreakBefore w:val="0"/>
        <w:widowControl/>
        <w:keepNext/>
      </w:pPr>
      <w:r>
        <w:rPr>
          <w:rFonts w:ascii="Liberation Sans" w:hAnsi="Liberation Sans" w:eastAsia="Liberation Sans"/>
          <w:b/>
          <w:color w:val="17365D"/>
          <w:sz w:val="36"/>
        </w:rPr>
        <w:t>15. Карта зависимостей после v0.2</w:t>
      </w:r>
      <w:bookmarkEnd w:id="940"/>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bookmarkStart w:id="941" w:name="h_412"/>
      <w:pPr>
        <w:pStyle w:val="Heading1"/>
        <w:pageBreakBefore w:val="0"/>
        <w:widowControl/>
        <w:keepNext/>
      </w:pPr>
      <w:r>
        <w:rPr>
          <w:rFonts w:ascii="Liberation Sans" w:hAnsi="Liberation Sans" w:eastAsia="Liberation Sans"/>
          <w:b/>
          <w:color w:val="17365D"/>
          <w:sz w:val="36"/>
        </w:rPr>
        <w:t>16. Библиографическая синхронизация v0.2</w:t>
      </w:r>
      <w:bookmarkEnd w:id="941"/>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bookmarkStart w:id="942" w:name="h_421"/>
      <w:pPr>
        <w:pStyle w:val="Heading1"/>
        <w:pageBreakBefore w:val="0"/>
        <w:widowControl/>
        <w:keepNext/>
      </w:pPr>
      <w:r>
        <w:rPr>
          <w:rFonts w:ascii="Liberation Sans" w:hAnsi="Liberation Sans" w:eastAsia="Liberation Sans"/>
          <w:b/>
          <w:color w:val="17365D"/>
          <w:sz w:val="36"/>
        </w:rPr>
        <w:t>17. Контрольная точка T2-RP-v0.2</w:t>
      </w:r>
      <w:bookmarkEnd w:id="942"/>
    </w:p>
    <w:tbl>
      <w:tblPr>
        <w:tblW w:type="auto" w:w="0"/>
        <w:jc w:val="center"/>
        <w:tblLayout w:type="fixed"/>
        <w:tblLook w:firstColumn="1" w:firstRow="1" w:lastColumn="0" w:lastRow="0" w:noHBand="0" w:noVBand="1" w:val="04A0"/>
      </w:tblPr>
      <w:tblGrid>
        <w:gridCol w:w="9354"/>
      </w:tblGrid>
      <w:tr>
        <w:trPr>
          <w:tblHeader w:val="true"/>
          <w:cantSplit/>
        </w:trP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bookmarkStart w:id="943" w:name="h_425"/>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bookmarkEnd w:id="943"/>
    </w:p>
    <w:tbl>
      <w:tblPr>
        <w:tblW w:type="auto" w:w="0"/>
        <w:jc w:val="center"/>
        <w:tblLayout w:type="fixed"/>
        <w:tblLook w:firstColumn="1" w:firstRow="1" w:lastColumn="0" w:lastRow="0" w:noHBand="0" w:noVBand="1" w:val="04A0"/>
      </w:tblPr>
      <w:tblGrid>
        <w:gridCol w:w="9752"/>
      </w:tblGrid>
      <w:tr>
        <w:trPr>
          <w:tblHeader w:val="true"/>
          <w:cantSplit/>
        </w:trP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rPr>
          <w:tblHeader w:val="true"/>
          <w:cantSplit/>
        </w:trP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rPr>
          <w:cantSplit/>
        </w:trP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rPr>
          <w:cantSplit/>
        </w:trP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rPr>
          <w:cantSplit/>
        </w:trP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rPr>
          <w:cantSplit/>
        </w:trP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rPr>
          <w:cantSplit/>
        </w:trP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rPr>
          <w:cantSplit/>
        </w:trP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rPr>
          <w:cantSplit/>
        </w:trP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bookmarkStart w:id="944" w:name="h_430"/>
      <w:pPr>
        <w:pStyle w:val="Heading1"/>
        <w:widowControl/>
        <w:keepNext/>
      </w:pPr>
      <w:r>
        <w:rPr>
          <w:rFonts w:ascii="Liberation Sans" w:hAnsi="Liberation Sans" w:eastAsia="Liberation Sans"/>
          <w:b/>
          <w:color w:val="17365D"/>
          <w:sz w:val="36"/>
        </w:rPr>
        <w:t>19. Глава 5. Ассоциатор, R⋆R, ядра, центры и инварианты</w:t>
      </w:r>
      <w:bookmarkEnd w:id="944"/>
    </w:p>
    <w:tbl>
      <w:tblPr>
        <w:tblW w:type="auto" w:w="0"/>
        <w:jc w:val="center"/>
        <w:tblLayout w:type="fixed"/>
        <w:tblLook w:firstColumn="1" w:firstRow="1" w:lastColumn="0" w:lastRow="0" w:noHBand="0" w:noVBand="1" w:val="04A0"/>
      </w:tblPr>
      <w:tblGrid>
        <w:gridCol w:w="9752"/>
      </w:tblGrid>
      <w:tr>
        <w:trPr>
          <w:tblHeader w:val="true"/>
          <w:cantSplit/>
        </w:trP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bookmarkStart w:id="1354" w:name="s_DEF_5_1"/>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bookmarkEnd w:id="1354"/>
    </w:p>
    <w:p>
      <w:pPr>
        <w:widowControl/>
        <w:spacing w:before="80" w:after="120"/>
        <w:jc w:val="center"/>
      </w:pPr>
      <w:r>
        <w:rPr>
          <w:rFonts w:ascii="Cambria Math" w:hAnsi="Cambria Math" w:eastAsia="Cambria Math"/>
          <w:sz w:val="23"/>
        </w:rPr>
        <w:t>Dom_Ass = {(a,b,c): (a,b),(b,c),(a⊙b,c),(a,b⊙c) ∈ Dom_⊙}.</w:t>
      </w:r>
    </w:p>
    <w:p>
      <w:bookmarkStart w:id="1355" w:name="s_LEM_5_2"/>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bookmarkEnd w:id="1355"/>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bookmarkStart w:id="1356" w:name="s_DEF_5_3"/>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bookmarkEnd w:id="1356"/>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bookmarkStart w:id="1357" w:name="s_PROP_5_4"/>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bookmarkEnd w:id="1357"/>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bookmarkStart w:id="1358" w:name="s_DEF_5_5"/>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bookmarkEnd w:id="1358"/>
    </w:p>
    <w:tbl>
      <w:tblPr>
        <w:tblW w:type="auto" w:w="0"/>
        <w:jc w:val="center"/>
        <w:tblLayout w:type="fixed"/>
        <w:tblLook w:firstColumn="1" w:firstRow="1" w:lastColumn="0" w:lastRow="0" w:noHBand="0" w:noVBand="1" w:val="04A0"/>
      </w:tblPr>
      <w:tblGrid>
        <w:gridCol w:w="9752"/>
      </w:tblGrid>
      <w:tr>
        <w:trPr>
          <w:tblHeader w:val="true"/>
          <w:cantSplit/>
        </w:trP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bookmarkStart w:id="1359" w:name="s_DEF_5_6"/>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bookmarkEnd w:id="1359"/>
    </w:p>
    <w:p>
      <w:bookmarkStart w:id="1360" w:name="s_THM_5_7"/>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bookmarkEnd w:id="1360"/>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descr="Рисунок 5. Универсальное ассоциативное отражение. Собственная схема Тома II." title="Рисунок 5. Универсальное ассоциативное отражение. Собственная схема Тома II."/>
            <wp:cNvGraphicFramePr>
              <a:graphicFrameLocks noChangeAspect="1"/>
            </wp:cNvGraphicFramePr>
            <a:graphic>
              <a:graphicData uri="http://schemas.openxmlformats.org/drawingml/2006/picture">
                <pic:pic>
                  <pic:nvPicPr>
                    <pic:cNvPr id="0" name="reflection.png" descr="Рисунок 5. Универсальное ассоциативное отражение. Собственная схема Тома II." title="Рисунок 5. Универсальное ассоциативное отражение. Собственная схема Тома II."/>
                    <pic:cNvPicPr/>
                  </pic:nvPicPr>
                  <pic:blipFill>
                    <a:blip r:embed="rId21"/>
                    <a:stretch>
                      <a:fillRect/>
                    </a:stretch>
                  </pic:blipFill>
                  <pic:spPr>
                    <a:xfrm>
                      <a:off x="0" y="0"/>
                      <a:ext cx="5580000" cy="2424997"/>
                    </a:xfrm>
                    <a:prstGeom prst="rect"/>
                  </pic:spPr>
                </pic:pic>
              </a:graphicData>
            </a:graphic>
          </wp:inline>
        </w:drawing>
      </w:r>
    </w:p>
    <w:p>
      <w:pPr>
        <w:pStyle w:val="Caption"/>
        <w:keepNext/>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bookmarkStart w:id="1361" w:name="s_THM_5_8"/>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bookmarkEnd w:id="1361"/>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bookmarkStart w:id="1362" w:name="s_THM_5_9"/>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bookmarkEnd w:id="1362"/>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rPr>
          <w:tblHeader w:val="true"/>
          <w:cantSplit/>
        </w:trP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bookmarkStart w:id="1363" w:name="s_DEF_5_10"/>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bookmarkEnd w:id="1363"/>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bookmarkStart w:id="1364" w:name="s_DEF_5_11"/>
      <w:pPr>
        <w:widowControl/>
      </w:pPr>
      <w:r>
        <w:rPr>
          <w:b/>
          <w:color w:val="1B3F60"/>
        </w:rPr>
        <w:t xml:space="preserve">Определение 5.11 (DEF-A). Чередующаяся компонента. </w:t>
      </w:r>
      <w:r>
        <w:t>При char 𝕂≠2,3 полагаем Alt(T)=(1/6)Σ_{σ∈S₃}sgn(σ)·T∘σ.</w:t>
      </w:r>
      <w:bookmarkEnd w:id="1364"/>
    </w:p>
    <w:p>
      <w:bookmarkStart w:id="1365" w:name="s_THM_5_12"/>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bookmarkEnd w:id="1365"/>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bookmarkStart w:id="1366" w:name="s_DEF_5_13"/>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bookmarkEnd w:id="1366"/>
    </w:p>
    <w:p>
      <w:pPr>
        <w:widowControl/>
        <w:jc w:val="center"/>
      </w:pPr>
      <w:r>
        <w:drawing>
          <wp:inline xmlns:a="http://schemas.openxmlformats.org/drawingml/2006/main" xmlns:pic="http://schemas.openxmlformats.org/drawingml/2006/picture">
            <wp:extent cx="5580000" cy="2873026"/>
            <wp:docPr id="10" name="Picture 10" descr="Рисунок 6. Полный R⋆R-сертификат: квадратичные каналы и чередующаяся компонента. Собственная схема Тома II." title="Рисунок 6. Полный R⋆R-сертификат: квадратичные каналы и чередующаяся компонента. Собственная схема Тома II."/>
            <wp:cNvGraphicFramePr>
              <a:graphicFrameLocks noChangeAspect="1"/>
            </wp:cNvGraphicFramePr>
            <a:graphic>
              <a:graphicData uri="http://schemas.openxmlformats.org/drawingml/2006/picture">
                <pic:pic>
                  <pic:nvPicPr>
                    <pic:cNvPr id="0" name="encoding.png" descr="Рисунок 6. Полный R⋆R-сертификат: квадратичные каналы и чередующаяся компонента. Собственная схема Тома II." title="Рисунок 6. Полный R⋆R-сертификат: квадратичные каналы и чередующаяся компонента. Собственная схема Тома II."/>
                    <pic:cNvPicPr/>
                  </pic:nvPicPr>
                  <pic:blipFill>
                    <a:blip r:embed="rId22"/>
                    <a:stretch>
                      <a:fillRect/>
                    </a:stretch>
                  </pic:blipFill>
                  <pic:spPr>
                    <a:xfrm>
                      <a:off x="0" y="0"/>
                      <a:ext cx="5580000" cy="2873026"/>
                    </a:xfrm>
                    <a:prstGeom prst="rect"/>
                  </pic:spPr>
                </pic:pic>
              </a:graphicData>
            </a:graphic>
          </wp:inline>
        </w:drawing>
      </w:r>
    </w:p>
    <w:p>
      <w:pPr>
        <w:pStyle w:val="Caption"/>
        <w:keepNext/>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rPr>
          <w:cantSplit/>
        </w:trP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rPr>
          <w:cantSplit/>
        </w:trP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bookmarkStart w:id="1367" w:name="s_PROP_5_14"/>
      <w:pPr>
        <w:keepNext/>
        <w:widowControl/>
      </w:pPr>
      <w:r>
        <w:rPr>
          <w:b/>
          <w:color w:val="1B3F60"/>
        </w:rPr>
        <w:t xml:space="preserve">Предложение 5.14 (THM). Профиль модели A₂. </w:t>
      </w:r>
      <w:r>
        <w:t>Для 𝒜₂ имеем N_l=𝕂u, N_m=0, N_r=0, N=0, Z=0 и J_Ass=𝒜₂.</w:t>
      </w:r>
      <w:bookmarkEnd w:id="1367"/>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cantSplit/>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rPr>
          <w:cantSplit/>
        </w:trP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rPr>
          <w:cantSplit/>
        </w:trP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rPr>
          <w:cantSplit/>
        </w:trP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bookmarkStart w:id="1368" w:name="s_DEF_5_15"/>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bookmarkEnd w:id="1368"/>
    </w:p>
    <w:p>
      <w:bookmarkStart w:id="1369" w:name="s_THM_5_16"/>
      <w:pPr>
        <w:keepNext/>
        <w:widowControl/>
      </w:pPr>
      <w:r>
        <w:rPr>
          <w:b/>
          <w:color w:val="1B3F60"/>
        </w:rPr>
        <w:t xml:space="preserve">Теорема 5.16 (THM). Изоморфная инвариантность профиля. </w:t>
      </w:r>
      <w:r>
        <w:t>Если Φ:𝒜→ℬ — изоморфизм алгебр, то Prof_Ass(𝒜)=Prof_Ass(ℬ).</w:t>
      </w:r>
      <w:bookmarkEnd w:id="1369"/>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bookmarkStart w:id="1370" w:name="s_DEF_5_17"/>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bookmarkEnd w:id="1370"/>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rPr>
          <w:tblHeader w:val="true"/>
          <w:cantSplit/>
        </w:trP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bookmarkStart w:id="1371" w:name="s_DEF_5_18"/>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bookmarkEnd w:id="1371"/>
    </w:p>
    <w:p>
      <w:bookmarkStart w:id="1372" w:name="s_DEF_5_19"/>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bookmarkEnd w:id="1372"/>
    </w:p>
    <w:p>
      <w:bookmarkStart w:id="1373" w:name="s_THM_5_20"/>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bookmarkEnd w:id="1373"/>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bookmarkStart w:id="1374" w:name="s_COR_5_21"/>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bookmarkEnd w:id="1374"/>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descr="Рисунок 7. Детерминантный горизонт возможных структурных переходов. Собственная схема Тома II." title="Рисунок 7. Детерминантный горизонт возможных структурных переходов. Собственная схема Тома II."/>
            <wp:cNvGraphicFramePr>
              <a:graphicFrameLocks noChangeAspect="1"/>
            </wp:cNvGraphicFramePr>
            <a:graphic>
              <a:graphicData uri="http://schemas.openxmlformats.org/drawingml/2006/picture">
                <pic:pic>
                  <pic:nvPicPr>
                    <pic:cNvPr id="0" name="horizon.png" descr="Рисунок 7. Детерминантный горизонт возможных структурных переходов. Собственная схема Тома II." title="Рисунок 7. Детерминантный горизонт возможных структурных переходов. Собственная схема Тома II."/>
                    <pic:cNvPicPr/>
                  </pic:nvPicPr>
                  <pic:blipFill>
                    <a:blip r:embed="rId23"/>
                    <a:stretch>
                      <a:fillRect/>
                    </a:stretch>
                  </pic:blipFill>
                  <pic:spPr>
                    <a:xfrm>
                      <a:off x="0" y="0"/>
                      <a:ext cx="5580000" cy="2604897"/>
                    </a:xfrm>
                    <a:prstGeom prst="rect"/>
                  </pic:spPr>
                </pic:pic>
              </a:graphicData>
            </a:graphic>
          </wp:inline>
        </w:drawing>
      </w:r>
    </w:p>
    <w:p>
      <w:pPr>
        <w:pStyle w:val="Caption"/>
        <w:keepNext/>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bookmarkStart w:id="1375" w:name="s_DEF_5_22"/>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bookmarkEnd w:id="1375"/>
    </w:p>
    <w:p>
      <w:bookmarkStart w:id="1376" w:name="s_DEF_5_23"/>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bookmarkEnd w:id="1376"/>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rPr>
          <w:cantSplit/>
        </w:trP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rPr>
          <w:cantSplit/>
        </w:trP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rPr>
          <w:cantSplit/>
        </w:trP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rPr>
          <w:cantSplit/>
        </w:trP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bookmarkStart w:id="1377" w:name="s_THM_5_24"/>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bookmarkEnd w:id="1377"/>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rPr>
          <w:tblHeader w:val="true"/>
          <w:cantSplit/>
        </w:trP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rPr>
          <w:cantSplit/>
        </w:trP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rPr>
          <w:cantSplit/>
        </w:trP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rPr>
          <w:cantSplit/>
        </w:trP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rPr>
          <w:cantSplit/>
        </w:trP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rPr>
          <w:cantSplit/>
        </w:trP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rPr>
          <w:cantSplit/>
        </w:trP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rPr>
          <w:cantSplit/>
        </w:trP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bookmarkStart w:id="1378" w:name="s_PROP_5_25"/>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bookmarkEnd w:id="1378"/>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bookmarkStart w:id="945" w:name="h_510"/>
      <w:pPr>
        <w:pStyle w:val="Heading1"/>
        <w:widowControl/>
        <w:keepNext/>
      </w:pPr>
      <w:r>
        <w:rPr>
          <w:rFonts w:ascii="Liberation Sans" w:hAnsi="Liberation Sans" w:eastAsia="Liberation Sans"/>
          <w:b/>
          <w:color w:val="17365D"/>
          <w:sz w:val="36"/>
        </w:rPr>
        <w:t>20. Теоремный пакет v0.3</w:t>
      </w:r>
      <w:bookmarkEnd w:id="945"/>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rPr>
          <w:cantSplit/>
        </w:trP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rPr>
          <w:cantSplit/>
        </w:trP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rPr>
          <w:cantSplit/>
        </w:trP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rPr>
          <w:cantSplit/>
        </w:trP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rPr>
          <w:cantSplit/>
        </w:trP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rPr>
          <w:cantSplit/>
        </w:trP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rPr>
          <w:cantSplit/>
        </w:trP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bookmarkStart w:id="946" w:name="h_512"/>
      <w:pPr>
        <w:pStyle w:val="Heading1"/>
        <w:widowControl/>
        <w:keepNext/>
      </w:pPr>
      <w:r>
        <w:rPr>
          <w:rFonts w:ascii="Liberation Sans" w:hAnsi="Liberation Sans" w:eastAsia="Liberation Sans"/>
          <w:b/>
          <w:color w:val="17365D"/>
          <w:sz w:val="36"/>
        </w:rPr>
        <w:t>21. Обновление матрицы доказательных обязательств</w:t>
      </w:r>
      <w:bookmarkEnd w:id="946"/>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rPr>
          <w:cantSplit/>
        </w:trPr>
        <w:tc>
          <w:tcPr>
            <w:tcW w:type="dxa" w:w="1134"/>
            <w:tcMar>
              <w:top w:w="90" w:type="dxa"/>
              <w:start w:w="100" w:type="dxa"/>
              <w:bottom w:w="90" w:type="dxa"/>
              <w:end w:w="100" w:type="dxa"/>
            </w:tcMar>
            <w:vAlign w:val="center"/>
          </w:tcPr>
          <w:p>
            <w:bookmarkStart w:id="2105" w:name="po_009"/>
            <w:pPr>
              <w:spacing w:after="0"/>
              <w:jc w:val="center"/>
            </w:pPr>
            <w:r>
              <w:rPr>
                <w:sz w:val="16"/>
              </w:rPr>
              <w:t>T2-PO-009</w:t>
            </w:r>
            <w:bookmarkEnd w:id="2105"/>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rPr>
          <w:cantSplit/>
        </w:trPr>
        <w:tc>
          <w:tcPr>
            <w:tcW w:type="dxa" w:w="1134"/>
            <w:tcMar>
              <w:top w:w="90" w:type="dxa"/>
              <w:start w:w="100" w:type="dxa"/>
              <w:bottom w:w="90" w:type="dxa"/>
              <w:end w:w="100" w:type="dxa"/>
            </w:tcMar>
            <w:vAlign w:val="center"/>
          </w:tcPr>
          <w:p>
            <w:bookmarkStart w:id="2107" w:name="po_011"/>
            <w:pPr>
              <w:spacing w:after="0"/>
              <w:jc w:val="center"/>
            </w:pPr>
            <w:r>
              <w:rPr>
                <w:sz w:val="16"/>
              </w:rPr>
              <w:t>T2-PO-011</w:t>
            </w:r>
            <w:bookmarkEnd w:id="2107"/>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rPr>
          <w:cantSplit/>
        </w:trPr>
        <w:tc>
          <w:tcPr>
            <w:tcW w:type="dxa" w:w="1134"/>
            <w:tcMar>
              <w:top w:w="90" w:type="dxa"/>
              <w:start w:w="100" w:type="dxa"/>
              <w:bottom w:w="90" w:type="dxa"/>
              <w:end w:w="100" w:type="dxa"/>
            </w:tcMar>
            <w:vAlign w:val="center"/>
          </w:tcPr>
          <w:p>
            <w:bookmarkStart w:id="2108" w:name="po_012"/>
            <w:pPr>
              <w:spacing w:after="0"/>
              <w:jc w:val="center"/>
            </w:pPr>
            <w:r>
              <w:rPr>
                <w:sz w:val="16"/>
              </w:rPr>
              <w:t>T2-PO-012</w:t>
            </w:r>
            <w:bookmarkEnd w:id="2108"/>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rPr>
          <w:cantSplit/>
        </w:trPr>
        <w:tc>
          <w:tcPr>
            <w:tcW w:type="dxa" w:w="1134"/>
            <w:tcMar>
              <w:top w:w="90" w:type="dxa"/>
              <w:start w:w="100" w:type="dxa"/>
              <w:bottom w:w="90" w:type="dxa"/>
              <w:end w:w="100" w:type="dxa"/>
            </w:tcMar>
            <w:vAlign w:val="center"/>
          </w:tcPr>
          <w:p>
            <w:bookmarkStart w:id="2109" w:name="po_013"/>
            <w:pPr>
              <w:spacing w:after="0"/>
              <w:jc w:val="center"/>
            </w:pPr>
            <w:r>
              <w:rPr>
                <w:sz w:val="16"/>
              </w:rPr>
              <w:t>T2-PO-013</w:t>
            </w:r>
            <w:bookmarkEnd w:id="2109"/>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rPr>
          <w:cantSplit/>
        </w:trPr>
        <w:tc>
          <w:tcPr>
            <w:tcW w:type="dxa" w:w="1134"/>
            <w:tcMar>
              <w:top w:w="90" w:type="dxa"/>
              <w:start w:w="100" w:type="dxa"/>
              <w:bottom w:w="90" w:type="dxa"/>
              <w:end w:w="100" w:type="dxa"/>
            </w:tcMar>
            <w:vAlign w:val="center"/>
          </w:tcPr>
          <w:p>
            <w:bookmarkStart w:id="2110" w:name="po_014"/>
            <w:pPr>
              <w:spacing w:after="0"/>
              <w:jc w:val="center"/>
            </w:pPr>
            <w:r>
              <w:rPr>
                <w:sz w:val="16"/>
              </w:rPr>
              <w:t>T2-PO-014</w:t>
            </w:r>
            <w:bookmarkEnd w:id="2110"/>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rPr>
          <w:cantSplit/>
        </w:trPr>
        <w:tc>
          <w:tcPr>
            <w:tcW w:type="dxa" w:w="1134"/>
            <w:tcMar>
              <w:top w:w="90" w:type="dxa"/>
              <w:start w:w="100" w:type="dxa"/>
              <w:bottom w:w="90" w:type="dxa"/>
              <w:end w:w="100" w:type="dxa"/>
            </w:tcMar>
            <w:vAlign w:val="center"/>
          </w:tcPr>
          <w:p>
            <w:bookmarkStart w:id="2111" w:name="po_015"/>
            <w:pPr>
              <w:spacing w:after="0"/>
              <w:jc w:val="center"/>
            </w:pPr>
            <w:r>
              <w:rPr>
                <w:sz w:val="16"/>
              </w:rPr>
              <w:t>T2-PO-015</w:t>
            </w:r>
            <w:bookmarkEnd w:id="2111"/>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rPr>
          <w:cantSplit/>
        </w:trP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rPr>
          <w:cantSplit/>
        </w:trP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bookmarkStart w:id="947" w:name="h_514"/>
      <w:pPr>
        <w:pStyle w:val="Heading1"/>
        <w:widowControl/>
        <w:keepNext/>
      </w:pPr>
      <w:r>
        <w:rPr>
          <w:rFonts w:ascii="Liberation Sans" w:hAnsi="Liberation Sans" w:eastAsia="Liberation Sans"/>
          <w:b/>
          <w:color w:val="17365D"/>
          <w:sz w:val="36"/>
        </w:rPr>
        <w:t>22. Библиографическая синхронизация v0.3</w:t>
      </w:r>
      <w:bookmarkEnd w:id="947"/>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bookmarkStart w:id="948" w:name="h_522"/>
      <w:pPr>
        <w:pStyle w:val="Heading1"/>
        <w:widowControl/>
        <w:keepNext/>
      </w:pPr>
      <w:r>
        <w:rPr>
          <w:rFonts w:ascii="Liberation Sans" w:hAnsi="Liberation Sans" w:eastAsia="Liberation Sans"/>
          <w:b/>
          <w:color w:val="17365D"/>
          <w:sz w:val="36"/>
        </w:rPr>
        <w:t>23. Контрольная точка T2-RP-v0.3</w:t>
      </w:r>
      <w:bookmarkEnd w:id="948"/>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rPr>
          <w:cantSplit/>
        </w:trP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rPr>
          <w:cantSplit/>
        </w:trP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rPr>
          <w:cantSplit/>
        </w:trP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rPr>
          <w:cantSplit/>
        </w:trP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rPr>
          <w:cantSplit/>
        </w:trP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rPr>
          <w:cantSplit/>
        </w:trP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rPr>
          <w:cantSplit/>
        </w:trP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rPr>
          <w:cantSplit/>
        </w:trP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rPr>
          <w:tblHeader w:val="true"/>
          <w:cantSplit/>
        </w:trP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bookmarkStart w:id="949" w:name="h_528"/>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bookmarkEnd w:id="949"/>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rPr>
          <w:tblHeader w:val="true"/>
          <w:cantSplit/>
        </w:trP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cantSplit/>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rPr>
          <w:cantSplit/>
        </w:trP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rPr>
          <w:cantSplit/>
        </w:trP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rPr>
          <w:cantSplit/>
        </w:trP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rPr>
          <w:cantSplit/>
        </w:trP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bookmarkStart w:id="950" w:name="h_534"/>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bookmarkEnd w:id="950"/>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cantSplit/>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rPr>
          <w:cantSplit/>
        </w:trP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rPr>
          <w:cantSplit/>
        </w:trP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rPr>
          <w:cantSplit/>
        </w:trP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rPr>
          <w:cantSplit/>
        </w:trP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bookmarkStart w:id="1379" w:name="s_DEF_6_1"/>
      <w:pPr>
        <w:spacing w:after="60"/>
      </w:pPr>
      <w:r>
        <w:rPr>
          <w:rFonts w:ascii="Liberation Sans" w:hAnsi="Liberation Sans" w:eastAsia="Liberation Sans"/>
          <w:b/>
          <w:color w:val="2F5597"/>
          <w:sz w:val="19"/>
        </w:rPr>
        <w:t>Определение 6.1. Представимая двойственность [DEF-A]</w:t>
      </w:r>
      <w:bookmarkEnd w:id="1379"/>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bookmarkStart w:id="1380" w:name="s_DEF_6_2"/>
      <w:pPr>
        <w:spacing w:after="60"/>
      </w:pPr>
      <w:r>
        <w:rPr>
          <w:rFonts w:ascii="Liberation Sans" w:hAnsi="Liberation Sans" w:eastAsia="Liberation Sans"/>
          <w:b/>
          <w:color w:val="2F5597"/>
          <w:sz w:val="19"/>
        </w:rPr>
        <w:t>Определение 6.2. Пространственная двойственность [DEF-A]</w:t>
      </w:r>
      <w:bookmarkEnd w:id="1380"/>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rPr>
          <w:tblHeader w:val="true"/>
          <w:cantSplit/>
        </w:trP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rPr>
          <w:cantSplit/>
        </w:trP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rPr>
          <w:cantSplit/>
        </w:trP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rPr>
          <w:cantSplit/>
        </w:trP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rPr>
          <w:cantSplit/>
        </w:trP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bookmarkStart w:id="951" w:name="h_548"/>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bookmarkEnd w:id="951"/>
    </w:p>
    <w:p>
      <w:pPr>
        <w:pStyle w:val="Heading2"/>
        <w:spacing w:before="140" w:after="100"/>
        <w:keepNext/>
      </w:pPr>
      <w:r>
        <w:rPr>
          <w:rFonts w:ascii="Liberation Sans" w:hAnsi="Liberation Sans" w:eastAsia="Liberation Sans"/>
          <w:b/>
          <w:color w:val="2F5597"/>
          <w:sz w:val="26"/>
        </w:rPr>
        <w:t>26.1. Теорема полной точности</w:t>
      </w:r>
    </w:p>
    <w:p>
      <w:bookmarkStart w:id="1381" w:name="s_THM_6_3"/>
      <w:pPr>
        <w:spacing w:after="60"/>
      </w:pPr>
      <w:r>
        <w:rPr>
          <w:rFonts w:ascii="Liberation Sans" w:hAnsi="Liberation Sans" w:eastAsia="Liberation Sans"/>
          <w:b/>
          <w:color w:val="2E6B57"/>
          <w:sz w:val="19"/>
        </w:rPr>
        <w:t>Теорема 6.3. Yoneda-safe anti-equivalence [THM]</w:t>
      </w:r>
      <w:bookmarkEnd w:id="1381"/>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descr="Рисунок 8. Безопасная представимая двойственность Йонеды для NAPG_q. Собственная схема Тома II." title="Рисунок 8. Безопасная представимая двойственность Йонеды для NAPG_q. Собственная схема Тома II."/>
            <wp:cNvGraphicFramePr>
              <a:graphicFrameLocks noChangeAspect="1"/>
            </wp:cNvGraphicFramePr>
            <a:graphic>
              <a:graphicData uri="http://schemas.openxmlformats.org/drawingml/2006/picture">
                <pic:pic>
                  <pic:nvPicPr>
                    <pic:cNvPr id="0" name="yoneda_v04.png" descr="Рисунок 8. Безопасная представимая двойственность Йонеды для NAPG_q. Собственная схема Тома II." title="Рисунок 8. Безопасная представимая двойственность Йонеды для NAPG_q. Собственная схема Тома II."/>
                    <pic:cNvPicPr/>
                  </pic:nvPicPr>
                  <pic:blipFill>
                    <a:blip r:embed="rId24"/>
                    <a:stretch>
                      <a:fillRect/>
                    </a:stretch>
                  </pic:blipFill>
                  <pic:spPr>
                    <a:xfrm>
                      <a:off x="0" y="0"/>
                      <a:ext cx="6217920" cy="2864902"/>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bookmarkStart w:id="1382" w:name="s_DEF_6_4"/>
      <w:pPr>
        <w:spacing w:after="60"/>
      </w:pPr>
      <w:r>
        <w:rPr>
          <w:rFonts w:ascii="Liberation Sans" w:hAnsi="Liberation Sans" w:eastAsia="Liberation Sans"/>
          <w:b/>
          <w:color w:val="2F5597"/>
          <w:sz w:val="19"/>
        </w:rPr>
        <w:t>Определение 6.4. Reper_T(A) [DEF-A]</w:t>
      </w:r>
      <w:bookmarkEnd w:id="1382"/>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bookmarkStart w:id="1383" w:name="s_PROP_6_5"/>
      <w:pPr>
        <w:spacing w:after="60"/>
      </w:pPr>
      <w:r>
        <w:rPr>
          <w:rFonts w:ascii="Liberation Sans" w:hAnsi="Liberation Sans" w:eastAsia="Liberation Sans"/>
          <w:b/>
          <w:color w:val="2E6B57"/>
          <w:sz w:val="19"/>
        </w:rPr>
        <w:t>Предложение 6.5. Функториальность Reper-конфигураций [THM]</w:t>
      </w:r>
      <w:bookmarkEnd w:id="1383"/>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bookmarkStart w:id="1384" w:name="s_COR_6_6"/>
      <w:pPr>
        <w:spacing w:after="60"/>
      </w:pPr>
      <w:r>
        <w:rPr>
          <w:rFonts w:ascii="Liberation Sans" w:hAnsi="Liberation Sans" w:eastAsia="Liberation Sans"/>
          <w:b/>
          <w:color w:val="2E6B57"/>
          <w:sz w:val="19"/>
        </w:rPr>
        <w:t>Следствие 6.6. Изоморфная инвариантность [THM]</w:t>
      </w:r>
      <w:bookmarkEnd w:id="1384"/>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bookmarkStart w:id="952" w:name="h_566"/>
      <w:pPr>
        <w:pStyle w:val="Heading1"/>
        <w:spacing w:before="200" w:after="100"/>
        <w:keepNext/>
      </w:pPr>
      <w:r>
        <w:rPr>
          <w:rFonts w:ascii="Liberation Sans" w:hAnsi="Liberation Sans" w:eastAsia="Liberation Sans"/>
          <w:b/>
          <w:color w:val="17365D"/>
          <w:sz w:val="36"/>
        </w:rPr>
        <w:t>27. Условная пара Spec_R / Gamma_R</w:t>
      </w:r>
      <w:bookmarkEnd w:id="952"/>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bookmarkStart w:id="1385" w:name="s_HYP_6_7"/>
      <w:pPr>
        <w:spacing w:after="60"/>
      </w:pPr>
      <w:r>
        <w:rPr>
          <w:rFonts w:ascii="Liberation Sans" w:hAnsi="Liberation Sans" w:eastAsia="Liberation Sans"/>
          <w:b/>
          <w:color w:val="9C2F2F"/>
          <w:sz w:val="19"/>
        </w:rPr>
        <w:t>Гипотеза 6.7. Пространственная реализация [COND]</w:t>
      </w:r>
      <w:bookmarkEnd w:id="1385"/>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descr="Рисунок 9. Условная пара Spec_R/Gamma_R и карты реконструкции. Собственная схема Тома II." title="Рисунок 9. Условная пара Spec_R/Gamma_R и карты реконструкции. Собственная схема Тома II."/>
            <wp:cNvGraphicFramePr>
              <a:graphicFrameLocks noChangeAspect="1"/>
            </wp:cNvGraphicFramePr>
            <a:graphic>
              <a:graphicData uri="http://schemas.openxmlformats.org/drawingml/2006/picture">
                <pic:pic>
                  <pic:nvPicPr>
                    <pic:cNvPr id="0" name="adj_v04.png" descr="Рисунок 9. Условная пара Spec_R/Gamma_R и карты реконструкции. Собственная схема Тома II." title="Рисунок 9. Условная пара Spec_R/Gamma_R и карты реконструкции. Собственная схема Тома II."/>
                    <pic:cNvPicPr/>
                  </pic:nvPicPr>
                  <pic:blipFill>
                    <a:blip r:embed="rId25"/>
                    <a:stretch>
                      <a:fillRect/>
                    </a:stretch>
                  </pic:blipFill>
                  <pic:spPr>
                    <a:xfrm>
                      <a:off x="0" y="0"/>
                      <a:ext cx="6217920" cy="3170133"/>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bookmarkStart w:id="1386" w:name="s_DEF_6_8"/>
      <w:pPr>
        <w:spacing w:after="60"/>
      </w:pPr>
      <w:r>
        <w:rPr>
          <w:rFonts w:ascii="Liberation Sans" w:hAnsi="Liberation Sans" w:eastAsia="Liberation Sans"/>
          <w:b/>
          <w:color w:val="2F5597"/>
          <w:sz w:val="19"/>
        </w:rPr>
        <w:t>Определение 6.8. Алгебраический дефект [DEF-A]</w:t>
      </w:r>
      <w:bookmarkEnd w:id="1386"/>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bookmarkStart w:id="1387" w:name="s_DEF_6_9"/>
      <w:pPr>
        <w:spacing w:after="60"/>
      </w:pPr>
      <w:r>
        <w:rPr>
          <w:rFonts w:ascii="Liberation Sans" w:hAnsi="Liberation Sans" w:eastAsia="Liberation Sans"/>
          <w:b/>
          <w:color w:val="2F5597"/>
          <w:sz w:val="19"/>
        </w:rPr>
        <w:t>Определение 6.9. Геометрический дефект [DEF-A]</w:t>
      </w:r>
      <w:bookmarkEnd w:id="1387"/>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bookmarkStart w:id="1388" w:name="s_THM_6_10"/>
      <w:pPr>
        <w:spacing w:after="60"/>
      </w:pPr>
      <w:r>
        <w:rPr>
          <w:rFonts w:ascii="Liberation Sans" w:hAnsi="Liberation Sans" w:eastAsia="Liberation Sans"/>
          <w:b/>
          <w:color w:val="2E6B57"/>
          <w:sz w:val="19"/>
        </w:rPr>
        <w:t>Теорема 6.10. Restricted reconstruction theorem [THM при гипотезе 6.7]</w:t>
      </w:r>
      <w:bookmarkEnd w:id="1388"/>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bookmarkStart w:id="1389" w:name="s_COR_6_11"/>
      <w:pPr>
        <w:spacing w:after="60"/>
      </w:pPr>
      <w:r>
        <w:rPr>
          <w:rFonts w:ascii="Liberation Sans" w:hAnsi="Liberation Sans" w:eastAsia="Liberation Sans"/>
          <w:b/>
          <w:color w:val="2E6B57"/>
          <w:sz w:val="19"/>
        </w:rPr>
        <w:t>Следствие 6.11. Сохранение изоморфных инвариантов [THM при гипотезе 6.7]</w:t>
      </w:r>
      <w:bookmarkEnd w:id="1389"/>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bookmarkStart w:id="953" w:name="h_594"/>
      <w:pPr>
        <w:pStyle w:val="Heading1"/>
        <w:spacing w:before="200" w:after="100"/>
        <w:keepNext/>
      </w:pPr>
      <w:r>
        <w:rPr>
          <w:rFonts w:ascii="Liberation Sans" w:hAnsi="Liberation Sans" w:eastAsia="Liberation Sans"/>
          <w:b/>
          <w:color w:val="17365D"/>
          <w:sz w:val="36"/>
        </w:rPr>
        <w:t>28. Контртеоремы к ложной двойственности</w:t>
      </w:r>
      <w:bookmarkEnd w:id="953"/>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bookmarkStart w:id="1390" w:name="s_THM_6_12"/>
      <w:pPr>
        <w:spacing w:after="60"/>
      </w:pPr>
      <w:r>
        <w:rPr>
          <w:rFonts w:ascii="Liberation Sans" w:hAnsi="Liberation Sans" w:eastAsia="Liberation Sans"/>
          <w:b/>
          <w:color w:val="2E6B57"/>
          <w:sz w:val="19"/>
        </w:rPr>
        <w:t>Теорема 6.12. Character-spectrum no-go [THM]</w:t>
      </w:r>
      <w:bookmarkEnd w:id="1390"/>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bookmarkStart w:id="1391" w:name="s_PROP_6_14"/>
      <w:pPr>
        <w:spacing w:after="60"/>
      </w:pPr>
      <w:r>
        <w:rPr>
          <w:rFonts w:ascii="Liberation Sans" w:hAnsi="Liberation Sans" w:eastAsia="Liberation Sans"/>
          <w:b/>
          <w:color w:val="2E6B57"/>
          <w:sz w:val="19"/>
        </w:rPr>
        <w:t>Предложение 6.14. No-dynamics principle [THM]</w:t>
      </w:r>
      <w:bookmarkEnd w:id="1391"/>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bookmarkStart w:id="954" w:name="h_613"/>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bookmarkEnd w:id="954"/>
    </w:p>
    <w:p>
      <w:pPr>
        <w:pStyle w:val="Heading2"/>
        <w:spacing w:before="140" w:after="100"/>
        <w:keepNext/>
      </w:pPr>
      <w:r>
        <w:rPr>
          <w:rFonts w:ascii="Liberation Sans" w:hAnsi="Liberation Sans" w:eastAsia="Liberation Sans"/>
          <w:b/>
          <w:color w:val="2F5597"/>
          <w:sz w:val="26"/>
        </w:rPr>
        <w:t>29.1. Определение атласа</w:t>
      </w:r>
    </w:p>
    <w:p>
      <w:bookmarkStart w:id="1392" w:name="s_DEF_6_15"/>
      <w:pPr>
        <w:spacing w:after="60"/>
      </w:pPr>
      <w:r>
        <w:rPr>
          <w:rFonts w:ascii="Liberation Sans" w:hAnsi="Liberation Sans" w:eastAsia="Liberation Sans"/>
          <w:b/>
          <w:color w:val="2F5597"/>
          <w:sz w:val="19"/>
        </w:rPr>
        <w:t>Определение 6.15. Projective Reper atlas [DEF-A]</w:t>
      </w:r>
      <w:bookmarkEnd w:id="1392"/>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bookmarkStart w:id="1393" w:name="s_THM_6_16"/>
      <w:pPr>
        <w:spacing w:after="60"/>
      </w:pPr>
      <w:r>
        <w:rPr>
          <w:rFonts w:ascii="Liberation Sans" w:hAnsi="Liberation Sans" w:eastAsia="Liberation Sans"/>
          <w:b/>
          <w:color w:val="2E6B57"/>
          <w:sz w:val="19"/>
        </w:rPr>
        <w:t>Теорема 6.16. Глобализация lambda [THM]</w:t>
      </w:r>
      <w:bookmarkEnd w:id="1393"/>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bookmarkStart w:id="1394" w:name="s_COR_6_17"/>
      <w:pPr>
        <w:spacing w:after="60"/>
      </w:pPr>
      <w:r>
        <w:rPr>
          <w:rFonts w:ascii="Liberation Sans" w:hAnsi="Liberation Sans" w:eastAsia="Liberation Sans"/>
          <w:b/>
          <w:color w:val="2E6B57"/>
          <w:sz w:val="19"/>
        </w:rPr>
        <w:t>Следствие 6.17. Глобальность harmonic locus [THM]</w:t>
      </w:r>
      <w:bookmarkEnd w:id="1394"/>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bookmarkStart w:id="1395" w:name="s_DEF_6_18"/>
      <w:pPr>
        <w:spacing w:after="60"/>
      </w:pPr>
      <w:r>
        <w:rPr>
          <w:rFonts w:ascii="Liberation Sans" w:hAnsi="Liberation Sans" w:eastAsia="Liberation Sans"/>
          <w:b/>
          <w:color w:val="2F5597"/>
          <w:sz w:val="19"/>
        </w:rPr>
        <w:t>Определение 6.18. Projective Reper morphism [DEF-A]</w:t>
      </w:r>
      <w:bookmarkEnd w:id="1395"/>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bookmarkStart w:id="1396" w:name="s_THM_6_19"/>
      <w:pPr>
        <w:spacing w:after="60"/>
      </w:pPr>
      <w:r>
        <w:rPr>
          <w:rFonts w:ascii="Liberation Sans" w:hAnsi="Liberation Sans" w:eastAsia="Liberation Sans"/>
          <w:b/>
          <w:color w:val="2E6B57"/>
          <w:sz w:val="19"/>
        </w:rPr>
        <w:t>Теорема 6.19. Инвариантность harmonic locus [THM]</w:t>
      </w:r>
      <w:bookmarkEnd w:id="1396"/>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bookmarkStart w:id="955" w:name="h_629"/>
      <w:pPr>
        <w:pStyle w:val="Heading1"/>
        <w:spacing w:before="200" w:after="100"/>
        <w:keepNext/>
      </w:pPr>
      <w:r>
        <w:rPr>
          <w:rFonts w:ascii="Liberation Sans" w:hAnsi="Liberation Sans" w:eastAsia="Liberation Sans"/>
          <w:b/>
          <w:color w:val="17365D"/>
          <w:sz w:val="36"/>
        </w:rPr>
        <w:t>30. Двойной детерминантный горизонт</w:t>
      </w:r>
      <w:bookmarkEnd w:id="955"/>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bookmarkStart w:id="1397" w:name="s_HYP_6_20"/>
      <w:pPr>
        <w:spacing w:after="60"/>
      </w:pPr>
      <w:r>
        <w:rPr>
          <w:rFonts w:ascii="Liberation Sans" w:hAnsi="Liberation Sans" w:eastAsia="Liberation Sans"/>
          <w:b/>
          <w:color w:val="9C2F2F"/>
          <w:sz w:val="19"/>
        </w:rPr>
        <w:t>Гипотеза 6.20. Conjugacy bridge [COND]</w:t>
      </w:r>
      <w:bookmarkEnd w:id="1397"/>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bookmarkStart w:id="1398" w:name="s_THM_6_21"/>
      <w:pPr>
        <w:spacing w:after="60"/>
      </w:pPr>
      <w:r>
        <w:rPr>
          <w:rFonts w:ascii="Liberation Sans" w:hAnsi="Liberation Sans" w:eastAsia="Liberation Sans"/>
          <w:b/>
          <w:color w:val="2E6B57"/>
          <w:sz w:val="19"/>
        </w:rPr>
        <w:t>Теорема 6.21. Совпадение ранговых горизонтов [THM при гипотезе 6.20]</w:t>
      </w:r>
      <w:bookmarkEnd w:id="1398"/>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bookmarkStart w:id="1399" w:name="s_COR_6_22"/>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bookmarkEnd w:id="1399"/>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bookmarkStart w:id="1400" w:name="s_DEF_6_23"/>
      <w:pPr>
        <w:spacing w:after="60"/>
      </w:pPr>
      <w:r>
        <w:rPr>
          <w:rFonts w:ascii="Liberation Sans" w:hAnsi="Liberation Sans" w:eastAsia="Liberation Sans"/>
          <w:b/>
          <w:color w:val="2F5597"/>
          <w:sz w:val="19"/>
        </w:rPr>
        <w:t>Определение 6.23. Dual mismatch set [DEF-A]</w:t>
      </w:r>
      <w:bookmarkEnd w:id="1400"/>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cantSplit/>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rPr>
          <w:cantSplit/>
        </w:trP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rPr>
          <w:cantSplit/>
        </w:trP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rPr>
          <w:cantSplit/>
        </w:trP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rPr>
          <w:cantSplit/>
        </w:trP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bookmarkStart w:id="956" w:name="h_646"/>
      <w:pPr>
        <w:pStyle w:val="Heading1"/>
        <w:spacing w:before="200" w:after="100"/>
        <w:keepNext/>
      </w:pPr>
      <w:r>
        <w:rPr>
          <w:rFonts w:ascii="Liberation Sans" w:hAnsi="Liberation Sans" w:eastAsia="Liberation Sans"/>
          <w:b/>
          <w:color w:val="17365D"/>
          <w:sz w:val="36"/>
        </w:rPr>
        <w:t>31. Двойной предсказательный шлюз KLT-RBD</w:t>
      </w:r>
      <w:bookmarkEnd w:id="956"/>
    </w:p>
    <w:p>
      <w:pPr>
        <w:pStyle w:val="Heading2"/>
        <w:spacing w:before="140" w:after="100"/>
        <w:keepNext/>
      </w:pPr>
      <w:r>
        <w:rPr>
          <w:rFonts w:ascii="Liberation Sans" w:hAnsi="Liberation Sans" w:eastAsia="Liberation Sans"/>
          <w:b/>
          <w:color w:val="2F5597"/>
          <w:sz w:val="26"/>
        </w:rPr>
        <w:t>31.1. Система блокеров</w:t>
      </w:r>
    </w:p>
    <w:p>
      <w:bookmarkStart w:id="1401" w:name="s_DEF_6_24"/>
      <w:pPr>
        <w:spacing w:after="60"/>
      </w:pPr>
      <w:r>
        <w:rPr>
          <w:rFonts w:ascii="Liberation Sans" w:hAnsi="Liberation Sans" w:eastAsia="Liberation Sans"/>
          <w:b/>
          <w:color w:val="2F5597"/>
          <w:sz w:val="19"/>
        </w:rPr>
        <w:t>Определение 6.24. Block_dual [DEF-A]</w:t>
      </w:r>
      <w:bookmarkEnd w:id="1401"/>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bookmarkStart w:id="1402" w:name="s_DEF_6_25"/>
      <w:pPr>
        <w:spacing w:after="60"/>
      </w:pPr>
      <w:r>
        <w:rPr>
          <w:rFonts w:ascii="Liberation Sans" w:hAnsi="Liberation Sans" w:eastAsia="Liberation Sans"/>
          <w:b/>
          <w:color w:val="2F5597"/>
          <w:sz w:val="19"/>
        </w:rPr>
        <w:t>Определение 6.25. Dual harmonic candidate [DEF-A]</w:t>
      </w:r>
      <w:bookmarkEnd w:id="1402"/>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descr="Рисунок 10. Двойной предсказательный шлюз NAPG/KLT-RBD. Собственная схема Тома II." title="Рисунок 10. Двойной предсказательный шлюз NAPG/KLT-RBD. Собственная схема Тома II."/>
            <wp:cNvGraphicFramePr>
              <a:graphicFrameLocks noChangeAspect="1"/>
            </wp:cNvGraphicFramePr>
            <a:graphic>
              <a:graphicData uri="http://schemas.openxmlformats.org/drawingml/2006/picture">
                <pic:pic>
                  <pic:nvPicPr>
                    <pic:cNvPr id="0" name="pred_v04.png" descr="Рисунок 10. Двойной предсказательный шлюз NAPG/KLT-RBD. Собственная схема Тома II." title="Рисунок 10. Двойной предсказательный шлюз NAPG/KLT-RBD. Собственная схема Тома II."/>
                    <pic:cNvPicPr/>
                  </pic:nvPicPr>
                  <pic:blipFill>
                    <a:blip r:embed="rId26"/>
                    <a:stretch>
                      <a:fillRect/>
                    </a:stretch>
                  </pic:blipFill>
                  <pic:spPr>
                    <a:xfrm>
                      <a:off x="0" y="0"/>
                      <a:ext cx="6217920" cy="3050506"/>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bookmarkStart w:id="1403" w:name="s_THM_6_26"/>
      <w:pPr>
        <w:spacing w:after="60"/>
      </w:pPr>
      <w:r>
        <w:rPr>
          <w:rFonts w:ascii="Liberation Sans" w:hAnsi="Liberation Sans" w:eastAsia="Liberation Sans"/>
          <w:b/>
          <w:color w:val="9C2F2F"/>
          <w:sz w:val="19"/>
        </w:rPr>
        <w:t>Теорема 6.26. Functorial predictive transport [COND]</w:t>
      </w:r>
      <w:bookmarkEnd w:id="1403"/>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rPr>
          <w:tblHeader w:val="true"/>
          <w:cantSplit/>
        </w:trP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bookmarkStart w:id="957" w:name="h_675"/>
      <w:pPr>
        <w:pStyle w:val="Heading1"/>
        <w:spacing w:before="200" w:after="100"/>
        <w:keepNext/>
      </w:pPr>
      <w:r>
        <w:rPr>
          <w:rFonts w:ascii="Liberation Sans" w:hAnsi="Liberation Sans" w:eastAsia="Liberation Sans"/>
          <w:b/>
          <w:color w:val="17365D"/>
          <w:sz w:val="36"/>
        </w:rPr>
        <w:t>32. Геометрический смысл R-star-R</w:t>
      </w:r>
      <w:bookmarkEnd w:id="957"/>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bookmarkStart w:id="1404" w:name="s_PROP_6_27"/>
      <w:pPr>
        <w:spacing w:after="60"/>
      </w:pPr>
      <w:r>
        <w:rPr>
          <w:rFonts w:ascii="Liberation Sans" w:hAnsi="Liberation Sans" w:eastAsia="Liberation Sans"/>
          <w:b/>
          <w:color w:val="2E6B57"/>
          <w:sz w:val="19"/>
        </w:rPr>
        <w:t>Предложение 6.27. Представимость ассоциативного отражения [THM]</w:t>
      </w:r>
      <w:bookmarkEnd w:id="1404"/>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bookmarkStart w:id="1405" w:name="s_PROP_6_28"/>
      <w:pPr>
        <w:spacing w:after="60"/>
      </w:pPr>
      <w:r>
        <w:rPr>
          <w:rFonts w:ascii="Liberation Sans" w:hAnsi="Liberation Sans" w:eastAsia="Liberation Sans"/>
          <w:b/>
          <w:color w:val="2E6B57"/>
          <w:sz w:val="19"/>
        </w:rPr>
        <w:t>Предложение 6.28. Функториальность ядровых локусов [THM]</w:t>
      </w:r>
      <w:bookmarkEnd w:id="1405"/>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bookmarkStart w:id="958" w:name="h_691"/>
      <w:pPr>
        <w:pStyle w:val="Heading1"/>
        <w:spacing w:before="200" w:after="100"/>
        <w:keepNext/>
      </w:pPr>
      <w:r>
        <w:rPr>
          <w:rFonts w:ascii="Liberation Sans" w:hAnsi="Liberation Sans" w:eastAsia="Liberation Sans"/>
          <w:b/>
          <w:color w:val="17365D"/>
          <w:sz w:val="36"/>
        </w:rPr>
        <w:t>33. Вычислительный сертификат v0.4</w:t>
      </w:r>
      <w:bookmarkEnd w:id="958"/>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cantSplit/>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rPr>
          <w:cantSplit/>
        </w:trP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rPr>
          <w:cantSplit/>
        </w:trP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rPr>
          <w:cantSplit/>
        </w:trP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rPr>
          <w:cantSplit/>
        </w:trP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rPr>
          <w:cantSplit/>
        </w:trP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rPr>
          <w:cantSplit/>
        </w:trP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bookmarkStart w:id="959" w:name="h_713"/>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bookmarkEnd w:id="959"/>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cantSplit/>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rPr>
          <w:cantSplit/>
        </w:trP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rPr>
          <w:cantSplit/>
        </w:trP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rPr>
          <w:cantSplit/>
        </w:trP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rPr>
          <w:cantSplit/>
        </w:trP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rPr>
          <w:cantSplit/>
        </w:trP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rPr>
          <w:cantSplit/>
        </w:trP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rPr>
          <w:cantSplit/>
        </w:trP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rPr>
          <w:cantSplit/>
        </w:trP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cantSplit/>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rPr>
          <w:cantSplit/>
        </w:trPr>
        <w:tc>
          <w:tcPr>
            <w:tcW w:type="dxa" w:w="1440"/>
            <w:vAlign w:val="center"/>
            <w:tcMar>
              <w:top w:w="85" w:type="dxa"/>
              <w:start w:w="95" w:type="dxa"/>
              <w:bottom w:w="85" w:type="dxa"/>
              <w:end w:w="95" w:type="dxa"/>
            </w:tcMar>
          </w:tcPr>
          <w:p>
            <w:bookmarkStart w:id="2112" w:name="po_016"/>
            <w:pPr>
              <w:jc w:val="left"/>
            </w:pPr>
            <w:r>
              <w:rPr>
                <w:rFonts w:ascii="Liberation Serif" w:hAnsi="Liberation Serif" w:eastAsia="Liberation Serif"/>
                <w:b w:val="0"/>
                <w:sz w:val="17"/>
              </w:rPr>
              <w:t>T2-PO-016</w:t>
            </w:r>
            <w:bookmarkEnd w:id="2112"/>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rPr>
          <w:cantSplit/>
        </w:trPr>
        <w:tc>
          <w:tcPr>
            <w:tcW w:type="dxa" w:w="1440"/>
            <w:vAlign w:val="center"/>
            <w:tcMar>
              <w:top w:w="85" w:type="dxa"/>
              <w:start w:w="95" w:type="dxa"/>
              <w:bottom w:w="85" w:type="dxa"/>
              <w:end w:w="95" w:type="dxa"/>
            </w:tcMar>
            <w:shd w:fill="F4F7FB"/>
          </w:tcPr>
          <w:p>
            <w:bookmarkStart w:id="2113" w:name="po_017"/>
            <w:pPr>
              <w:jc w:val="left"/>
            </w:pPr>
            <w:r>
              <w:rPr>
                <w:rFonts w:ascii="Liberation Serif" w:hAnsi="Liberation Serif" w:eastAsia="Liberation Serif"/>
                <w:b w:val="0"/>
                <w:sz w:val="17"/>
              </w:rPr>
              <w:t>T2-PO-017</w:t>
            </w:r>
            <w:bookmarkEnd w:id="2113"/>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rPr>
          <w:cantSplit/>
        </w:trPr>
        <w:tc>
          <w:tcPr>
            <w:tcW w:type="dxa" w:w="1440"/>
            <w:vAlign w:val="center"/>
            <w:tcMar>
              <w:top w:w="85" w:type="dxa"/>
              <w:start w:w="95" w:type="dxa"/>
              <w:bottom w:w="85" w:type="dxa"/>
              <w:end w:w="95" w:type="dxa"/>
            </w:tcMar>
          </w:tcPr>
          <w:p>
            <w:bookmarkStart w:id="2114" w:name="po_018"/>
            <w:pPr>
              <w:jc w:val="left"/>
            </w:pPr>
            <w:r>
              <w:rPr>
                <w:rFonts w:ascii="Liberation Serif" w:hAnsi="Liberation Serif" w:eastAsia="Liberation Serif"/>
                <w:b w:val="0"/>
                <w:sz w:val="17"/>
              </w:rPr>
              <w:t>T2-PO-018</w:t>
            </w:r>
            <w:bookmarkEnd w:id="2114"/>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rPr>
          <w:cantSplit/>
        </w:trPr>
        <w:tc>
          <w:tcPr>
            <w:tcW w:type="dxa" w:w="1440"/>
            <w:vAlign w:val="center"/>
            <w:tcMar>
              <w:top w:w="85" w:type="dxa"/>
              <w:start w:w="95" w:type="dxa"/>
              <w:bottom w:w="85" w:type="dxa"/>
              <w:end w:w="95" w:type="dxa"/>
            </w:tcMar>
            <w:shd w:fill="F4F7FB"/>
          </w:tcPr>
          <w:p>
            <w:bookmarkStart w:id="2115" w:name="po_019"/>
            <w:pPr>
              <w:jc w:val="left"/>
            </w:pPr>
            <w:r>
              <w:rPr>
                <w:rFonts w:ascii="Liberation Serif" w:hAnsi="Liberation Serif" w:eastAsia="Liberation Serif"/>
                <w:b w:val="0"/>
                <w:sz w:val="17"/>
              </w:rPr>
              <w:t>T2-PO-019</w:t>
            </w:r>
            <w:bookmarkEnd w:id="2115"/>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rPr>
          <w:cantSplit/>
        </w:trPr>
        <w:tc>
          <w:tcPr>
            <w:tcW w:type="dxa" w:w="1440"/>
            <w:vAlign w:val="center"/>
            <w:tcMar>
              <w:top w:w="85" w:type="dxa"/>
              <w:start w:w="95" w:type="dxa"/>
              <w:bottom w:w="85" w:type="dxa"/>
              <w:end w:w="95" w:type="dxa"/>
            </w:tcMar>
          </w:tcPr>
          <w:p>
            <w:bookmarkStart w:id="2116" w:name="po_020"/>
            <w:pPr>
              <w:jc w:val="left"/>
            </w:pPr>
            <w:r>
              <w:rPr>
                <w:rFonts w:ascii="Liberation Serif" w:hAnsi="Liberation Serif" w:eastAsia="Liberation Serif"/>
                <w:b w:val="0"/>
                <w:sz w:val="17"/>
              </w:rPr>
              <w:t>T2-PO-020</w:t>
            </w:r>
            <w:bookmarkEnd w:id="2116"/>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rPr>
          <w:cantSplit/>
        </w:trPr>
        <w:tc>
          <w:tcPr>
            <w:tcW w:type="dxa" w:w="1440"/>
            <w:vAlign w:val="center"/>
            <w:tcMar>
              <w:top w:w="85" w:type="dxa"/>
              <w:start w:w="95" w:type="dxa"/>
              <w:bottom w:w="85" w:type="dxa"/>
              <w:end w:w="95" w:type="dxa"/>
            </w:tcMar>
            <w:shd w:fill="F4F7FB"/>
          </w:tcPr>
          <w:p>
            <w:bookmarkStart w:id="2117" w:name="po_021"/>
            <w:pPr>
              <w:jc w:val="left"/>
            </w:pPr>
            <w:r>
              <w:rPr>
                <w:rFonts w:ascii="Liberation Serif" w:hAnsi="Liberation Serif" w:eastAsia="Liberation Serif"/>
                <w:b w:val="0"/>
                <w:sz w:val="17"/>
              </w:rPr>
              <w:t>T2-PO-021</w:t>
            </w:r>
            <w:bookmarkEnd w:id="2117"/>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rPr>
          <w:cantSplit/>
        </w:trPr>
        <w:tc>
          <w:tcPr>
            <w:tcW w:type="dxa" w:w="1440"/>
            <w:vAlign w:val="center"/>
            <w:tcMar>
              <w:top w:w="85" w:type="dxa"/>
              <w:start w:w="95" w:type="dxa"/>
              <w:bottom w:w="85" w:type="dxa"/>
              <w:end w:w="95" w:type="dxa"/>
            </w:tcMar>
          </w:tcPr>
          <w:p>
            <w:bookmarkStart w:id="2118" w:name="po_022"/>
            <w:pPr>
              <w:jc w:val="left"/>
            </w:pPr>
            <w:r>
              <w:rPr>
                <w:rFonts w:ascii="Liberation Serif" w:hAnsi="Liberation Serif" w:eastAsia="Liberation Serif"/>
                <w:b w:val="0"/>
                <w:sz w:val="17"/>
              </w:rPr>
              <w:t>T2-PO-022</w:t>
            </w:r>
            <w:bookmarkEnd w:id="2118"/>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rPr>
          <w:cantSplit/>
        </w:trPr>
        <w:tc>
          <w:tcPr>
            <w:tcW w:type="dxa" w:w="1440"/>
            <w:vAlign w:val="center"/>
            <w:tcMar>
              <w:top w:w="85" w:type="dxa"/>
              <w:start w:w="95" w:type="dxa"/>
              <w:bottom w:w="85" w:type="dxa"/>
              <w:end w:w="95" w:type="dxa"/>
            </w:tcMar>
            <w:shd w:fill="F4F7FB"/>
          </w:tcPr>
          <w:p>
            <w:bookmarkStart w:id="2119" w:name="po_023"/>
            <w:pPr>
              <w:jc w:val="left"/>
            </w:pPr>
            <w:r>
              <w:rPr>
                <w:rFonts w:ascii="Liberation Serif" w:hAnsi="Liberation Serif" w:eastAsia="Liberation Serif"/>
                <w:b w:val="0"/>
                <w:sz w:val="17"/>
              </w:rPr>
              <w:t>T2-PO-023</w:t>
            </w:r>
            <w:bookmarkEnd w:id="2119"/>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rPr>
          <w:cantSplit/>
        </w:trPr>
        <w:tc>
          <w:tcPr>
            <w:tcW w:type="dxa" w:w="1440"/>
            <w:vAlign w:val="center"/>
            <w:tcMar>
              <w:top w:w="85" w:type="dxa"/>
              <w:start w:w="95" w:type="dxa"/>
              <w:bottom w:w="85" w:type="dxa"/>
              <w:end w:w="95" w:type="dxa"/>
            </w:tcMar>
          </w:tcPr>
          <w:p>
            <w:bookmarkStart w:id="2120" w:name="po_024"/>
            <w:pPr>
              <w:jc w:val="left"/>
            </w:pPr>
            <w:r>
              <w:rPr>
                <w:rFonts w:ascii="Liberation Serif" w:hAnsi="Liberation Serif" w:eastAsia="Liberation Serif"/>
                <w:b w:val="0"/>
                <w:sz w:val="17"/>
              </w:rPr>
              <w:t>T2-PO-024</w:t>
            </w:r>
            <w:bookmarkEnd w:id="2120"/>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rPr>
          <w:cantSplit/>
        </w:trPr>
        <w:tc>
          <w:tcPr>
            <w:tcW w:type="dxa" w:w="1440"/>
            <w:vAlign w:val="center"/>
            <w:tcMar>
              <w:top w:w="85" w:type="dxa"/>
              <w:start w:w="95" w:type="dxa"/>
              <w:bottom w:w="85" w:type="dxa"/>
              <w:end w:w="95" w:type="dxa"/>
            </w:tcMar>
            <w:shd w:fill="F4F7FB"/>
          </w:tcPr>
          <w:p>
            <w:bookmarkStart w:id="2121" w:name="po_025"/>
            <w:pPr>
              <w:jc w:val="left"/>
            </w:pPr>
            <w:r>
              <w:rPr>
                <w:rFonts w:ascii="Liberation Serif" w:hAnsi="Liberation Serif" w:eastAsia="Liberation Serif"/>
                <w:b w:val="0"/>
                <w:sz w:val="17"/>
              </w:rPr>
              <w:t>T2-PO-025</w:t>
            </w:r>
            <w:bookmarkEnd w:id="2121"/>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rPr>
          <w:cantSplit/>
        </w:trPr>
        <w:tc>
          <w:tcPr>
            <w:tcW w:type="dxa" w:w="1440"/>
            <w:vAlign w:val="center"/>
            <w:tcMar>
              <w:top w:w="85" w:type="dxa"/>
              <w:start w:w="95" w:type="dxa"/>
              <w:bottom w:w="85" w:type="dxa"/>
              <w:end w:w="95" w:type="dxa"/>
            </w:tcMar>
          </w:tcPr>
          <w:p>
            <w:bookmarkStart w:id="2122" w:name="po_026"/>
            <w:pPr>
              <w:jc w:val="left"/>
            </w:pPr>
            <w:r>
              <w:rPr>
                <w:rFonts w:ascii="Liberation Serif" w:hAnsi="Liberation Serif" w:eastAsia="Liberation Serif"/>
                <w:b w:val="0"/>
                <w:sz w:val="17"/>
              </w:rPr>
              <w:t>T2-PO-026</w:t>
            </w:r>
            <w:bookmarkEnd w:id="2122"/>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rPr>
          <w:tblHeader w:val="true"/>
          <w:cantSplit/>
        </w:trPr>
        <w:tc>
          <w:tcPr>
            <w:tcW w:type="dxa" w:w="9752"/>
            <w:gridSpan w:val="2"/>
            <w:shd w:fill="17365D"/>
          </w:tcPr>
          <w:p>
            <w:pPr>
              <w:jc w:val="center"/>
            </w:pPr>
            <w:r>
              <w:rPr>
                <w:rFonts w:ascii="Liberation Sans" w:hAnsi="Liberation Sans" w:eastAsia="Liberation Sans"/>
                <w:b/>
                <w:color w:val="FFFFFF"/>
                <w:sz w:val="21"/>
              </w:rPr>
              <w:t>Фиксация выпуска</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rPr>
          <w:cantSplit/>
        </w:trP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bookmarkStart w:id="960" w:name="h_730"/>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bookmarkEnd w:id="960"/>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bookmarkStart w:id="961" w:name="h_732"/>
      <w:pPr>
        <w:pStyle w:val="Heading1"/>
        <w:keepNext/>
      </w:pPr>
      <w:r>
        <w:t>35. Паспорт углубления v0.5</w:t>
      </w:r>
      <w:bookmarkEnd w:id="961"/>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cantSplit/>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rPr>
          <w:cantSplit/>
        </w:trP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rPr>
          <w:cantSplit/>
        </w:trP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rPr>
          <w:cantSplit/>
        </w:trP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rPr>
          <w:cantSplit/>
        </w:trP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rPr>
          <w:cantSplit/>
        </w:trP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rPr>
          <w:cantSplit/>
        </w:trP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bookmarkStart w:id="962" w:name="h_739"/>
      <w:pPr>
        <w:pStyle w:val="Heading1"/>
        <w:keepNext/>
      </w:pPr>
      <w:r>
        <w:t>36. NAPG-атласы и группоид переходов</w:t>
      </w:r>
      <w:bookmarkEnd w:id="962"/>
    </w:p>
    <w:p>
      <w:pPr>
        <w:pStyle w:val="Heading2"/>
        <w:keepNext/>
      </w:pPr>
      <w:r>
        <w:t>36.1. Локальная модель и структурный группоид</w:t>
      </w:r>
    </w:p>
    <w:p>
      <w:bookmarkStart w:id="1406" w:name="s_DEF_7_1"/>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bookmarkEnd w:id="1406"/>
    </w:p>
    <w:p>
      <w:bookmarkStart w:id="1407" w:name="s_DEF_7_2"/>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bookmarkEnd w:id="1407"/>
    </w:p>
    <w:p>
      <w:pPr>
        <w:spacing w:before="60" w:after="140"/>
        <w:ind w:firstLine="0"/>
        <w:jc w:val="center"/>
      </w:pPr>
      <w:r>
        <w:rPr>
          <w:rFonts w:ascii="Cambria Math" w:hAnsi="Cambria Math" w:eastAsia="Cambria Math"/>
          <w:sz w:val="22"/>
        </w:rPr>
        <w:t>φ_ii = id,    φ_ji = φ_ij^{-1},    φ_jk ∘ φ_ij = φ_ik  on  U_ijk.</w:t>
      </w:r>
    </w:p>
    <w:p>
      <w:bookmarkStart w:id="1408" w:name="s_DEF_7_3"/>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bookmarkEnd w:id="1408"/>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bookmarkStart w:id="1409" w:name="s_THM_7_4"/>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bookmarkEnd w:id="1409"/>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bookmarkStart w:id="1410" w:name="s_DEF_7_5"/>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bookmarkEnd w:id="1410"/>
    </w:p>
    <w:p>
      <w:bookmarkStart w:id="1411" w:name="s_THM_7_6"/>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bookmarkEnd w:id="1411"/>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descr="Рисунок 11. Cocycle-условие и дефект склейки локальных NAPG-объектов. Собственная схема Тома II." title="Рисунок 11. Cocycle-условие и дефект склейки локальных NAPG-объектов. Собственная схема Тома II."/>
            <wp:cNvGraphicFramePr>
              <a:graphicFrameLocks noChangeAspect="1"/>
            </wp:cNvGraphicFramePr>
            <a:graphic>
              <a:graphicData uri="http://schemas.openxmlformats.org/drawingml/2006/picture">
                <pic:pic>
                  <pic:nvPicPr>
                    <pic:cNvPr id="0" name="fig11_gluing.png" descr="Рисунок 11. Cocycle-условие и дефект склейки локальных NAPG-объектов. Собственная схема Тома II." title="Рисунок 11. Cocycle-условие и дефект склейки локальных NAPG-объектов. Собственная схема Тома II."/>
                    <pic:cNvPicPr/>
                  </pic:nvPicPr>
                  <pic:blipFill>
                    <a:blip r:embed="rId27"/>
                    <a:stretch>
                      <a:fillRect/>
                    </a:stretch>
                  </pic:blipFill>
                  <pic:spPr>
                    <a:xfrm>
                      <a:off x="0" y="0"/>
                      <a:ext cx="5715000" cy="7740337"/>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bookmarkStart w:id="963" w:name="h_754"/>
      <w:pPr>
        <w:pStyle w:val="Heading1"/>
        <w:keepNext/>
      </w:pPr>
      <w:r>
        <w:t>37. Descent-данные и теорема склейки</w:t>
      </w:r>
      <w:bookmarkEnd w:id="963"/>
    </w:p>
    <w:p>
      <w:pPr>
        <w:pStyle w:val="Heading2"/>
        <w:keepNext/>
      </w:pPr>
      <w:r>
        <w:t>37.1. Категориальная формулировка</w:t>
      </w:r>
    </w:p>
    <w:p>
      <w:bookmarkStart w:id="1412" w:name="s_DEF_7_7"/>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bookmarkEnd w:id="1412"/>
    </w:p>
    <w:p>
      <w:pPr>
        <w:spacing w:before="60" w:after="140"/>
        <w:ind w:firstLine="0"/>
        <w:jc w:val="center"/>
      </w:pPr>
      <w:r>
        <w:rPr>
          <w:rFonts w:ascii="Cambria Math" w:hAnsi="Cambria Math" w:eastAsia="Cambria Math"/>
          <w:sz w:val="22"/>
        </w:rPr>
        <w:t>pr_12*φ_jk ∘ pr_01*φ_ij = pr_02*φ_ik  on  U_i ×_U U_j ×_U U_k.</w:t>
      </w:r>
    </w:p>
    <w:p>
      <w:bookmarkStart w:id="1413" w:name="s_DEF_7_8"/>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bookmarkEnd w:id="1413"/>
    </w:p>
    <w:p>
      <w:bookmarkStart w:id="1414" w:name="s_THM_7_9"/>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bookmarkEnd w:id="1414"/>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bookmarkStart w:id="964" w:name="h_764"/>
      <w:pPr>
        <w:pStyle w:val="Heading1"/>
        <w:keepNext/>
      </w:pPr>
      <w:r>
        <w:t>38. Пакетные, реперные и Hodge-расслоения</w:t>
      </w:r>
      <w:bookmarkEnd w:id="964"/>
    </w:p>
    <w:p>
      <w:pPr>
        <w:pStyle w:val="Heading2"/>
        <w:keepNext/>
      </w:pPr>
      <w:r>
        <w:t>38.1. Спуск операции и ассоциатора</w:t>
      </w:r>
    </w:p>
    <w:p>
      <w:bookmarkStart w:id="1415" w:name="s_DEF_7_11"/>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bookmarkEnd w:id="1415"/>
    </w:p>
    <w:p>
      <w:bookmarkStart w:id="1416" w:name="s_THM_7_12"/>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bookmarkEnd w:id="1416"/>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bookmarkStart w:id="1417" w:name="s_DEF_7_13"/>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bookmarkEnd w:id="1417"/>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bookmarkStart w:id="1418" w:name="s_DEF_7_14"/>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bookmarkEnd w:id="1418"/>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bookmarkStart w:id="1419" w:name="s_THM_7_15"/>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bookmarkEnd w:id="1419"/>
    </w:p>
    <w:p>
      <w:pPr>
        <w:pStyle w:val="Heading2"/>
        <w:keepNext/>
      </w:pPr>
      <w:r>
        <w:t>38.3. Hodge-слой</w:t>
      </w:r>
    </w:p>
    <w:p>
      <w:bookmarkStart w:id="1420" w:name="s_DEF_7_16"/>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bookmarkEnd w:id="1420"/>
    </w:p>
    <w:p>
      <w:bookmarkStart w:id="1421" w:name="s_THM_7_17"/>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bookmarkEnd w:id="1421"/>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bookmarkStart w:id="965" w:name="h_779"/>
      <w:pPr>
        <w:pStyle w:val="Heading1"/>
        <w:keepNext/>
      </w:pPr>
      <w:r>
        <w:t>39. Когомологические препятствия глобализации</w:t>
      </w:r>
      <w:bookmarkEnd w:id="965"/>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bookmarkStart w:id="1422" w:name="s_THM_7_19"/>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bookmarkEnd w:id="1422"/>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descr="Рисунок 12. Центральное расширение и Čech H²-препятствие подъёма структурной группы. Собственная схема Тома II." title="Рисунок 12. Центральное расширение и Čech H²-препятствие подъёма структурной группы. Собственная схема Тома II."/>
            <wp:cNvGraphicFramePr>
              <a:graphicFrameLocks noChangeAspect="1"/>
            </wp:cNvGraphicFramePr>
            <a:graphic>
              <a:graphicData uri="http://schemas.openxmlformats.org/drawingml/2006/picture">
                <pic:pic>
                  <pic:nvPicPr>
                    <pic:cNvPr id="0" name="fig12_lifting.png" descr="Рисунок 12. Центральное расширение и Čech H²-препятствие подъёма структурной группы. Собственная схема Тома II." title="Рисунок 12. Центральное расширение и Čech H²-препятствие подъёма структурной группы. Собственная схема Тома II."/>
                    <pic:cNvPicPr/>
                  </pic:nvPicPr>
                  <pic:blipFill>
                    <a:blip r:embed="rId28"/>
                    <a:stretch>
                      <a:fillRect/>
                    </a:stretch>
                  </pic:blipFill>
                  <pic:spPr>
                    <a:xfrm>
                      <a:off x="0" y="0"/>
                      <a:ext cx="5715000" cy="1778000"/>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bookmarkStart w:id="1423" w:name="s_DEF_7_20"/>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bookmarkEnd w:id="1423"/>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bookmarkStart w:id="1424" w:name="s_THM_7_21"/>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bookmarkEnd w:id="1424"/>
    </w:p>
    <w:p>
      <w:bookmarkStart w:id="966" w:name="h_794"/>
      <w:pPr>
        <w:pStyle w:val="Heading1"/>
        <w:keepNext/>
      </w:pPr>
      <w:r>
        <w:t>40. Глобализационные горизонты и отрицательные теоремы прогноза</w:t>
      </w:r>
      <w:bookmarkEnd w:id="966"/>
    </w:p>
    <w:p>
      <w:pPr>
        <w:pStyle w:val="Heading2"/>
        <w:keepNext/>
      </w:pPr>
      <w:r>
        <w:t>40.1. Семейство атласов</w:t>
      </w:r>
    </w:p>
    <w:p>
      <w:bookmarkStart w:id="1425" w:name="s_DEF_7_22"/>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bookmarkEnd w:id="1425"/>
    </w:p>
    <w:p>
      <w:bookmarkStart w:id="1426" w:name="s_THM_7_23"/>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bookmarkEnd w:id="1426"/>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bookmarkStart w:id="1427" w:name="s_COR_7_24"/>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bookmarkEnd w:id="1427"/>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bookmarkStart w:id="1428" w:name="s_DEF_7_25"/>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bookmarkEnd w:id="1428"/>
    </w:p>
    <w:p>
      <w:pPr>
        <w:spacing w:before="60" w:after="140"/>
        <w:ind w:firstLine="0"/>
        <w:jc w:val="center"/>
      </w:pPr>
      <w:r>
        <w:rPr>
          <w:rFonts w:ascii="Cambria Math" w:hAnsi="Cambria Math" w:eastAsia="Cambria Math"/>
          <w:sz w:val="22"/>
        </w:rPr>
        <w:t>Δ_total = Δ_alg ∪ Δ_geo ∪ Δ_glue.</w:t>
      </w:r>
    </w:p>
    <w:p>
      <w:bookmarkStart w:id="1429" w:name="s_THM_7_26"/>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bookmarkEnd w:id="1429"/>
    </w:p>
    <w:p>
      <w:bookmarkStart w:id="967" w:name="h_805"/>
      <w:pPr>
        <w:pStyle w:val="Heading1"/>
        <w:keepNext/>
      </w:pPr>
      <w:r>
        <w:t>41. Предсказательное реперное расслоение</w:t>
      </w:r>
      <w:bookmarkEnd w:id="967"/>
    </w:p>
    <w:p>
      <w:pPr>
        <w:pStyle w:val="Heading2"/>
        <w:keepNext/>
      </w:pPr>
      <w:r>
        <w:t>41.1. Пространство сценариев как волокно</w:t>
      </w:r>
    </w:p>
    <w:p>
      <w:bookmarkStart w:id="1430" w:name="s_DEF_7_27"/>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bookmarkEnd w:id="1430"/>
    </w:p>
    <w:p>
      <w:bookmarkStart w:id="1431" w:name="s_DEF_7_28"/>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bookmarkEnd w:id="1431"/>
    </w:p>
    <w:p>
      <w:pPr>
        <w:spacing w:before="60" w:after="140"/>
        <w:ind w:firstLine="0"/>
        <w:jc w:val="center"/>
      </w:pPr>
      <w:r>
        <w:rPr>
          <w:rFonts w:ascii="Cambria Math" w:hAnsi="Cambria Math" w:eastAsia="Cambria Math"/>
          <w:sz w:val="22"/>
        </w:rPr>
        <w:t>Block_glue = B_coc ∪ B_eff ∪ B_op ∪ B_ass ∪ B_chart ∪ B_Hdg ∪ B_Dom ∪ B_D ∪ B_sec.</w:t>
      </w:r>
    </w:p>
    <w:p>
      <w:bookmarkStart w:id="1432" w:name="s_DEF_7_29"/>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bookmarkEnd w:id="1432"/>
    </w:p>
    <w:p>
      <w:bookmarkStart w:id="1433" w:name="s_THM_7_30"/>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bookmarkEnd w:id="1433"/>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descr="Рисунок 13. Глобальный предсказательный шлюз: локальный кандидат допускается только после effective descent и существования сечения. Собственная схема Тома II." title="Рисунок 13. Глобальный предсказательный шлюз: локальный кандидат допускается только после effective descent и существова"/>
            <wp:cNvGraphicFramePr>
              <a:graphicFrameLocks noChangeAspect="1"/>
            </wp:cNvGraphicFramePr>
            <a:graphic>
              <a:graphicData uri="http://schemas.openxmlformats.org/drawingml/2006/picture">
                <pic:pic>
                  <pic:nvPicPr>
                    <pic:cNvPr id="0" name="fig13_global_gate.png" descr="Рисунок 13. Глобальный предсказательный шлюз: локальный кандидат допускается только после effective descent и существования сечения. Собственная схема Тома II." title="Рисунок 13. Глобальный предсказательный шлюз: локальный кандидат допускается только после effective descent и существова"/>
                    <pic:cNvPicPr/>
                  </pic:nvPicPr>
                  <pic:blipFill>
                    <a:blip r:embed="rId29"/>
                    <a:stretch>
                      <a:fillRect/>
                    </a:stretch>
                  </pic:blipFill>
                  <pic:spPr>
                    <a:xfrm>
                      <a:off x="0" y="0"/>
                      <a:ext cx="5715000" cy="9013521"/>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bookmarkStart w:id="968" w:name="h_817"/>
      <w:pPr>
        <w:pStyle w:val="Heading1"/>
        <w:keepNext/>
      </w:pPr>
      <w:r>
        <w:t>42. Модели и контрмодели глобализации</w:t>
      </w:r>
      <w:bookmarkEnd w:id="968"/>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cantSplit/>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rPr>
          <w:cantSplit/>
        </w:trP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rPr>
          <w:cantSplit/>
        </w:trP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rPr>
          <w:cantSplit/>
        </w:trP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rPr>
          <w:cantSplit/>
        </w:trP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rPr>
          <w:cantSplit/>
        </w:trP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rPr>
          <w:cantSplit/>
        </w:trP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bookmarkStart w:id="969" w:name="h_821"/>
      <w:pPr>
        <w:pStyle w:val="Heading1"/>
        <w:keepNext/>
      </w:pPr>
      <w:r>
        <w:t>43. Вычислительный сертификат глобализации v0.5</w:t>
      </w:r>
      <w:bookmarkEnd w:id="969"/>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cantSplit/>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rPr>
          <w:tblHeader w:val="true"/>
          <w:cantSplit/>
        </w:trP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bookmarkStart w:id="970" w:name="h_841"/>
      <w:pPr>
        <w:pStyle w:val="Heading1"/>
        <w:keepNext/>
      </w:pPr>
      <w:r>
        <w:t>44. Теоремный пакет и доказательные обязательства v0.5</w:t>
      </w:r>
      <w:bookmarkEnd w:id="970"/>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cantSplit/>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cantSplit/>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rPr>
          <w:cantSplit/>
        </w:trPr>
        <w:tc>
          <w:tcPr>
            <w:tcW w:type="dxa" w:w="1361"/>
            <w:tcMar>
              <w:top w:w="110" w:type="dxa"/>
              <w:start w:w="105" w:type="dxa"/>
              <w:bottom w:w="110" w:type="dxa"/>
              <w:end w:w="105" w:type="dxa"/>
            </w:tcMar>
            <w:vAlign w:val="center"/>
          </w:tcPr>
          <w:p>
            <w:bookmarkStart w:id="2123" w:name="po_027"/>
            <w:pPr>
              <w:spacing w:after="0" w:line="254" w:lineRule="auto"/>
              <w:jc w:val="center"/>
            </w:pPr>
            <w:r>
              <w:rPr>
                <w:rFonts w:ascii="Liberation Serif" w:hAnsi="Liberation Serif" w:eastAsia="Liberation Serif"/>
                <w:sz w:val="16"/>
              </w:rPr>
              <w:t>T2-PO-027</w:t>
            </w:r>
            <w:bookmarkEnd w:id="2123"/>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rPr>
          <w:cantSplit/>
        </w:trPr>
        <w:tc>
          <w:tcPr>
            <w:tcW w:type="dxa" w:w="1361"/>
            <w:tcMar>
              <w:top w:w="110" w:type="dxa"/>
              <w:start w:w="105" w:type="dxa"/>
              <w:bottom w:w="110" w:type="dxa"/>
              <w:end w:w="105" w:type="dxa"/>
            </w:tcMar>
            <w:vAlign w:val="center"/>
            <w:shd w:fill="F7F9FC"/>
          </w:tcPr>
          <w:p>
            <w:bookmarkStart w:id="2124" w:name="po_028"/>
            <w:pPr>
              <w:spacing w:after="0" w:line="254" w:lineRule="auto"/>
              <w:jc w:val="center"/>
            </w:pPr>
            <w:r>
              <w:rPr>
                <w:rFonts w:ascii="Liberation Serif" w:hAnsi="Liberation Serif" w:eastAsia="Liberation Serif"/>
                <w:sz w:val="16"/>
              </w:rPr>
              <w:t>T2-PO-028</w:t>
            </w:r>
            <w:bookmarkEnd w:id="2124"/>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rPr>
          <w:cantSplit/>
        </w:trPr>
        <w:tc>
          <w:tcPr>
            <w:tcW w:type="dxa" w:w="1361"/>
            <w:tcMar>
              <w:top w:w="110" w:type="dxa"/>
              <w:start w:w="105" w:type="dxa"/>
              <w:bottom w:w="110" w:type="dxa"/>
              <w:end w:w="105" w:type="dxa"/>
            </w:tcMar>
            <w:vAlign w:val="center"/>
          </w:tcPr>
          <w:p>
            <w:bookmarkStart w:id="2125" w:name="po_029"/>
            <w:pPr>
              <w:spacing w:after="0" w:line="254" w:lineRule="auto"/>
              <w:jc w:val="center"/>
            </w:pPr>
            <w:r>
              <w:rPr>
                <w:rFonts w:ascii="Liberation Serif" w:hAnsi="Liberation Serif" w:eastAsia="Liberation Serif"/>
                <w:sz w:val="16"/>
              </w:rPr>
              <w:t>T2-PO-029</w:t>
            </w:r>
            <w:bookmarkEnd w:id="2125"/>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rPr>
          <w:cantSplit/>
        </w:trPr>
        <w:tc>
          <w:tcPr>
            <w:tcW w:type="dxa" w:w="1361"/>
            <w:tcMar>
              <w:top w:w="110" w:type="dxa"/>
              <w:start w:w="105" w:type="dxa"/>
              <w:bottom w:w="110" w:type="dxa"/>
              <w:end w:w="105" w:type="dxa"/>
            </w:tcMar>
            <w:vAlign w:val="center"/>
            <w:shd w:fill="F7F9FC"/>
          </w:tcPr>
          <w:p>
            <w:bookmarkStart w:id="2126" w:name="po_030"/>
            <w:pPr>
              <w:spacing w:after="0" w:line="254" w:lineRule="auto"/>
              <w:jc w:val="center"/>
            </w:pPr>
            <w:r>
              <w:rPr>
                <w:rFonts w:ascii="Liberation Serif" w:hAnsi="Liberation Serif" w:eastAsia="Liberation Serif"/>
                <w:sz w:val="16"/>
              </w:rPr>
              <w:t>T2-PO-030</w:t>
            </w:r>
            <w:bookmarkEnd w:id="2126"/>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rPr>
          <w:cantSplit/>
        </w:trPr>
        <w:tc>
          <w:tcPr>
            <w:tcW w:type="dxa" w:w="1361"/>
            <w:tcMar>
              <w:top w:w="110" w:type="dxa"/>
              <w:start w:w="105" w:type="dxa"/>
              <w:bottom w:w="110" w:type="dxa"/>
              <w:end w:w="105" w:type="dxa"/>
            </w:tcMar>
            <w:vAlign w:val="center"/>
          </w:tcPr>
          <w:p>
            <w:bookmarkStart w:id="2127" w:name="po_031"/>
            <w:pPr>
              <w:spacing w:after="0" w:line="254" w:lineRule="auto"/>
              <w:jc w:val="center"/>
            </w:pPr>
            <w:r>
              <w:rPr>
                <w:rFonts w:ascii="Liberation Serif" w:hAnsi="Liberation Serif" w:eastAsia="Liberation Serif"/>
                <w:sz w:val="16"/>
              </w:rPr>
              <w:t>T2-PO-031</w:t>
            </w:r>
            <w:bookmarkEnd w:id="2127"/>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rPr>
          <w:cantSplit/>
        </w:trPr>
        <w:tc>
          <w:tcPr>
            <w:tcW w:type="dxa" w:w="1361"/>
            <w:tcMar>
              <w:top w:w="110" w:type="dxa"/>
              <w:start w:w="105" w:type="dxa"/>
              <w:bottom w:w="110" w:type="dxa"/>
              <w:end w:w="105" w:type="dxa"/>
            </w:tcMar>
            <w:vAlign w:val="center"/>
            <w:shd w:fill="F7F9FC"/>
          </w:tcPr>
          <w:p>
            <w:bookmarkStart w:id="2128" w:name="po_032"/>
            <w:pPr>
              <w:spacing w:after="0" w:line="254" w:lineRule="auto"/>
              <w:jc w:val="center"/>
            </w:pPr>
            <w:r>
              <w:rPr>
                <w:rFonts w:ascii="Liberation Serif" w:hAnsi="Liberation Serif" w:eastAsia="Liberation Serif"/>
                <w:sz w:val="16"/>
              </w:rPr>
              <w:t>T2-PO-032</w:t>
            </w:r>
            <w:bookmarkEnd w:id="2128"/>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rPr>
          <w:cantSplit/>
        </w:trPr>
        <w:tc>
          <w:tcPr>
            <w:tcW w:type="dxa" w:w="1361"/>
            <w:tcMar>
              <w:top w:w="110" w:type="dxa"/>
              <w:start w:w="105" w:type="dxa"/>
              <w:bottom w:w="110" w:type="dxa"/>
              <w:end w:w="105" w:type="dxa"/>
            </w:tcMar>
            <w:vAlign w:val="center"/>
          </w:tcPr>
          <w:p>
            <w:bookmarkStart w:id="2129" w:name="po_033"/>
            <w:pPr>
              <w:spacing w:after="0" w:line="254" w:lineRule="auto"/>
              <w:jc w:val="center"/>
            </w:pPr>
            <w:r>
              <w:rPr>
                <w:rFonts w:ascii="Liberation Serif" w:hAnsi="Liberation Serif" w:eastAsia="Liberation Serif"/>
                <w:sz w:val="16"/>
              </w:rPr>
              <w:t>T2-PO-033</w:t>
            </w:r>
            <w:bookmarkEnd w:id="2129"/>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rPr>
          <w:cantSplit/>
        </w:trPr>
        <w:tc>
          <w:tcPr>
            <w:tcW w:type="dxa" w:w="1361"/>
            <w:tcMar>
              <w:top w:w="110" w:type="dxa"/>
              <w:start w:w="105" w:type="dxa"/>
              <w:bottom w:w="110" w:type="dxa"/>
              <w:end w:w="105" w:type="dxa"/>
            </w:tcMar>
            <w:vAlign w:val="center"/>
            <w:shd w:fill="F7F9FC"/>
          </w:tcPr>
          <w:p>
            <w:bookmarkStart w:id="2130" w:name="po_034"/>
            <w:pPr>
              <w:spacing w:after="0" w:line="254" w:lineRule="auto"/>
              <w:jc w:val="center"/>
            </w:pPr>
            <w:r>
              <w:rPr>
                <w:rFonts w:ascii="Liberation Serif" w:hAnsi="Liberation Serif" w:eastAsia="Liberation Serif"/>
                <w:sz w:val="16"/>
              </w:rPr>
              <w:t>T2-PO-034</w:t>
            </w:r>
            <w:bookmarkEnd w:id="2130"/>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rPr>
          <w:cantSplit/>
        </w:trPr>
        <w:tc>
          <w:tcPr>
            <w:tcW w:type="dxa" w:w="1361"/>
            <w:tcMar>
              <w:top w:w="110" w:type="dxa"/>
              <w:start w:w="105" w:type="dxa"/>
              <w:bottom w:w="110" w:type="dxa"/>
              <w:end w:w="105" w:type="dxa"/>
            </w:tcMar>
            <w:vAlign w:val="center"/>
          </w:tcPr>
          <w:p>
            <w:bookmarkStart w:id="2131" w:name="po_035"/>
            <w:pPr>
              <w:spacing w:after="0" w:line="254" w:lineRule="auto"/>
              <w:jc w:val="center"/>
            </w:pPr>
            <w:r>
              <w:rPr>
                <w:rFonts w:ascii="Liberation Serif" w:hAnsi="Liberation Serif" w:eastAsia="Liberation Serif"/>
                <w:sz w:val="16"/>
              </w:rPr>
              <w:t>T2-PO-035</w:t>
            </w:r>
            <w:bookmarkEnd w:id="2131"/>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rPr>
          <w:cantSplit/>
        </w:trPr>
        <w:tc>
          <w:tcPr>
            <w:tcW w:type="dxa" w:w="1361"/>
            <w:tcMar>
              <w:top w:w="110" w:type="dxa"/>
              <w:start w:w="105" w:type="dxa"/>
              <w:bottom w:w="110" w:type="dxa"/>
              <w:end w:w="105" w:type="dxa"/>
            </w:tcMar>
            <w:vAlign w:val="center"/>
            <w:shd w:fill="F7F9FC"/>
          </w:tcPr>
          <w:p>
            <w:bookmarkStart w:id="2132" w:name="po_036"/>
            <w:pPr>
              <w:spacing w:after="0" w:line="254" w:lineRule="auto"/>
              <w:jc w:val="center"/>
            </w:pPr>
            <w:r>
              <w:rPr>
                <w:rFonts w:ascii="Liberation Serif" w:hAnsi="Liberation Serif" w:eastAsia="Liberation Serif"/>
                <w:sz w:val="16"/>
              </w:rPr>
              <w:t>T2-PO-036</w:t>
            </w:r>
            <w:bookmarkEnd w:id="2132"/>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rPr>
          <w:cantSplit/>
        </w:trPr>
        <w:tc>
          <w:tcPr>
            <w:tcW w:type="dxa" w:w="1361"/>
            <w:tcMar>
              <w:top w:w="110" w:type="dxa"/>
              <w:start w:w="105" w:type="dxa"/>
              <w:bottom w:w="110" w:type="dxa"/>
              <w:end w:w="105" w:type="dxa"/>
            </w:tcMar>
            <w:vAlign w:val="center"/>
          </w:tcPr>
          <w:p>
            <w:bookmarkStart w:id="2133" w:name="po_037"/>
            <w:pPr>
              <w:spacing w:after="0" w:line="254" w:lineRule="auto"/>
              <w:jc w:val="center"/>
            </w:pPr>
            <w:r>
              <w:rPr>
                <w:rFonts w:ascii="Liberation Serif" w:hAnsi="Liberation Serif" w:eastAsia="Liberation Serif"/>
                <w:sz w:val="16"/>
              </w:rPr>
              <w:t>T2-PO-037</w:t>
            </w:r>
            <w:bookmarkEnd w:id="2133"/>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rPr>
          <w:cantSplit/>
        </w:trPr>
        <w:tc>
          <w:tcPr>
            <w:tcW w:type="dxa" w:w="1361"/>
            <w:tcMar>
              <w:top w:w="110" w:type="dxa"/>
              <w:start w:w="105" w:type="dxa"/>
              <w:bottom w:w="110" w:type="dxa"/>
              <w:end w:w="105" w:type="dxa"/>
            </w:tcMar>
            <w:vAlign w:val="center"/>
            <w:shd w:fill="F7F9FC"/>
          </w:tcPr>
          <w:p>
            <w:bookmarkStart w:id="2134" w:name="po_038"/>
            <w:pPr>
              <w:spacing w:after="0" w:line="254" w:lineRule="auto"/>
              <w:jc w:val="center"/>
            </w:pPr>
            <w:r>
              <w:rPr>
                <w:rFonts w:ascii="Liberation Serif" w:hAnsi="Liberation Serif" w:eastAsia="Liberation Serif"/>
                <w:sz w:val="16"/>
              </w:rPr>
              <w:t>T2-PO-038</w:t>
            </w:r>
            <w:bookmarkEnd w:id="2134"/>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rPr>
          <w:cantSplit/>
        </w:trPr>
        <w:tc>
          <w:tcPr>
            <w:tcW w:type="dxa" w:w="1361"/>
            <w:tcMar>
              <w:top w:w="110" w:type="dxa"/>
              <w:start w:w="105" w:type="dxa"/>
              <w:bottom w:w="110" w:type="dxa"/>
              <w:end w:w="105" w:type="dxa"/>
            </w:tcMar>
            <w:vAlign w:val="center"/>
          </w:tcPr>
          <w:p>
            <w:bookmarkStart w:id="2135" w:name="po_039"/>
            <w:pPr>
              <w:spacing w:after="0" w:line="254" w:lineRule="auto"/>
              <w:jc w:val="center"/>
            </w:pPr>
            <w:r>
              <w:rPr>
                <w:rFonts w:ascii="Liberation Serif" w:hAnsi="Liberation Serif" w:eastAsia="Liberation Serif"/>
                <w:sz w:val="16"/>
              </w:rPr>
              <w:t>T2-PO-039</w:t>
            </w:r>
            <w:bookmarkEnd w:id="2135"/>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rPr>
          <w:cantSplit/>
        </w:trPr>
        <w:tc>
          <w:tcPr>
            <w:tcW w:type="dxa" w:w="1361"/>
            <w:tcMar>
              <w:top w:w="110" w:type="dxa"/>
              <w:start w:w="105" w:type="dxa"/>
              <w:bottom w:w="110" w:type="dxa"/>
              <w:end w:w="105" w:type="dxa"/>
            </w:tcMar>
            <w:vAlign w:val="center"/>
            <w:shd w:fill="F7F9FC"/>
          </w:tcPr>
          <w:p>
            <w:bookmarkStart w:id="2136" w:name="po_040"/>
            <w:pPr>
              <w:spacing w:after="0" w:line="254" w:lineRule="auto"/>
              <w:jc w:val="center"/>
            </w:pPr>
            <w:r>
              <w:rPr>
                <w:rFonts w:ascii="Liberation Serif" w:hAnsi="Liberation Serif" w:eastAsia="Liberation Serif"/>
                <w:sz w:val="16"/>
              </w:rPr>
              <w:t>T2-PO-040</w:t>
            </w:r>
            <w:bookmarkEnd w:id="2136"/>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bookmarkStart w:id="971" w:name="h_846"/>
      <w:pPr>
        <w:pStyle w:val="Heading1"/>
        <w:keepNext/>
      </w:pPr>
      <w:r>
        <w:t>45. Библиографическая синхронизация и контрольная точка v0.5</w:t>
      </w:r>
      <w:bookmarkEnd w:id="971"/>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cantSplit/>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rPr>
          <w:cantSplit/>
        </w:trP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rPr>
          <w:cantSplit/>
        </w:trP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rPr>
          <w:cantSplit/>
        </w:trP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rPr>
          <w:cantSplit/>
        </w:trP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rPr>
          <w:cantSplit/>
        </w:trP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rPr>
          <w:cantSplit/>
        </w:trP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bookmarkStart w:id="972" w:name="h_861"/>
      <w:pPr>
        <w:pStyle w:val="Heading1"/>
        <w:keepNext/>
        <w:jc w:val="center"/>
      </w:pPr>
      <w:r>
        <w:rPr>
          <w:rFonts w:ascii="Liberation Sans" w:hAnsi="Liberation Sans" w:eastAsia="Liberation Sans"/>
          <w:b/>
          <w:color w:val="17365D"/>
          <w:sz w:val="36"/>
        </w:rPr>
        <w:t>ЧАСТЬ VI. КАСАТЕЛЬНЫЕ И КОКАСАТЕЛЬНЫЕ ОБЪЕКТЫ NAPG v0.6</w:t>
      </w:r>
      <w:bookmarkEnd w:id="972"/>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bookmarkStart w:id="973" w:name="h_863"/>
      <w:pPr>
        <w:pStyle w:val="Heading1"/>
        <w:keepNext/>
      </w:pPr>
      <w:r>
        <w:t>46. Паспорт углубления v0.6</w:t>
      </w:r>
      <w:bookmarkEnd w:id="973"/>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cantSplit/>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rPr>
          <w:cantSplit/>
        </w:trP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rPr>
          <w:cantSplit/>
        </w:trP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rPr>
          <w:cantSplit/>
        </w:trP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rPr>
          <w:cantSplit/>
        </w:trP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rPr>
          <w:cantSplit/>
        </w:trP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rPr>
          <w:cantSplit/>
        </w:trP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bookmarkStart w:id="974" w:name="h_870"/>
      <w:pPr>
        <w:pStyle w:val="Heading1"/>
        <w:keepNext/>
      </w:pPr>
      <w:r>
        <w:t>47. Четыре конструкции касательного объекта</w:t>
      </w:r>
      <w:bookmarkEnd w:id="974"/>
    </w:p>
    <w:p>
      <w:pPr>
        <w:pStyle w:val="Heading2"/>
        <w:keepNext/>
      </w:pPr>
      <w:r>
        <w:t>47.1. Дуальные числа и функтор точек</w:t>
      </w:r>
    </w:p>
    <w:p>
      <w:bookmarkStart w:id="1434" w:name="s_DEF_8_1"/>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bookmarkEnd w:id="1434"/>
    </w:p>
    <w:p>
      <w:bookmarkStart w:id="1435" w:name="s_LEM_8_2"/>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bookmarkEnd w:id="1435"/>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bookmarkStart w:id="1436" w:name="s_DEF_8_3"/>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bookmarkEnd w:id="1436"/>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bookmarkStart w:id="1437" w:name="s_DEF_8_4"/>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bookmarkEnd w:id="1437"/>
    </w:p>
    <w:p>
      <w:bookmarkStart w:id="1438" w:name="s_DEF_8_5"/>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bookmarkEnd w:id="1438"/>
    </w:p>
    <w:p>
      <w:pPr>
        <w:keepNext/>
        <w:jc w:val="center"/>
      </w:pPr>
      <w:r>
        <w:drawing>
          <wp:inline xmlns:a="http://schemas.openxmlformats.org/drawingml/2006/main" xmlns:pic="http://schemas.openxmlformats.org/drawingml/2006/picture">
            <wp:extent cx="5760720" cy="1908804"/>
            <wp:docPr id="18" name="Picture 18" descr="Рисунок 14. Сравнение конструкций tangent/cotangent. Совпадение стрелок требует гипотез гладкости и конечности. Собственная схема Тома II." title="Рисунок 14. Сравнение конструкций tangent/cotangent. Совпадение стрелок требует гипотез гладкости и конечности. Собствен"/>
            <wp:cNvGraphicFramePr>
              <a:graphicFrameLocks noChangeAspect="1"/>
            </wp:cNvGraphicFramePr>
            <a:graphic>
              <a:graphicData uri="http://schemas.openxmlformats.org/drawingml/2006/picture">
                <pic:pic>
                  <pic:nvPicPr>
                    <pic:cNvPr id="0" name="fig14_tangent_compare.png" descr="Рисунок 14. Сравнение конструкций tangent/cotangent. Совпадение стрелок требует гипотез гладкости и конечности. Собственная схема Тома II." title="Рисунок 14. Сравнение конструкций tangent/cotangent. Совпадение стрелок требует гипотез гладкости и конечности. Собствен"/>
                    <pic:cNvPicPr/>
                  </pic:nvPicPr>
                  <pic:blipFill>
                    <a:blip r:embed="rId35"/>
                    <a:stretch>
                      <a:fillRect/>
                    </a:stretch>
                  </pic:blipFill>
                  <pic:spPr>
                    <a:xfrm>
                      <a:off x="0" y="0"/>
                      <a:ext cx="5760720" cy="190880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bookmarkStart w:id="975" w:name="h_883"/>
      <w:pPr>
        <w:pStyle w:val="Heading1"/>
        <w:keepNext/>
      </w:pPr>
      <w:r>
        <w:t>48. Касательный конус и сингулярный сектор</w:t>
      </w:r>
      <w:bookmarkEnd w:id="975"/>
    </w:p>
    <w:p>
      <w:pPr>
        <w:pStyle w:val="Heading2"/>
        <w:keepNext/>
      </w:pPr>
      <w:r>
        <w:t>48.1. Фильтрация максимального идеала</w:t>
      </w:r>
    </w:p>
    <w:p>
      <w:bookmarkStart w:id="1439" w:name="s_DEF_8_6"/>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bookmarkEnd w:id="1439"/>
    </w:p>
    <w:p>
      <w:bookmarkStart w:id="1440" w:name="s_PROP_8_7"/>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bookmarkEnd w:id="1440"/>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bookmarkStart w:id="976" w:name="h_892"/>
      <w:pPr>
        <w:pStyle w:val="Heading1"/>
        <w:keepNext/>
      </w:pPr>
      <w:r>
        <w:t>49. Линеаризация пространства операций NAPG</w:t>
      </w:r>
      <w:bookmarkEnd w:id="976"/>
    </w:p>
    <w:p>
      <w:pPr>
        <w:pStyle w:val="Heading2"/>
        <w:keepNext/>
      </w:pPr>
      <w:r>
        <w:t>49.1. Коэффициентное пространство</w:t>
      </w:r>
    </w:p>
    <w:p>
      <w:bookmarkStart w:id="1441" w:name="s_DEF_8_10"/>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bookmarkEnd w:id="1441"/>
    </w:p>
    <w:p>
      <w:pPr>
        <w:spacing w:before="60" w:after="140"/>
        <w:ind w:firstLine="0"/>
        <w:jc w:val="center"/>
      </w:pPr>
      <w:r>
        <w:rPr>
          <w:rFonts w:ascii="Cambria Math" w:hAnsi="Cambria Math" w:eastAsia="Cambria Math"/>
          <w:sz w:val="22"/>
        </w:rPr>
        <w:t>M_NAPG = { μ ∈ U_adm ⊂ C²_adm(A,A) : F(μ)=0 }.</w:t>
      </w:r>
    </w:p>
    <w:p>
      <w:bookmarkStart w:id="1442" w:name="s_DEF_8_11"/>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bookmarkEnd w:id="1442"/>
    </w:p>
    <w:p>
      <w:pPr>
        <w:pStyle w:val="Heading2"/>
        <w:keepNext/>
      </w:pPr>
      <w:r>
        <w:t>49.2. Линеаризация ассоциатора</w:t>
      </w:r>
    </w:p>
    <w:p>
      <w:bookmarkStart w:id="1443" w:name="s_THM_8_12"/>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bookmarkEnd w:id="1443"/>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bookmarkStart w:id="1444" w:name="s_COR_8_13"/>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bookmarkEnd w:id="1444"/>
    </w:p>
    <w:p>
      <w:pPr>
        <w:pStyle w:val="Heading2"/>
        <w:keepNext/>
      </w:pPr>
      <w:r>
        <w:t>49.3. Инфинитезимальные замены базиса</w:t>
      </w:r>
    </w:p>
    <w:p>
      <w:bookmarkStart w:id="1445" w:name="s_DEF_8_14"/>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bookmarkEnd w:id="1445"/>
    </w:p>
    <w:p>
      <w:pPr>
        <w:spacing w:before="60" w:after="140"/>
        <w:ind w:firstLine="0"/>
        <w:jc w:val="center"/>
      </w:pPr>
      <w:r>
        <w:rPr>
          <w:rFonts w:ascii="Cambria Math" w:hAnsi="Cambria Math" w:eastAsia="Cambria Math"/>
          <w:sz w:val="22"/>
        </w:rPr>
        <w:t>d¹_μ(ξ)(a,b)=ξ(μ(a,b))-μ(ξa,b)-μ(a,ξb).</w:t>
      </w:r>
    </w:p>
    <w:p>
      <w:bookmarkStart w:id="1446" w:name="s_THM_8_15"/>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bookmarkEnd w:id="1446"/>
    </w:p>
    <w:p>
      <w:bookmarkStart w:id="1447" w:name="s_DEF_8_16"/>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bookmarkEnd w:id="1447"/>
    </w:p>
    <w:p>
      <w:pPr>
        <w:keepNext/>
        <w:jc w:val="center"/>
      </w:pPr>
      <w:r>
        <w:drawing>
          <wp:inline xmlns:a="http://schemas.openxmlformats.org/drawingml/2006/main" xmlns:pic="http://schemas.openxmlformats.org/drawingml/2006/picture">
            <wp:extent cx="5715000" cy="4017476"/>
            <wp:docPr id="19" name="Picture 19" descr="Рисунок 15. Двухчленный NAPG tangent complex: стабилизаторы, первопорядковые деформации и второпорядковое препятствие. Собственная схема Тома II." title="Рисунок 15. Двухчленный NAPG tangent complex: стабилизаторы, первопорядковые деформации и второпорядковое препятствие. С"/>
            <wp:cNvGraphicFramePr>
              <a:graphicFrameLocks noChangeAspect="1"/>
            </wp:cNvGraphicFramePr>
            <a:graphic>
              <a:graphicData uri="http://schemas.openxmlformats.org/drawingml/2006/picture">
                <pic:pic>
                  <pic:nvPicPr>
                    <pic:cNvPr id="0" name="fig15_napg_tangent.png" descr="Рисунок 15. Двухчленный NAPG tangent complex: стабилизаторы, первопорядковые деформации и второпорядковое препятствие. Собственная схема Тома II." title="Рисунок 15. Двухчленный NAPG tangent complex: стабилизаторы, первопорядковые деформации и второпорядковое препятствие. С"/>
                    <pic:cNvPicPr/>
                  </pic:nvPicPr>
                  <pic:blipFill>
                    <a:blip r:embed="rId36"/>
                    <a:stretch>
                      <a:fillRect/>
                    </a:stretch>
                  </pic:blipFill>
                  <pic:spPr>
                    <a:xfrm>
                      <a:off x="0" y="0"/>
                      <a:ext cx="5715000" cy="4017476"/>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bookmarkStart w:id="977" w:name="h_909"/>
      <w:pPr>
        <w:pStyle w:val="Heading1"/>
        <w:keepNext/>
      </w:pPr>
      <w:r>
        <w:t>50. Касательный комплекс и кокасательная двойственность</w:t>
      </w:r>
      <w:bookmarkEnd w:id="977"/>
    </w:p>
    <w:p>
      <w:pPr>
        <w:pStyle w:val="Heading2"/>
        <w:keepNext/>
      </w:pPr>
      <w:r>
        <w:t>50.1. Двухчленный комплекс модульной задачи</w:t>
      </w:r>
    </w:p>
    <w:p>
      <w:bookmarkStart w:id="1448" w:name="s_DEF_8_17"/>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bookmarkEnd w:id="1448"/>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bookmarkStart w:id="1449" w:name="s_THM_8_18"/>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bookmarkEnd w:id="1449"/>
    </w:p>
    <w:p>
      <w:bookmarkStart w:id="1450" w:name="s_COR_8_19"/>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bookmarkEnd w:id="1450"/>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bookmarkStart w:id="978" w:name="h_917"/>
      <w:pPr>
        <w:pStyle w:val="Heading1"/>
        <w:keepNext/>
      </w:pPr>
      <w:r>
        <w:t>51. Второй порядок и интегрируемость</w:t>
      </w:r>
      <w:bookmarkEnd w:id="978"/>
    </w:p>
    <w:p>
      <w:pPr>
        <w:pStyle w:val="Heading2"/>
        <w:keepNext/>
      </w:pPr>
      <w:r>
        <w:t>51.1. Квадратичное уравнение продолжения</w:t>
      </w:r>
    </w:p>
    <w:p>
      <w:bookmarkStart w:id="1451" w:name="s_DEF_8_20"/>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bookmarkEnd w:id="1451"/>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bookmarkStart w:id="1452" w:name="s_THM_8_21"/>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bookmarkEnd w:id="1452"/>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bookmarkStart w:id="979" w:name="h_926"/>
      <w:pPr>
        <w:pStyle w:val="Heading1"/>
        <w:keepNext/>
      </w:pPr>
      <w:r>
        <w:t>52. Область гладкости NAPG</w:t>
      </w:r>
      <w:bookmarkEnd w:id="979"/>
    </w:p>
    <w:p>
      <w:pPr>
        <w:pStyle w:val="Heading2"/>
        <w:keepNext/>
      </w:pPr>
      <w:r>
        <w:t>52.1. Формальная и дифференциальная гладкость</w:t>
      </w:r>
    </w:p>
    <w:p>
      <w:bookmarkStart w:id="1453" w:name="s_DEF_8_23"/>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bookmarkEnd w:id="1453"/>
    </w:p>
    <w:p>
      <w:bookmarkStart w:id="1454" w:name="s_DEF_8_24"/>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bookmarkEnd w:id="1454"/>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bookmarkStart w:id="1455" w:name="s_DEF_8_26"/>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bookmarkEnd w:id="1455"/>
    </w:p>
    <w:p>
      <w:pPr>
        <w:spacing w:before="60" w:after="140"/>
        <w:ind w:firstLine="0"/>
        <w:jc w:val="center"/>
      </w:pPr>
      <w:r>
        <w:rPr>
          <w:rFonts w:ascii="Cambria Math" w:hAnsi="Cambria Math" w:eastAsia="Cambria Math"/>
          <w:sz w:val="22"/>
        </w:rPr>
        <w:t>Δ_safe = Δ_total ∪ Δ_lin.</w:t>
      </w:r>
    </w:p>
    <w:p>
      <w:bookmarkStart w:id="1456" w:name="s_THM_8_27"/>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bookmarkEnd w:id="1456"/>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bookmarkStart w:id="980" w:name="h_937"/>
      <w:pPr>
        <w:pStyle w:val="Heading1"/>
        <w:keepNext/>
      </w:pPr>
      <w:r>
        <w:t>53. Дифференциал проективно-гармонической координаты</w:t>
      </w:r>
      <w:bookmarkEnd w:id="980"/>
    </w:p>
    <w:p>
      <w:pPr>
        <w:pStyle w:val="Heading2"/>
        <w:keepNext/>
      </w:pPr>
      <w:r>
        <w:t>53.1. Логарифмическая производная λ</w:t>
      </w:r>
    </w:p>
    <w:p>
      <w:bookmarkStart w:id="1457" w:name="s_THM_8_28"/>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bookmarkEnd w:id="1457"/>
    </w:p>
    <w:p>
      <w:pPr>
        <w:spacing w:before="60" w:after="140"/>
        <w:ind w:firstLine="0"/>
        <w:jc w:val="center"/>
      </w:pPr>
      <w:r>
        <w:rPr>
          <w:rFonts w:ascii="Cambria Math" w:hAnsi="Cambria Math" w:eastAsia="Cambria Math"/>
          <w:sz w:val="22"/>
        </w:rPr>
        <w:t>dλ/λ = (du-dr)/(u-r) + (di-dd)/(i-d) - (du-dd)/(u-d) - (di-dr)/(i-r).</w:t>
      </w:r>
    </w:p>
    <w:p>
      <w:bookmarkStart w:id="1458" w:name="s_COR_8_29"/>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bookmarkEnd w:id="1458"/>
    </w:p>
    <w:p>
      <w:pPr>
        <w:pStyle w:val="Heading2"/>
        <w:keepNext/>
      </w:pPr>
      <w:r>
        <w:t>53.2. Вырождение квадратичного дефекта</w:t>
      </w:r>
    </w:p>
    <w:p>
      <w:bookmarkStart w:id="1459" w:name="s_DEF_8_30"/>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bookmarkEnd w:id="1459"/>
    </w:p>
    <w:p>
      <w:bookmarkStart w:id="1460" w:name="s_THM_8_31"/>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bookmarkEnd w:id="1460"/>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bookmarkStart w:id="981" w:name="h_946"/>
      <w:pPr>
        <w:pStyle w:val="Heading1"/>
        <w:keepNext/>
      </w:pPr>
      <w:r>
        <w:t>54. Локальный предсказательный конус</w:t>
      </w:r>
      <w:bookmarkEnd w:id="981"/>
    </w:p>
    <w:p>
      <w:pPr>
        <w:pStyle w:val="Heading2"/>
        <w:keepNext/>
      </w:pPr>
      <w:r>
        <w:t>54.1. Составная карта ограничений</w:t>
      </w:r>
    </w:p>
    <w:p>
      <w:bookmarkStart w:id="1461" w:name="s_DEF_8_32"/>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bookmarkEnd w:id="1461"/>
    </w:p>
    <w:p>
      <w:bookmarkStart w:id="1462" w:name="s_DEF_8_33"/>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bookmarkEnd w:id="1462"/>
    </w:p>
    <w:p>
      <w:pPr>
        <w:spacing w:before="60" w:after="140"/>
        <w:ind w:firstLine="0"/>
        <w:jc w:val="center"/>
      </w:pPr>
      <w:r>
        <w:rPr>
          <w:rFonts w:ascii="Cambria Math" w:hAnsi="Cambria Math" w:eastAsia="Cambria Math"/>
          <w:sz w:val="22"/>
        </w:rPr>
        <w:t>Block_tan = B_rank ∪ B_cone ∪ B_ob2 ∪ B_arc ∪ B_dual ∪ B_lambda ∪ B_D ∪ B_Dom ∪ B_glue.</w:t>
      </w:r>
    </w:p>
    <w:p>
      <w:bookmarkStart w:id="1463" w:name="s_THM_8_34"/>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bookmarkEnd w:id="1463"/>
    </w:p>
    <w:p>
      <w:bookmarkStart w:id="1464" w:name="s_THM_8_35"/>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bookmarkEnd w:id="1464"/>
    </w:p>
    <w:p>
      <w:pPr>
        <w:keepNext/>
        <w:jc w:val="center"/>
      </w:pPr>
      <w:r>
        <w:drawing>
          <wp:inline xmlns:a="http://schemas.openxmlformats.org/drawingml/2006/main" xmlns:pic="http://schemas.openxmlformats.org/drawingml/2006/picture">
            <wp:extent cx="5715000" cy="8724744"/>
            <wp:docPr id="20" name="Picture 20" descr="Рисунок 16. Локальный предсказательный шлюз v0.6: от линейного направления к интегрируемой допустимой дуге. Собственная схема Тома II." title="Рисунок 16. Локальный предсказательный шлюз v0.6: от линейного направления к интегрируемой допустимой дуге. Собственная "/>
            <wp:cNvGraphicFramePr>
              <a:graphicFrameLocks noChangeAspect="1"/>
            </wp:cNvGraphicFramePr>
            <a:graphic>
              <a:graphicData uri="http://schemas.openxmlformats.org/drawingml/2006/picture">
                <pic:pic>
                  <pic:nvPicPr>
                    <pic:cNvPr id="0" name="fig16_tangent_gate.png" descr="Рисунок 16. Локальный предсказательный шлюз v0.6: от линейного направления к интегрируемой допустимой дуге. Собственная схема Тома II." title="Рисунок 16. Локальный предсказательный шлюз v0.6: от линейного направления к интегрируемой допустимой дуге. Собственная "/>
                    <pic:cNvPicPr/>
                  </pic:nvPicPr>
                  <pic:blipFill>
                    <a:blip r:embed="rId37"/>
                    <a:stretch>
                      <a:fillRect/>
                    </a:stretch>
                  </pic:blipFill>
                  <pic:spPr>
                    <a:xfrm>
                      <a:off x="0" y="0"/>
                      <a:ext cx="5715000" cy="872474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bookmarkStart w:id="982" w:name="h_955"/>
      <w:pPr>
        <w:pStyle w:val="Heading1"/>
        <w:keepNext/>
      </w:pPr>
      <w:r>
        <w:t>55. Вычислительный сертификат tangent/cotangent v0.6</w:t>
      </w:r>
      <w:bookmarkEnd w:id="982"/>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cantSplit/>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rPr>
          <w:tblHeader w:val="true"/>
          <w:cantSplit/>
        </w:trP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bookmarkStart w:id="983" w:name="h_975"/>
      <w:pPr>
        <w:pStyle w:val="Heading1"/>
        <w:keepNext/>
      </w:pPr>
      <w:r>
        <w:t>56. Теоремный пакет и доказательные обязательства v0.6</w:t>
      </w:r>
      <w:bookmarkEnd w:id="983"/>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cantSplit/>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rPr>
          <w:cantSplit/>
        </w:trP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rPr>
          <w:cantSplit/>
        </w:trP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cantSplit/>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rPr>
          <w:cantSplit/>
        </w:trPr>
        <w:tc>
          <w:tcPr>
            <w:tcW w:type="dxa" w:w="1361"/>
            <w:tcMar>
              <w:top w:w="110" w:type="dxa"/>
              <w:start w:w="105" w:type="dxa"/>
              <w:bottom w:w="110" w:type="dxa"/>
              <w:end w:w="105" w:type="dxa"/>
            </w:tcMar>
            <w:vAlign w:val="center"/>
          </w:tcPr>
          <w:p>
            <w:bookmarkStart w:id="2137" w:name="po_041"/>
            <w:pPr>
              <w:spacing w:after="0" w:line="254" w:lineRule="auto"/>
              <w:jc w:val="center"/>
            </w:pPr>
            <w:r>
              <w:rPr>
                <w:rFonts w:ascii="Liberation Serif" w:hAnsi="Liberation Serif" w:eastAsia="Liberation Serif"/>
                <w:sz w:val="16"/>
              </w:rPr>
              <w:t>T2-PO-041</w:t>
            </w:r>
            <w:bookmarkEnd w:id="2137"/>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rPr>
          <w:cantSplit/>
        </w:trPr>
        <w:tc>
          <w:tcPr>
            <w:tcW w:type="dxa" w:w="1361"/>
            <w:tcMar>
              <w:top w:w="110" w:type="dxa"/>
              <w:start w:w="105" w:type="dxa"/>
              <w:bottom w:w="110" w:type="dxa"/>
              <w:end w:w="105" w:type="dxa"/>
            </w:tcMar>
            <w:vAlign w:val="center"/>
            <w:shd w:fill="F7F9FC"/>
          </w:tcPr>
          <w:p>
            <w:bookmarkStart w:id="2138" w:name="po_042"/>
            <w:pPr>
              <w:spacing w:after="0" w:line="254" w:lineRule="auto"/>
              <w:jc w:val="center"/>
            </w:pPr>
            <w:r>
              <w:rPr>
                <w:rFonts w:ascii="Liberation Serif" w:hAnsi="Liberation Serif" w:eastAsia="Liberation Serif"/>
                <w:sz w:val="16"/>
              </w:rPr>
              <w:t>T2-PO-042</w:t>
            </w:r>
            <w:bookmarkEnd w:id="2138"/>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rPr>
          <w:cantSplit/>
        </w:trPr>
        <w:tc>
          <w:tcPr>
            <w:tcW w:type="dxa" w:w="1361"/>
            <w:tcMar>
              <w:top w:w="110" w:type="dxa"/>
              <w:start w:w="105" w:type="dxa"/>
              <w:bottom w:w="110" w:type="dxa"/>
              <w:end w:w="105" w:type="dxa"/>
            </w:tcMar>
            <w:vAlign w:val="center"/>
          </w:tcPr>
          <w:p>
            <w:bookmarkStart w:id="2139" w:name="po_043"/>
            <w:pPr>
              <w:spacing w:after="0" w:line="254" w:lineRule="auto"/>
              <w:jc w:val="center"/>
            </w:pPr>
            <w:r>
              <w:rPr>
                <w:rFonts w:ascii="Liberation Serif" w:hAnsi="Liberation Serif" w:eastAsia="Liberation Serif"/>
                <w:sz w:val="16"/>
              </w:rPr>
              <w:t>T2-PO-043</w:t>
            </w:r>
            <w:bookmarkEnd w:id="2139"/>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rPr>
          <w:cantSplit/>
        </w:trPr>
        <w:tc>
          <w:tcPr>
            <w:tcW w:type="dxa" w:w="1361"/>
            <w:tcMar>
              <w:top w:w="110" w:type="dxa"/>
              <w:start w:w="105" w:type="dxa"/>
              <w:bottom w:w="110" w:type="dxa"/>
              <w:end w:w="105" w:type="dxa"/>
            </w:tcMar>
            <w:vAlign w:val="center"/>
            <w:shd w:fill="F7F9FC"/>
          </w:tcPr>
          <w:p>
            <w:bookmarkStart w:id="2140" w:name="po_044"/>
            <w:pPr>
              <w:spacing w:after="0" w:line="254" w:lineRule="auto"/>
              <w:jc w:val="center"/>
            </w:pPr>
            <w:r>
              <w:rPr>
                <w:rFonts w:ascii="Liberation Serif" w:hAnsi="Liberation Serif" w:eastAsia="Liberation Serif"/>
                <w:sz w:val="16"/>
              </w:rPr>
              <w:t>T2-PO-044</w:t>
            </w:r>
            <w:bookmarkEnd w:id="2140"/>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rPr>
          <w:cantSplit/>
        </w:trPr>
        <w:tc>
          <w:tcPr>
            <w:tcW w:type="dxa" w:w="1361"/>
            <w:tcMar>
              <w:top w:w="110" w:type="dxa"/>
              <w:start w:w="105" w:type="dxa"/>
              <w:bottom w:w="110" w:type="dxa"/>
              <w:end w:w="105" w:type="dxa"/>
            </w:tcMar>
            <w:vAlign w:val="center"/>
          </w:tcPr>
          <w:p>
            <w:bookmarkStart w:id="2141" w:name="po_045"/>
            <w:pPr>
              <w:spacing w:after="0" w:line="254" w:lineRule="auto"/>
              <w:jc w:val="center"/>
            </w:pPr>
            <w:r>
              <w:rPr>
                <w:rFonts w:ascii="Liberation Serif" w:hAnsi="Liberation Serif" w:eastAsia="Liberation Serif"/>
                <w:sz w:val="16"/>
              </w:rPr>
              <w:t>T2-PO-045</w:t>
            </w:r>
            <w:bookmarkEnd w:id="2141"/>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rPr>
          <w:cantSplit/>
        </w:trPr>
        <w:tc>
          <w:tcPr>
            <w:tcW w:type="dxa" w:w="1361"/>
            <w:tcMar>
              <w:top w:w="110" w:type="dxa"/>
              <w:start w:w="105" w:type="dxa"/>
              <w:bottom w:w="110" w:type="dxa"/>
              <w:end w:w="105" w:type="dxa"/>
            </w:tcMar>
            <w:vAlign w:val="center"/>
            <w:shd w:fill="F7F9FC"/>
          </w:tcPr>
          <w:p>
            <w:bookmarkStart w:id="2142" w:name="po_046"/>
            <w:pPr>
              <w:spacing w:after="0" w:line="254" w:lineRule="auto"/>
              <w:jc w:val="center"/>
            </w:pPr>
            <w:r>
              <w:rPr>
                <w:rFonts w:ascii="Liberation Serif" w:hAnsi="Liberation Serif" w:eastAsia="Liberation Serif"/>
                <w:sz w:val="16"/>
              </w:rPr>
              <w:t>T2-PO-046</w:t>
            </w:r>
            <w:bookmarkEnd w:id="2142"/>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rPr>
          <w:cantSplit/>
        </w:trPr>
        <w:tc>
          <w:tcPr>
            <w:tcW w:type="dxa" w:w="1361"/>
            <w:tcMar>
              <w:top w:w="110" w:type="dxa"/>
              <w:start w:w="105" w:type="dxa"/>
              <w:bottom w:w="110" w:type="dxa"/>
              <w:end w:w="105" w:type="dxa"/>
            </w:tcMar>
            <w:vAlign w:val="center"/>
          </w:tcPr>
          <w:p>
            <w:bookmarkStart w:id="2143" w:name="po_047"/>
            <w:pPr>
              <w:spacing w:after="0" w:line="254" w:lineRule="auto"/>
              <w:jc w:val="center"/>
            </w:pPr>
            <w:r>
              <w:rPr>
                <w:rFonts w:ascii="Liberation Serif" w:hAnsi="Liberation Serif" w:eastAsia="Liberation Serif"/>
                <w:sz w:val="16"/>
              </w:rPr>
              <w:t>T2-PO-047</w:t>
            </w:r>
            <w:bookmarkEnd w:id="2143"/>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rPr>
          <w:cantSplit/>
        </w:trPr>
        <w:tc>
          <w:tcPr>
            <w:tcW w:type="dxa" w:w="1361"/>
            <w:tcMar>
              <w:top w:w="110" w:type="dxa"/>
              <w:start w:w="105" w:type="dxa"/>
              <w:bottom w:w="110" w:type="dxa"/>
              <w:end w:w="105" w:type="dxa"/>
            </w:tcMar>
            <w:vAlign w:val="center"/>
            <w:shd w:fill="F7F9FC"/>
          </w:tcPr>
          <w:p>
            <w:bookmarkStart w:id="2144" w:name="po_048"/>
            <w:pPr>
              <w:spacing w:after="0" w:line="254" w:lineRule="auto"/>
              <w:jc w:val="center"/>
            </w:pPr>
            <w:r>
              <w:rPr>
                <w:rFonts w:ascii="Liberation Serif" w:hAnsi="Liberation Serif" w:eastAsia="Liberation Serif"/>
                <w:sz w:val="16"/>
              </w:rPr>
              <w:t>T2-PO-048</w:t>
            </w:r>
            <w:bookmarkEnd w:id="2144"/>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rPr>
          <w:cantSplit/>
        </w:trPr>
        <w:tc>
          <w:tcPr>
            <w:tcW w:type="dxa" w:w="1361"/>
            <w:tcMar>
              <w:top w:w="110" w:type="dxa"/>
              <w:start w:w="105" w:type="dxa"/>
              <w:bottom w:w="110" w:type="dxa"/>
              <w:end w:w="105" w:type="dxa"/>
            </w:tcMar>
            <w:vAlign w:val="center"/>
          </w:tcPr>
          <w:p>
            <w:bookmarkStart w:id="2145" w:name="po_049"/>
            <w:pPr>
              <w:spacing w:after="0" w:line="254" w:lineRule="auto"/>
              <w:jc w:val="center"/>
            </w:pPr>
            <w:r>
              <w:rPr>
                <w:rFonts w:ascii="Liberation Serif" w:hAnsi="Liberation Serif" w:eastAsia="Liberation Serif"/>
                <w:sz w:val="16"/>
              </w:rPr>
              <w:t>T2-PO-049</w:t>
            </w:r>
            <w:bookmarkEnd w:id="2145"/>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rPr>
          <w:cantSplit/>
        </w:trPr>
        <w:tc>
          <w:tcPr>
            <w:tcW w:type="dxa" w:w="1361"/>
            <w:tcMar>
              <w:top w:w="110" w:type="dxa"/>
              <w:start w:w="105" w:type="dxa"/>
              <w:bottom w:w="110" w:type="dxa"/>
              <w:end w:w="105" w:type="dxa"/>
            </w:tcMar>
            <w:vAlign w:val="center"/>
            <w:shd w:fill="F7F9FC"/>
          </w:tcPr>
          <w:p>
            <w:bookmarkStart w:id="2146" w:name="po_050"/>
            <w:pPr>
              <w:spacing w:after="0" w:line="254" w:lineRule="auto"/>
              <w:jc w:val="center"/>
            </w:pPr>
            <w:r>
              <w:rPr>
                <w:rFonts w:ascii="Liberation Serif" w:hAnsi="Liberation Serif" w:eastAsia="Liberation Serif"/>
                <w:sz w:val="16"/>
              </w:rPr>
              <w:t>T2-PO-050</w:t>
            </w:r>
            <w:bookmarkEnd w:id="2146"/>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rPr>
          <w:cantSplit/>
        </w:trPr>
        <w:tc>
          <w:tcPr>
            <w:tcW w:type="dxa" w:w="1361"/>
            <w:tcMar>
              <w:top w:w="110" w:type="dxa"/>
              <w:start w:w="105" w:type="dxa"/>
              <w:bottom w:w="110" w:type="dxa"/>
              <w:end w:w="105" w:type="dxa"/>
            </w:tcMar>
            <w:vAlign w:val="center"/>
          </w:tcPr>
          <w:p>
            <w:bookmarkStart w:id="2147" w:name="po_051"/>
            <w:pPr>
              <w:spacing w:after="0" w:line="254" w:lineRule="auto"/>
              <w:jc w:val="center"/>
            </w:pPr>
            <w:r>
              <w:rPr>
                <w:rFonts w:ascii="Liberation Serif" w:hAnsi="Liberation Serif" w:eastAsia="Liberation Serif"/>
                <w:sz w:val="16"/>
              </w:rPr>
              <w:t>T2-PO-051</w:t>
            </w:r>
            <w:bookmarkEnd w:id="2147"/>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rPr>
          <w:cantSplit/>
        </w:trPr>
        <w:tc>
          <w:tcPr>
            <w:tcW w:type="dxa" w:w="1361"/>
            <w:tcMar>
              <w:top w:w="110" w:type="dxa"/>
              <w:start w:w="105" w:type="dxa"/>
              <w:bottom w:w="110" w:type="dxa"/>
              <w:end w:w="105" w:type="dxa"/>
            </w:tcMar>
            <w:vAlign w:val="center"/>
            <w:shd w:fill="F7F9FC"/>
          </w:tcPr>
          <w:p>
            <w:bookmarkStart w:id="2148" w:name="po_052"/>
            <w:pPr>
              <w:spacing w:after="0" w:line="254" w:lineRule="auto"/>
              <w:jc w:val="center"/>
            </w:pPr>
            <w:r>
              <w:rPr>
                <w:rFonts w:ascii="Liberation Serif" w:hAnsi="Liberation Serif" w:eastAsia="Liberation Serif"/>
                <w:sz w:val="16"/>
              </w:rPr>
              <w:t>T2-PO-052</w:t>
            </w:r>
            <w:bookmarkEnd w:id="2148"/>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rPr>
          <w:cantSplit/>
        </w:trPr>
        <w:tc>
          <w:tcPr>
            <w:tcW w:type="dxa" w:w="1361"/>
            <w:tcMar>
              <w:top w:w="110" w:type="dxa"/>
              <w:start w:w="105" w:type="dxa"/>
              <w:bottom w:w="110" w:type="dxa"/>
              <w:end w:w="105" w:type="dxa"/>
            </w:tcMar>
            <w:vAlign w:val="center"/>
          </w:tcPr>
          <w:p>
            <w:bookmarkStart w:id="2149" w:name="po_053"/>
            <w:pPr>
              <w:spacing w:after="0" w:line="254" w:lineRule="auto"/>
              <w:jc w:val="center"/>
            </w:pPr>
            <w:r>
              <w:rPr>
                <w:rFonts w:ascii="Liberation Serif" w:hAnsi="Liberation Serif" w:eastAsia="Liberation Serif"/>
                <w:sz w:val="16"/>
              </w:rPr>
              <w:t>T2-PO-053</w:t>
            </w:r>
            <w:bookmarkEnd w:id="2149"/>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bookmarkStart w:id="984" w:name="h_980"/>
      <w:pPr>
        <w:pStyle w:val="Heading1"/>
        <w:keepNext/>
      </w:pPr>
      <w:r>
        <w:t>57. Библиографическая синхронизация и контрольная точка v0.6</w:t>
      </w:r>
      <w:bookmarkEnd w:id="984"/>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rPr>
          <w:tblHeader w:val="true"/>
          <w:cantSplit/>
        </w:trP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cantSplit/>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rPr>
          <w:cantSplit/>
        </w:trP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rPr>
          <w:cantSplit/>
        </w:trP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rPr>
          <w:cantSplit/>
        </w:trP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rPr>
          <w:cantSplit/>
        </w:trP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rPr>
          <w:cantSplit/>
        </w:trP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rPr>
          <w:cantSplit/>
        </w:trP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bookmarkStart w:id="985" w:name="h_997"/>
      <w:pPr>
        <w:pStyle w:val="Heading1"/>
        <w:pageBreakBefore w:val="0"/>
        <w:spacing w:before="200" w:after="100"/>
        <w:keepNext/>
      </w:pPr>
      <w:r>
        <w:t>58. Глава 9: связности, кривизна, голономия и ассоциаторная кривизна</w:t>
      </w:r>
      <w:bookmarkEnd w:id="985"/>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rPr>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rPr>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rPr>
          <w:cantSplit/>
        </w:trP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descr="Рисунок 17. Два слоя и четыре допустимых моста: C_∇, ∇Ass, K_Ass и H_Ass. Собственная схема Тома II." title="Рисунок 17. Два слоя и четыре допустимых моста: C_∇, ∇Ass, K_Ass и H_Ass. Собственная схема Тома II."/>
            <wp:cNvGraphicFramePr>
              <a:graphicFrameLocks noChangeAspect="1"/>
            </wp:cNvGraphicFramePr>
            <a:graphic>
              <a:graphicData uri="http://schemas.openxmlformats.org/drawingml/2006/picture">
                <pic:pic>
                  <pic:nvPicPr>
                    <pic:cNvPr id="0" name="fig17_bridge.png" descr="Рисунок 17. Два слоя и четыре допустимых моста: C_∇, ∇Ass, K_Ass и H_Ass. Собственная схема Тома II." title="Рисунок 17. Два слоя и четыре допустимых моста: C_∇, ∇Ass, K_Ass и H_Ass. Собственная схема Тома II."/>
                    <pic:cNvPicPr/>
                  </pic:nvPicPr>
                  <pic:blipFill>
                    <a:blip r:embed="rId47"/>
                    <a:stretch>
                      <a:fillRect/>
                    </a:stretch>
                  </pic:blipFill>
                  <pic:spPr>
                    <a:xfrm>
                      <a:off x="0" y="0"/>
                      <a:ext cx="6172200" cy="3597091"/>
                    </a:xfrm>
                    <a:prstGeom prst="rect"/>
                  </pic:spPr>
                </pic:pic>
              </a:graphicData>
            </a:graphic>
          </wp:inline>
        </w:drawing>
      </w:r>
    </w:p>
    <w:p>
      <w:pPr>
        <w:pStyle w:val="Caption"/>
        <w:keepNext/>
        <w:spacing w:after="120"/>
        <w:jc w:val="center"/>
      </w:pPr>
      <w:r>
        <w:t>Рисунок 17. Два слоя и четыре допустимых моста: C_∇, ∇Ass, K_Ass и H_Ass. Собственная схема Тома II.</w:t>
      </w:r>
    </w:p>
    <w:p>
      <w:bookmarkStart w:id="986" w:name="h_1002"/>
      <w:pPr>
        <w:pStyle w:val="Heading1"/>
        <w:pageBreakBefore w:val="0"/>
        <w:spacing w:before="200" w:after="100"/>
        <w:keepNext/>
      </w:pPr>
      <w:r>
        <w:t>59. Типизированная NAPG-связность и D-допустимые пути</w:t>
      </w:r>
      <w:bookmarkEnd w:id="986"/>
    </w:p>
    <w:p>
      <w:pPr>
        <w:pStyle w:val="Heading2"/>
        <w:pageBreakBefore w:val="0"/>
        <w:spacing w:before="140" w:after="100"/>
        <w:keepNext/>
      </w:pPr>
      <w:r>
        <w:t>59.1. Алгебраическое расслоение</w:t>
      </w:r>
    </w:p>
    <w:p>
      <w:bookmarkStart w:id="1465" w:name="s_DEF_9_1"/>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bookmarkEnd w:id="1465"/>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bookmarkStart w:id="1466" w:name="s_DEF_9_2"/>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bookmarkEnd w:id="1466"/>
    </w:p>
    <w:tbl>
      <w:tblPr>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bookmarkStart w:id="1467" w:name="s_DEF_9_3"/>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bookmarkEnd w:id="1467"/>
    </w:p>
    <w:p>
      <w:pPr>
        <w:spacing w:before="60" w:after="100"/>
        <w:jc w:val="center"/>
      </w:pPr>
      <w:r>
        <w:rPr>
          <w:rFonts w:ascii="Cambria Math" w:hAnsi="Cambria Math" w:eastAsia="Cambria Math"/>
          <w:sz w:val="22"/>
        </w:rPr>
        <w:t>∇ : Γ(A) → Ω¹(X;A),     ∇(f s)=d f ⊗ s + f ∇s.</w:t>
      </w:r>
    </w:p>
    <w:p>
      <w:bookmarkStart w:id="1468" w:name="s_DEF_9_4"/>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bookmarkEnd w:id="1468"/>
    </w:p>
    <w:p>
      <w:bookmarkStart w:id="1469" w:name="s_THM_9_5"/>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bookmarkEnd w:id="1469"/>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bookmarkStart w:id="1470" w:name="s_COR_9_6"/>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bookmarkEnd w:id="1470"/>
    </w:p>
    <w:p>
      <w:bookmarkStart w:id="987" w:name="h_1017"/>
      <w:pPr>
        <w:pStyle w:val="Heading1"/>
        <w:pageBreakBefore w:val="0"/>
        <w:spacing w:before="200" w:after="100"/>
        <w:keepNext/>
      </w:pPr>
      <w:r>
        <w:t>60. Кривизна, малые контуры и D-голономия</w:t>
      </w:r>
      <w:bookmarkEnd w:id="987"/>
    </w:p>
    <w:p>
      <w:pPr>
        <w:pStyle w:val="Heading2"/>
        <w:pageBreakBefore w:val="0"/>
        <w:spacing w:before="140" w:after="100"/>
        <w:keepNext/>
      </w:pPr>
      <w:r>
        <w:t>60.1. Кривизна связности</w:t>
      </w:r>
    </w:p>
    <w:p>
      <w:bookmarkStart w:id="1471" w:name="s_DEF_9_7"/>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bookmarkEnd w:id="1471"/>
    </w:p>
    <w:p>
      <w:pPr>
        <w:spacing w:before="60" w:after="100"/>
        <w:jc w:val="center"/>
      </w:pPr>
      <w:r>
        <w:rPr>
          <w:rFonts w:ascii="Cambria Math" w:hAnsi="Cambria Math" w:eastAsia="Cambria Math"/>
          <w:sz w:val="22"/>
        </w:rPr>
        <w:t>R_∇ ∈ Ω²(X;End(A)),     R_∇(X,Y)=[∇_X,∇_Y]-∇_[X,Y].</w:t>
      </w:r>
    </w:p>
    <w:p>
      <w:bookmarkStart w:id="1472" w:name="s_DEF_9_8"/>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bookmarkEnd w:id="1472"/>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bookmarkStart w:id="1473" w:name="s_THM_9_9"/>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bookmarkEnd w:id="1473"/>
    </w:p>
    <w:p>
      <w:pPr>
        <w:pStyle w:val="Heading2"/>
        <w:pageBreakBefore w:val="0"/>
        <w:spacing w:before="140" w:after="100"/>
        <w:keepNext/>
      </w:pPr>
      <w:r>
        <w:t>60.2. D-голономия</w:t>
      </w:r>
    </w:p>
    <w:p>
      <w:bookmarkStart w:id="1474" w:name="s_DEF_9_10"/>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bookmarkEnd w:id="1474"/>
    </w:p>
    <w:p>
      <w:pPr>
        <w:spacing w:before="60" w:after="100"/>
        <w:jc w:val="center"/>
      </w:pPr>
      <w:r>
        <w:rPr>
          <w:rFonts w:ascii="Cambria Math" w:hAnsi="Cambria Math" w:eastAsia="Cambria Math"/>
          <w:sz w:val="22"/>
        </w:rPr>
        <w:t>Hol_D(x) ⊂ GL(A_x).</w:t>
      </w:r>
    </w:p>
    <w:p>
      <w:bookmarkStart w:id="1475" w:name="s_PROP_9_11"/>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bookmarkEnd w:id="1475"/>
    </w:p>
    <w:p>
      <w:bookmarkStart w:id="1476" w:name="s_THM_9_12"/>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bookmarkEnd w:id="1476"/>
    </w:p>
    <w:p>
      <w:bookmarkStart w:id="1477" w:name="s_HYP_9_13"/>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bookmarkEnd w:id="1477"/>
    </w:p>
    <w:p>
      <w:bookmarkStart w:id="988" w:name="h_1031"/>
      <w:pPr>
        <w:pStyle w:val="Heading1"/>
        <w:pageBreakBefore w:val="0"/>
        <w:spacing w:before="200" w:after="100"/>
        <w:keepNext/>
      </w:pPr>
      <w:r>
        <w:t>61. Совместимость связности с пакетным умножением</w:t>
      </w:r>
      <w:bookmarkEnd w:id="988"/>
    </w:p>
    <w:p>
      <w:pPr>
        <w:pStyle w:val="Heading2"/>
        <w:pageBreakBefore w:val="0"/>
        <w:spacing w:before="140" w:after="100"/>
        <w:keepNext/>
      </w:pPr>
      <w:r>
        <w:t>61.1. Дефект Лейбница для ⊙</w:t>
      </w:r>
    </w:p>
    <w:p>
      <w:bookmarkStart w:id="1478" w:name="s_DEF_9_14"/>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bookmarkEnd w:id="1478"/>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bookmarkStart w:id="1479" w:name="s_DEF_9_15"/>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bookmarkEnd w:id="1479"/>
    </w:p>
    <w:p>
      <w:bookmarkStart w:id="1480" w:name="s_THM_9_16"/>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bookmarkEnd w:id="1480"/>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bookmarkStart w:id="1481" w:name="s_COR_9_17"/>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bookmarkEnd w:id="1481"/>
    </w:p>
    <w:p>
      <w:pPr>
        <w:pStyle w:val="Heading2"/>
        <w:pageBreakBefore w:val="0"/>
        <w:spacing w:before="140" w:after="100"/>
        <w:keepNext/>
      </w:pPr>
      <w:r>
        <w:t>61.2. Дефекты конечного переноса</w:t>
      </w:r>
    </w:p>
    <w:p>
      <w:bookmarkStart w:id="1482" w:name="s_DEF_9_18"/>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bookmarkEnd w:id="1482"/>
    </w:p>
    <w:p>
      <w:pPr>
        <w:spacing w:before="60" w:after="100"/>
        <w:jc w:val="center"/>
      </w:pPr>
      <w:r>
        <w:rPr>
          <w:rFonts w:ascii="Cambria Math" w:hAnsi="Cambria Math" w:eastAsia="Cambria Math"/>
          <w:sz w:val="22"/>
        </w:rPr>
        <w:t>H_⊙(γ;a,b)=P_γ(a⊙_x b)-P_γ(a)⊙_yP_γ(b).</w:t>
      </w:r>
    </w:p>
    <w:p>
      <w:bookmarkStart w:id="1483" w:name="s_DEF_9_19"/>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bookmarkEnd w:id="1483"/>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bookmarkStart w:id="989" w:name="h_1047"/>
      <w:pPr>
        <w:pStyle w:val="Heading1"/>
        <w:pageBreakBefore w:val="0"/>
        <w:spacing w:before="200" w:after="100"/>
        <w:keepNext/>
      </w:pPr>
      <w:r>
        <w:t>62. Ковариантная производная и ассоциаторная кривизна</w:t>
      </w:r>
      <w:bookmarkEnd w:id="989"/>
    </w:p>
    <w:p>
      <w:pPr>
        <w:pStyle w:val="Heading2"/>
        <w:pageBreakBefore w:val="0"/>
        <w:spacing w:before="140" w:after="100"/>
        <w:keepNext/>
      </w:pPr>
      <w:r>
        <w:t>62.1. Точная формула для ∇Ass</w:t>
      </w:r>
    </w:p>
    <w:p>
      <w:bookmarkStart w:id="1484" w:name="s_THM_9_20"/>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bookmarkEnd w:id="1484"/>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bookmarkStart w:id="1485" w:name="s_COR_9_21"/>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bookmarkEnd w:id="1485"/>
    </w:p>
    <w:p>
      <w:pPr>
        <w:pStyle w:val="Heading2"/>
        <w:pageBreakBefore w:val="0"/>
        <w:spacing w:before="140" w:after="100"/>
        <w:keepNext/>
      </w:pPr>
      <w:r>
        <w:t>62.2. Индуцированная кривизна на тернарных тензорах</w:t>
      </w:r>
    </w:p>
    <w:p>
      <w:bookmarkStart w:id="1486" w:name="s_DEF_9_22"/>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bookmarkEnd w:id="1486"/>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bookmarkStart w:id="1487" w:name="s_THM_9_23"/>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bookmarkEnd w:id="1487"/>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bookmarkStart w:id="1488" w:name="s_DEF_9_25"/>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bookmarkEnd w:id="1488"/>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bookmarkStart w:id="1489" w:name="s_THM_9_26"/>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bookmarkEnd w:id="1489"/>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bookmarkStart w:id="990" w:name="h_1066"/>
      <w:pPr>
        <w:pStyle w:val="Heading1"/>
        <w:pageBreakBefore w:val="0"/>
        <w:spacing w:before="200" w:after="100"/>
        <w:keepNext/>
      </w:pPr>
      <w:r>
        <w:t>63. Контрмодели и нетривиальная совместимая модель</w:t>
      </w:r>
      <w:bookmarkEnd w:id="990"/>
    </w:p>
    <w:p>
      <w:pPr>
        <w:spacing w:before="100" w:after="40"/>
        <w:jc w:val="center"/>
      </w:pPr>
      <w:r>
        <w:drawing>
          <wp:inline xmlns:a="http://schemas.openxmlformats.org/drawingml/2006/main" xmlns:pic="http://schemas.openxmlformats.org/drawingml/2006/picture">
            <wp:extent cx="6172200" cy="3526639"/>
            <wp:docPr id="22" name="Picture 22" descr="Рисунок 18. Четыре модели, разделяющие кривизну, голономию, совместимость и ассоциатор. Собственная схема Тома II." title="Рисунок 18. Четыре модели, разделяющие кривизну, голономию, совместимость и ассоциатор. Собственная схема Тома II."/>
            <wp:cNvGraphicFramePr>
              <a:graphicFrameLocks noChangeAspect="1"/>
            </wp:cNvGraphicFramePr>
            <a:graphic>
              <a:graphicData uri="http://schemas.openxmlformats.org/drawingml/2006/picture">
                <pic:pic>
                  <pic:nvPicPr>
                    <pic:cNvPr id="0" name="fig18_models.png" descr="Рисунок 18. Четыре модели, разделяющие кривизну, голономию, совместимость и ассоциатор. Собственная схема Тома II." title="Рисунок 18. Четыре модели, разделяющие кривизну, голономию, совместимость и ассоциатор. Собственная схема Тома II."/>
                    <pic:cNvPicPr/>
                  </pic:nvPicPr>
                  <pic:blipFill>
                    <a:blip r:embed="rId48"/>
                    <a:stretch>
                      <a:fillRect/>
                    </a:stretch>
                  </pic:blipFill>
                  <pic:spPr>
                    <a:xfrm>
                      <a:off x="0" y="0"/>
                      <a:ext cx="6172200" cy="3526639"/>
                    </a:xfrm>
                    <a:prstGeom prst="rect"/>
                  </pic:spPr>
                </pic:pic>
              </a:graphicData>
            </a:graphic>
          </wp:inline>
        </w:drawing>
      </w:r>
    </w:p>
    <w:p>
      <w:pPr>
        <w:pStyle w:val="Caption"/>
        <w:keepNext/>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bookmarkStart w:id="1490" w:name="s_THM_9_32"/>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bookmarkEnd w:id="1490"/>
    </w:p>
    <w:p>
      <w:bookmarkStart w:id="991" w:name="h_1079"/>
      <w:pPr>
        <w:pStyle w:val="Heading1"/>
        <w:pageBreakBefore w:val="0"/>
        <w:spacing w:before="200" w:after="100"/>
        <w:keepNext/>
      </w:pPr>
      <w:r>
        <w:t>64. Akivis/Sabinin-мост и его доказательные обязательства</w:t>
      </w:r>
      <w:bookmarkEnd w:id="991"/>
    </w:p>
    <w:p>
      <w:pPr>
        <w:pStyle w:val="Heading2"/>
        <w:pageBreakBefore w:val="0"/>
        <w:spacing w:before="140" w:after="100"/>
        <w:keepNext/>
      </w:pPr>
      <w:r>
        <w:t>64.1. Классический локально-петлевой слой</w:t>
      </w:r>
    </w:p>
    <w:p>
      <w:bookmarkStart w:id="1491" w:name="s_DEF_9_33"/>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bookmarkEnd w:id="1491"/>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bookmarkStart w:id="1492" w:name="s_DEF_9_34"/>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bookmarkEnd w:id="1492"/>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bookmarkStart w:id="992" w:name="h_1090"/>
      <w:pPr>
        <w:pStyle w:val="Heading1"/>
        <w:pageBreakBefore w:val="0"/>
        <w:spacing w:before="200" w:after="100"/>
        <w:keepNext/>
      </w:pPr>
      <w:r>
        <w:t>65. Голономные инварианты предсказательного метода</w:t>
      </w:r>
      <w:bookmarkEnd w:id="992"/>
    </w:p>
    <w:p>
      <w:pPr>
        <w:pStyle w:val="Heading2"/>
        <w:pageBreakBefore w:val="0"/>
        <w:spacing w:before="140" w:after="100"/>
        <w:keepNext/>
      </w:pPr>
      <w:r>
        <w:t>65.1. Инвариантная сигнатура</w:t>
      </w:r>
    </w:p>
    <w:p>
      <w:bookmarkStart w:id="1493" w:name="s_DEF_9_36"/>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bookmarkEnd w:id="1493"/>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bookmarkStart w:id="1494" w:name="s_DEF_9_37"/>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bookmarkEnd w:id="1494"/>
    </w:p>
    <w:p>
      <w:bookmarkStart w:id="1495" w:name="s_THM_9_38"/>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bookmarkEnd w:id="1495"/>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bookmarkStart w:id="1496" w:name="s_DEF_9_40"/>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bookmarkEnd w:id="1496"/>
    </w:p>
    <w:p>
      <w:pPr>
        <w:spacing w:before="60" w:after="100"/>
        <w:jc w:val="center"/>
      </w:pPr>
      <w:r>
        <w:rPr>
          <w:rFonts w:ascii="Cambria Math" w:hAnsi="Cambria Math" w:eastAsia="Cambria Math"/>
          <w:sz w:val="22"/>
        </w:rPr>
        <w:t>Δ_conn = Δ_safe ∪ Δ_Hol,N ∪ Δ_bridge.</w:t>
      </w:r>
    </w:p>
    <w:p>
      <w:bookmarkStart w:id="1497" w:name="s_THM_9_41"/>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bookmarkEnd w:id="1497"/>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bookmarkStart w:id="993" w:name="h_1103"/>
      <w:pPr>
        <w:pStyle w:val="Heading1"/>
        <w:pageBreakBefore w:val="0"/>
        <w:spacing w:before="200" w:after="100"/>
        <w:keepNext/>
      </w:pPr>
      <w:r>
        <w:t>66. Проективный перенос Reper и невозможность изменения λ общим PGL₂-движением</w:t>
      </w:r>
      <w:bookmarkEnd w:id="993"/>
    </w:p>
    <w:p>
      <w:bookmarkStart w:id="1498" w:name="s_THM_9_42"/>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bookmarkEnd w:id="1498"/>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bookmarkStart w:id="1499" w:name="s_COR_9_43"/>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bookmarkEnd w:id="1499"/>
    </w:p>
    <w:p>
      <w:bookmarkStart w:id="1500" w:name="s_DEF_9_44"/>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bookmarkEnd w:id="1500"/>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bookmarkStart w:id="994" w:name="h_1110"/>
      <w:pPr>
        <w:pStyle w:val="Heading1"/>
        <w:pageBreakBefore w:val="0"/>
        <w:spacing w:before="200" w:after="100"/>
        <w:keepNext/>
      </w:pPr>
      <w:r>
        <w:t>67. Главная условная теорема v0.7</w:t>
      </w:r>
      <w:bookmarkEnd w:id="994"/>
    </w:p>
    <w:p>
      <w:bookmarkStart w:id="1501" w:name="s_THM_9_46"/>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bookmarkEnd w:id="1501"/>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descr="Рисунок 19. Blocker-safe шлюз голономно-ассоциаторного прогноза. Собственная схема Тома II." title="Рисунок 19. Blocker-safe шлюз голономно-ассоциаторного прогноза. Собственная схема Тома II."/>
            <wp:cNvGraphicFramePr>
              <a:graphicFrameLocks noChangeAspect="1"/>
            </wp:cNvGraphicFramePr>
            <a:graphic>
              <a:graphicData uri="http://schemas.openxmlformats.org/drawingml/2006/picture">
                <pic:pic>
                  <pic:nvPicPr>
                    <pic:cNvPr id="0" name="fig19_gate.png" descr="Рисунок 19. Blocker-safe шлюз голономно-ассоциаторного прогноза. Собственная схема Тома II." title="Рисунок 19. Blocker-safe шлюз голономно-ассоциаторного прогноза. Собственная схема Тома II."/>
                    <pic:cNvPicPr/>
                  </pic:nvPicPr>
                  <pic:blipFill>
                    <a:blip r:embed="rId49"/>
                    <a:stretch>
                      <a:fillRect/>
                    </a:stretch>
                  </pic:blipFill>
                  <pic:spPr>
                    <a:xfrm>
                      <a:off x="0" y="0"/>
                      <a:ext cx="6172200" cy="3775495"/>
                    </a:xfrm>
                    <a:prstGeom prst="rect"/>
                  </pic:spPr>
                </pic:pic>
              </a:graphicData>
            </a:graphic>
          </wp:inline>
        </w:drawing>
      </w:r>
    </w:p>
    <w:p>
      <w:pPr>
        <w:pStyle w:val="Caption"/>
        <w:keepNext/>
        <w:spacing w:after="120"/>
        <w:jc w:val="center"/>
      </w:pPr>
      <w:r>
        <w:t>Рисунок 19. Blocker-safe шлюз голономно-ассоциаторного прогноза. Собственная схема Тома II.</w:t>
      </w:r>
    </w:p>
    <w:p>
      <w:bookmarkStart w:id="995" w:name="h_1127"/>
      <w:pPr>
        <w:pStyle w:val="Heading1"/>
        <w:pageBreakBefore w:val="0"/>
        <w:spacing w:before="200" w:after="100"/>
        <w:keepNext/>
      </w:pPr>
      <w:r>
        <w:t>68. Вычислительный сертификат HOL-ASS v0.7</w:t>
      </w:r>
      <w:bookmarkEnd w:id="995"/>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bookmarkStart w:id="996" w:name="h_1147"/>
      <w:pPr>
        <w:pStyle w:val="Heading1"/>
        <w:pageBreakBefore w:val="0"/>
        <w:spacing w:before="200" w:after="100"/>
        <w:keepNext/>
      </w:pPr>
      <w:r>
        <w:t>69. Доказательные обязательства, библиография и контрольная точка v0.7</w:t>
      </w:r>
      <w:bookmarkEnd w:id="996"/>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rPr>
          <w:cantSplit/>
        </w:trPr>
        <w:tc>
          <w:tcPr>
            <w:tcW w:type="dxa" w:w="1440"/>
            <w:tcMar>
              <w:top w:w="85" w:type="dxa"/>
              <w:start w:w="90" w:type="dxa"/>
              <w:bottom w:w="85" w:type="dxa"/>
              <w:end w:w="90" w:type="dxa"/>
            </w:tcMar>
            <w:vAlign w:val="center"/>
            <w:shd w:fill="F4F7FA"/>
          </w:tcPr>
          <w:p>
            <w:bookmarkStart w:id="2150" w:name="po_054"/>
            <w:pPr>
              <w:spacing w:after="0" w:line="240" w:lineRule="auto"/>
              <w:jc w:val="center"/>
            </w:pPr>
            <w:r>
              <w:rPr>
                <w:rFonts w:ascii="Liberation Serif" w:hAnsi="Liberation Serif" w:eastAsia="Liberation Serif"/>
                <w:sz w:val="16"/>
              </w:rPr>
              <w:t>T2-PO-054</w:t>
            </w:r>
            <w:bookmarkEnd w:id="2150"/>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rPr>
          <w:cantSplit/>
        </w:trPr>
        <w:tc>
          <w:tcPr>
            <w:tcW w:type="dxa" w:w="1440"/>
            <w:tcMar>
              <w:top w:w="85" w:type="dxa"/>
              <w:start w:w="90" w:type="dxa"/>
              <w:bottom w:w="85" w:type="dxa"/>
              <w:end w:w="90" w:type="dxa"/>
            </w:tcMar>
            <w:vAlign w:val="center"/>
          </w:tcPr>
          <w:p>
            <w:bookmarkStart w:id="2151" w:name="po_055"/>
            <w:pPr>
              <w:spacing w:after="0" w:line="240" w:lineRule="auto"/>
              <w:jc w:val="center"/>
            </w:pPr>
            <w:r>
              <w:rPr>
                <w:rFonts w:ascii="Liberation Serif" w:hAnsi="Liberation Serif" w:eastAsia="Liberation Serif"/>
                <w:sz w:val="16"/>
              </w:rPr>
              <w:t>T2-PO-055</w:t>
            </w:r>
            <w:bookmarkEnd w:id="2151"/>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shd w:fill="F4F7FA"/>
          </w:tcPr>
          <w:p>
            <w:bookmarkStart w:id="2152" w:name="po_056"/>
            <w:pPr>
              <w:spacing w:after="0" w:line="240" w:lineRule="auto"/>
              <w:jc w:val="center"/>
            </w:pPr>
            <w:r>
              <w:rPr>
                <w:rFonts w:ascii="Liberation Serif" w:hAnsi="Liberation Serif" w:eastAsia="Liberation Serif"/>
                <w:sz w:val="16"/>
              </w:rPr>
              <w:t>T2-PO-056</w:t>
            </w:r>
            <w:bookmarkEnd w:id="2152"/>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rPr>
          <w:cantSplit/>
        </w:trPr>
        <w:tc>
          <w:tcPr>
            <w:tcW w:type="dxa" w:w="1440"/>
            <w:tcMar>
              <w:top w:w="85" w:type="dxa"/>
              <w:start w:w="90" w:type="dxa"/>
              <w:bottom w:w="85" w:type="dxa"/>
              <w:end w:w="90" w:type="dxa"/>
            </w:tcMar>
            <w:vAlign w:val="center"/>
          </w:tcPr>
          <w:p>
            <w:bookmarkStart w:id="2153" w:name="po_057"/>
            <w:pPr>
              <w:spacing w:after="0" w:line="240" w:lineRule="auto"/>
              <w:jc w:val="center"/>
            </w:pPr>
            <w:r>
              <w:rPr>
                <w:rFonts w:ascii="Liberation Serif" w:hAnsi="Liberation Serif" w:eastAsia="Liberation Serif"/>
                <w:sz w:val="16"/>
              </w:rPr>
              <w:t>T2-PO-057</w:t>
            </w:r>
            <w:bookmarkEnd w:id="2153"/>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shd w:fill="F4F7FA"/>
          </w:tcPr>
          <w:p>
            <w:bookmarkStart w:id="2154" w:name="po_058"/>
            <w:pPr>
              <w:spacing w:after="0" w:line="240" w:lineRule="auto"/>
              <w:jc w:val="center"/>
            </w:pPr>
            <w:r>
              <w:rPr>
                <w:rFonts w:ascii="Liberation Serif" w:hAnsi="Liberation Serif" w:eastAsia="Liberation Serif"/>
                <w:sz w:val="16"/>
              </w:rPr>
              <w:t>T2-PO-058</w:t>
            </w:r>
            <w:bookmarkEnd w:id="2154"/>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tcPr>
          <w:p>
            <w:bookmarkStart w:id="2155" w:name="po_059"/>
            <w:pPr>
              <w:spacing w:after="0" w:line="240" w:lineRule="auto"/>
              <w:jc w:val="center"/>
            </w:pPr>
            <w:r>
              <w:rPr>
                <w:rFonts w:ascii="Liberation Serif" w:hAnsi="Liberation Serif" w:eastAsia="Liberation Serif"/>
                <w:sz w:val="16"/>
              </w:rPr>
              <w:t>T2-PO-059</w:t>
            </w:r>
            <w:bookmarkEnd w:id="2155"/>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rPr>
          <w:cantSplit/>
        </w:trPr>
        <w:tc>
          <w:tcPr>
            <w:tcW w:type="dxa" w:w="1440"/>
            <w:tcMar>
              <w:top w:w="85" w:type="dxa"/>
              <w:start w:w="90" w:type="dxa"/>
              <w:bottom w:w="85" w:type="dxa"/>
              <w:end w:w="90" w:type="dxa"/>
            </w:tcMar>
            <w:vAlign w:val="center"/>
            <w:shd w:fill="F4F7FA"/>
          </w:tcPr>
          <w:p>
            <w:bookmarkStart w:id="2156" w:name="po_060"/>
            <w:pPr>
              <w:spacing w:after="0" w:line="240" w:lineRule="auto"/>
              <w:jc w:val="center"/>
            </w:pPr>
            <w:r>
              <w:rPr>
                <w:rFonts w:ascii="Liberation Serif" w:hAnsi="Liberation Serif" w:eastAsia="Liberation Serif"/>
                <w:sz w:val="16"/>
              </w:rPr>
              <w:t>T2-PO-060</w:t>
            </w:r>
            <w:bookmarkEnd w:id="2156"/>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rPr>
          <w:cantSplit/>
        </w:trPr>
        <w:tc>
          <w:tcPr>
            <w:tcW w:type="dxa" w:w="1440"/>
            <w:tcMar>
              <w:top w:w="85" w:type="dxa"/>
              <w:start w:w="90" w:type="dxa"/>
              <w:bottom w:w="85" w:type="dxa"/>
              <w:end w:w="90" w:type="dxa"/>
            </w:tcMar>
            <w:vAlign w:val="center"/>
          </w:tcPr>
          <w:p>
            <w:bookmarkStart w:id="2157" w:name="po_061"/>
            <w:pPr>
              <w:spacing w:after="0" w:line="240" w:lineRule="auto"/>
              <w:jc w:val="center"/>
            </w:pPr>
            <w:r>
              <w:rPr>
                <w:rFonts w:ascii="Liberation Serif" w:hAnsi="Liberation Serif" w:eastAsia="Liberation Serif"/>
                <w:sz w:val="16"/>
              </w:rPr>
              <w:t>T2-PO-061</w:t>
            </w:r>
            <w:bookmarkEnd w:id="2157"/>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rPr>
          <w:cantSplit/>
        </w:trPr>
        <w:tc>
          <w:tcPr>
            <w:tcW w:type="dxa" w:w="1440"/>
            <w:tcMar>
              <w:top w:w="85" w:type="dxa"/>
              <w:start w:w="90" w:type="dxa"/>
              <w:bottom w:w="85" w:type="dxa"/>
              <w:end w:w="90" w:type="dxa"/>
            </w:tcMar>
            <w:vAlign w:val="center"/>
            <w:shd w:fill="F4F7FA"/>
          </w:tcPr>
          <w:p>
            <w:bookmarkStart w:id="2158" w:name="po_062"/>
            <w:pPr>
              <w:spacing w:after="0" w:line="240" w:lineRule="auto"/>
              <w:jc w:val="center"/>
            </w:pPr>
            <w:r>
              <w:rPr>
                <w:rFonts w:ascii="Liberation Serif" w:hAnsi="Liberation Serif" w:eastAsia="Liberation Serif"/>
                <w:sz w:val="16"/>
              </w:rPr>
              <w:t>T2-PO-062</w:t>
            </w:r>
            <w:bookmarkEnd w:id="2158"/>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tcPr>
          <w:p>
            <w:bookmarkStart w:id="2159" w:name="po_063"/>
            <w:pPr>
              <w:spacing w:after="0" w:line="240" w:lineRule="auto"/>
              <w:jc w:val="center"/>
            </w:pPr>
            <w:r>
              <w:rPr>
                <w:rFonts w:ascii="Liberation Serif" w:hAnsi="Liberation Serif" w:eastAsia="Liberation Serif"/>
                <w:sz w:val="16"/>
              </w:rPr>
              <w:t>T2-PO-063</w:t>
            </w:r>
            <w:bookmarkEnd w:id="2159"/>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shd w:fill="F4F7FA"/>
          </w:tcPr>
          <w:p>
            <w:bookmarkStart w:id="2160" w:name="po_064"/>
            <w:pPr>
              <w:spacing w:after="0" w:line="240" w:lineRule="auto"/>
              <w:jc w:val="center"/>
            </w:pPr>
            <w:r>
              <w:rPr>
                <w:rFonts w:ascii="Liberation Serif" w:hAnsi="Liberation Serif" w:eastAsia="Liberation Serif"/>
                <w:sz w:val="16"/>
              </w:rPr>
              <w:t>T2-PO-064</w:t>
            </w:r>
            <w:bookmarkEnd w:id="2160"/>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rPr>
          <w:cantSplit/>
        </w:trPr>
        <w:tc>
          <w:tcPr>
            <w:tcW w:type="dxa" w:w="1440"/>
            <w:tcMar>
              <w:top w:w="85" w:type="dxa"/>
              <w:start w:w="90" w:type="dxa"/>
              <w:bottom w:w="85" w:type="dxa"/>
              <w:end w:w="90" w:type="dxa"/>
            </w:tcMar>
            <w:vAlign w:val="center"/>
          </w:tcPr>
          <w:p>
            <w:bookmarkStart w:id="2161" w:name="po_065"/>
            <w:pPr>
              <w:spacing w:after="0" w:line="240" w:lineRule="auto"/>
              <w:jc w:val="center"/>
            </w:pPr>
            <w:r>
              <w:rPr>
                <w:rFonts w:ascii="Liberation Serif" w:hAnsi="Liberation Serif" w:eastAsia="Liberation Serif"/>
                <w:sz w:val="16"/>
              </w:rPr>
              <w:t>T2-PO-065</w:t>
            </w:r>
            <w:bookmarkEnd w:id="2161"/>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shd w:fill="F4F7FA"/>
          </w:tcPr>
          <w:p>
            <w:bookmarkStart w:id="2162" w:name="po_066"/>
            <w:pPr>
              <w:spacing w:after="0" w:line="240" w:lineRule="auto"/>
              <w:jc w:val="center"/>
            </w:pPr>
            <w:r>
              <w:rPr>
                <w:rFonts w:ascii="Liberation Serif" w:hAnsi="Liberation Serif" w:eastAsia="Liberation Serif"/>
                <w:sz w:val="16"/>
              </w:rPr>
              <w:t>T2-PO-066</w:t>
            </w:r>
            <w:bookmarkEnd w:id="2162"/>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tcPr>
          <w:p>
            <w:bookmarkStart w:id="2163" w:name="po_067"/>
            <w:pPr>
              <w:spacing w:after="0" w:line="240" w:lineRule="auto"/>
              <w:jc w:val="center"/>
            </w:pPr>
            <w:r>
              <w:rPr>
                <w:rFonts w:ascii="Liberation Serif" w:hAnsi="Liberation Serif" w:eastAsia="Liberation Serif"/>
                <w:sz w:val="16"/>
              </w:rPr>
              <w:t>T2-PO-067</w:t>
            </w:r>
            <w:bookmarkEnd w:id="2163"/>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rPr>
          <w:cantSplit/>
        </w:trPr>
        <w:tc>
          <w:tcPr>
            <w:tcW w:type="dxa" w:w="1440"/>
            <w:tcMar>
              <w:top w:w="85" w:type="dxa"/>
              <w:start w:w="90" w:type="dxa"/>
              <w:bottom w:w="85" w:type="dxa"/>
              <w:end w:w="90" w:type="dxa"/>
            </w:tcMar>
            <w:vAlign w:val="center"/>
            <w:shd w:fill="F4F7FA"/>
          </w:tcPr>
          <w:p>
            <w:bookmarkStart w:id="2164" w:name="po_068"/>
            <w:pPr>
              <w:spacing w:after="0" w:line="240" w:lineRule="auto"/>
              <w:jc w:val="center"/>
            </w:pPr>
            <w:r>
              <w:rPr>
                <w:rFonts w:ascii="Liberation Serif" w:hAnsi="Liberation Serif" w:eastAsia="Liberation Serif"/>
                <w:sz w:val="16"/>
              </w:rPr>
              <w:t>T2-PO-068</w:t>
            </w:r>
            <w:bookmarkEnd w:id="2164"/>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rPr>
          <w:cantSplit/>
        </w:trPr>
        <w:tc>
          <w:tcPr>
            <w:tcW w:type="dxa" w:w="1440"/>
            <w:tcMar>
              <w:top w:w="85" w:type="dxa"/>
              <w:start w:w="90" w:type="dxa"/>
              <w:bottom w:w="85" w:type="dxa"/>
              <w:end w:w="90" w:type="dxa"/>
            </w:tcMar>
            <w:vAlign w:val="center"/>
          </w:tcPr>
          <w:p>
            <w:bookmarkStart w:id="2165" w:name="po_069"/>
            <w:pPr>
              <w:spacing w:after="0" w:line="240" w:lineRule="auto"/>
              <w:jc w:val="center"/>
            </w:pPr>
            <w:r>
              <w:rPr>
                <w:rFonts w:ascii="Liberation Serif" w:hAnsi="Liberation Serif" w:eastAsia="Liberation Serif"/>
                <w:sz w:val="16"/>
              </w:rPr>
              <w:t>T2-PO-069</w:t>
            </w:r>
            <w:bookmarkEnd w:id="2165"/>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rPr>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rPr>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rPr>
          <w:cantSplit/>
        </w:trP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bookmarkStart w:id="997" w:name="h_1165"/>
      <w:pPr>
        <w:pStyle w:val="Heading1"/>
        <w:pageBreakBefore w:val="0"/>
        <w:spacing w:before="200" w:after="100"/>
        <w:keepNext/>
      </w:pPr>
      <w:r>
        <w:t>70. Глава 10: дифференциальные формы NAPG и типизированные дифференциалы</w:t>
      </w:r>
      <w:bookmarkEnd w:id="997"/>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rPr>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rPr>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rPr>
          <w:cantSplit/>
        </w:trP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descr="Рисунок 20. Три дифференциальных слоя NAPG и разложение полного дефекта. Собственная схема Тома II." title="Рисунок 20. Три дифференциальных слоя NAPG и разложение полного дефекта. Собственная схема Тома II."/>
            <wp:cNvGraphicFramePr>
              <a:graphicFrameLocks noChangeAspect="1"/>
            </wp:cNvGraphicFramePr>
            <a:graphic>
              <a:graphicData uri="http://schemas.openxmlformats.org/drawingml/2006/picture">
                <pic:pic>
                  <pic:nvPicPr>
                    <pic:cNvPr id="0" name="fig20_diff_layers.png" descr="Рисунок 20. Три дифференциальных слоя NAPG и разложение полного дефекта. Собственная схема Тома II." title="Рисунок 20. Три дифференциальных слоя NAPG и разложение полного дефекта. Собственная схема Тома II."/>
                    <pic:cNvPicPr/>
                  </pic:nvPicPr>
                  <pic:blipFill>
                    <a:blip r:embed="rId50"/>
                    <a:stretch>
                      <a:fillRect/>
                    </a:stretch>
                  </pic:blipFill>
                  <pic:spPr>
                    <a:xfrm>
                      <a:off x="0" y="0"/>
                      <a:ext cx="6172200" cy="3587591"/>
                    </a:xfrm>
                    <a:prstGeom prst="rect"/>
                  </pic:spPr>
                </pic:pic>
              </a:graphicData>
            </a:graphic>
          </wp:inline>
        </w:drawing>
      </w:r>
    </w:p>
    <w:p>
      <w:pPr>
        <w:pStyle w:val="Caption"/>
        <w:keepNext/>
        <w:spacing w:after="120"/>
        <w:jc w:val="center"/>
      </w:pPr>
      <w:r>
        <w:t>Рисунок 20. Три дифференциальных слоя NAPG и разложение полного дефекта. Собственная схема Тома II.</w:t>
      </w:r>
    </w:p>
    <w:p>
      <w:bookmarkStart w:id="998" w:name="h_1170"/>
      <w:pPr>
        <w:pStyle w:val="Heading1"/>
        <w:pageBreakBefore w:val="0"/>
        <w:spacing w:before="200" w:after="100"/>
        <w:keepNext/>
      </w:pPr>
      <w:r>
        <w:t>71. Замороженная нотация и четыре типа операторов</w:t>
      </w:r>
      <w:bookmarkEnd w:id="998"/>
    </w:p>
    <w:p>
      <w:bookmarkStart w:id="1502" w:name="s_DEF_10_1"/>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bookmarkEnd w:id="1502"/>
    </w:p>
    <w:p>
      <w:bookmarkStart w:id="1693" w:name="f_10_1"/>
      <w:pPr>
        <w:spacing w:before="60" w:after="100"/>
        <w:jc w:val="center"/>
      </w:pPr>
      <w:r>
        <w:rPr>
          <w:rFonts w:ascii="Cambria Math" w:hAnsi="Cambria Math" w:eastAsia="Cambria Math"/>
          <w:sz w:val="22"/>
        </w:rPr>
        <w:t>Ω_N^• = ⊕_{p≥0} Ω_N^p,     |α|=p для α∈Ω_N^p.                                      (10.1)</w:t>
      </w:r>
      <w:bookmarkEnd w:id="1693"/>
    </w:p>
    <w:p>
      <w:bookmarkStart w:id="1503" w:name="s_DEF_10_2"/>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bookmarkEnd w:id="1503"/>
    </w:p>
    <w:p>
      <w:bookmarkStart w:id="1694" w:name="f_10_2"/>
      <w:pPr>
        <w:spacing w:before="60" w:after="100"/>
        <w:jc w:val="center"/>
      </w:pPr>
      <w:r>
        <w:rPr>
          <w:rFonts w:ascii="Cambria Math" w:hAnsi="Cambria Math" w:eastAsia="Cambria Math"/>
          <w:sz w:val="22"/>
        </w:rPr>
        <w:t>d_N^p : Dom(d_N^p) ⊂ Ω_N^p → Ω_N^{p+1}.                                    (10.2)</w:t>
      </w:r>
      <w:bookmarkEnd w:id="1694"/>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bookmarkStart w:id="1504" w:name="s_DEF_10_3"/>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bookmarkEnd w:id="1504"/>
    </w:p>
    <w:p>
      <w:bookmarkStart w:id="1695" w:name="f_10_3"/>
      <w:pPr>
        <w:spacing w:before="60" w:after="100"/>
        <w:jc w:val="center"/>
      </w:pPr>
      <w:r>
        <w:rPr>
          <w:rFonts w:ascii="Cambria Math" w:hAnsi="Cambria Math" w:eastAsia="Cambria Math"/>
          <w:sz w:val="22"/>
        </w:rPr>
        <w:t>δ_E : E^q → E^{q+1},     δ_E²=0 only after certificate.                         (10.3)</w:t>
      </w:r>
      <w:bookmarkEnd w:id="1695"/>
    </w:p>
    <w:p>
      <w:bookmarkStart w:id="1505" w:name="s_DEF_10_4"/>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bookmarkEnd w:id="1505"/>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rPr>
          <w:cantSplit/>
        </w:trP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rPr>
          <w:cantSplit/>
        </w:trP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rPr>
          <w:cantSplit/>
        </w:trP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rPr>
          <w:cantSplit/>
        </w:trP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rPr>
          <w:cantSplit/>
        </w:trP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bookmarkStart w:id="1506" w:name="s_PRINC_10_5"/>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bookmarkEnd w:id="1506"/>
    </w:p>
    <w:p>
      <w:bookmarkStart w:id="999" w:name="h_1181"/>
      <w:pPr>
        <w:pStyle w:val="Heading1"/>
        <w:pageBreakBefore w:val="0"/>
        <w:spacing w:before="200" w:after="100"/>
        <w:keepNext/>
      </w:pPr>
      <w:r>
        <w:t>72. Graded Leibniz calculus и дефект дифференцирования</w:t>
      </w:r>
      <w:bookmarkEnd w:id="999"/>
    </w:p>
    <w:p>
      <w:pPr>
        <w:pStyle w:val="Heading2"/>
        <w:pageBreakBefore w:val="0"/>
        <w:spacing w:before="140" w:after="100"/>
        <w:keepNext/>
      </w:pPr>
      <w:r>
        <w:t>72.1. Градуированное пакетное произведение</w:t>
      </w:r>
    </w:p>
    <w:p>
      <w:bookmarkStart w:id="1507" w:name="s_DEF_10_6"/>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bookmarkEnd w:id="1507"/>
    </w:p>
    <w:p>
      <w:bookmarkStart w:id="1696" w:name="f_10_4"/>
      <w:pPr>
        <w:spacing w:before="60" w:after="100"/>
        <w:jc w:val="center"/>
      </w:pPr>
      <w:r>
        <w:rPr>
          <w:rFonts w:ascii="Cambria Math" w:hAnsi="Cambria Math" w:eastAsia="Cambria Math"/>
          <w:sz w:val="22"/>
        </w:rPr>
        <w:t>L_d(α,β)=d_N(α⊙β)-d_Nα⊙β-(-1)^{|α|}α⊙d_Nβ.                   (10.4)</w:t>
      </w:r>
      <w:bookmarkEnd w:id="1696"/>
    </w:p>
    <w:p>
      <w:bookmarkStart w:id="1508" w:name="s_DEF_10_7"/>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bookmarkEnd w:id="1508"/>
    </w:p>
    <w:p>
      <w:bookmarkStart w:id="1509" w:name="s_LEM_10_8"/>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bookmarkEnd w:id="1509"/>
    </w:p>
    <w:p>
      <w:pPr>
        <w:pStyle w:val="Heading2"/>
        <w:pageBreakBefore w:val="0"/>
        <w:spacing w:before="140" w:after="100"/>
        <w:keepNext/>
      </w:pPr>
      <w:r>
        <w:t>72.2. Коммутатор дериваций и квадрат</w:t>
      </w:r>
    </w:p>
    <w:p>
      <w:bookmarkStart w:id="1510" w:name="s_THM_10_9"/>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bookmarkEnd w:id="1510"/>
    </w:p>
    <w:p>
      <w:bookmarkStart w:id="1697" w:name="f_10_5"/>
      <w:pPr>
        <w:spacing w:before="60" w:after="100"/>
        <w:jc w:val="center"/>
      </w:pPr>
      <w:r>
        <w:rPr>
          <w:rFonts w:ascii="Cambria Math" w:hAnsi="Cambria Math" w:eastAsia="Cambria Math"/>
          <w:sz w:val="22"/>
        </w:rPr>
        <w:t>[D,E]=D∘E-(-1)^{|D||E|}E∘D                                          (10.5)</w:t>
      </w:r>
      <w:bookmarkEnd w:id="1697"/>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bookmarkStart w:id="1511" w:name="s_COR_10_10"/>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bookmarkEnd w:id="1511"/>
    </w:p>
    <w:p>
      <w:bookmarkStart w:id="1698" w:name="f_10_6"/>
      <w:pPr>
        <w:spacing w:before="60" w:after="100"/>
        <w:jc w:val="center"/>
      </w:pPr>
      <w:r>
        <w:rPr>
          <w:rFonts w:ascii="Cambria Math" w:hAnsi="Cambria Math" w:eastAsia="Cambria Math"/>
          <w:sz w:val="22"/>
        </w:rPr>
        <w:t>d_N²(α⊙β)=d_N²α⊙β+α⊙d_N²β.                                  (10.6)</w:t>
      </w:r>
      <w:bookmarkEnd w:id="1698"/>
    </w:p>
    <w:p>
      <w:pPr>
        <w:pStyle w:val="Heading2"/>
        <w:pageBreakBefore w:val="0"/>
        <w:spacing w:before="140" w:after="100"/>
        <w:keepNext/>
      </w:pPr>
      <w:r>
        <w:t>72.3. Дифференцирование ассоциатора</w:t>
      </w:r>
    </w:p>
    <w:p>
      <w:bookmarkStart w:id="1512" w:name="s_THM_10_11"/>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bookmarkEnd w:id="1512"/>
    </w:p>
    <w:p>
      <w:bookmarkStart w:id="1699" w:name="f_10_7"/>
      <w:pPr>
        <w:spacing w:before="60" w:after="100"/>
        <w:jc w:val="center"/>
      </w:pPr>
      <w:r>
        <w:rPr>
          <w:rFonts w:ascii="Cambria Math" w:hAnsi="Cambria Math" w:eastAsia="Cambria Math"/>
          <w:sz w:val="22"/>
        </w:rPr>
        <w:t>d_N Ass(α,β,γ)=Ass(d_Nα,β,γ)+(-1)^{|α|}Ass(α,d_Nβ,γ)+(-1)^{|α|+|β|}Ass(α,β,d_Nγ).     (10.7)</w:t>
      </w:r>
      <w:bookmarkEnd w:id="1699"/>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bookmarkStart w:id="1513" w:name="s_COR_10_12"/>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bookmarkEnd w:id="1513"/>
    </w:p>
    <w:p>
      <w:bookmarkStart w:id="1000" w:name="h_1198"/>
      <w:pPr>
        <w:pStyle w:val="Heading1"/>
        <w:pageBreakBefore w:val="0"/>
        <w:spacing w:before="200" w:after="100"/>
        <w:keepNext/>
      </w:pPr>
      <w:r>
        <w:t>73. Почему d²=0 не является автоматическим</w:t>
      </w:r>
      <w:bookmarkEnd w:id="1000"/>
    </w:p>
    <w:p>
      <w:pPr>
        <w:spacing w:before="100" w:after="40"/>
        <w:jc w:val="center"/>
      </w:pPr>
      <w:r>
        <w:drawing>
          <wp:inline xmlns:a="http://schemas.openxmlformats.org/drawingml/2006/main" xmlns:pic="http://schemas.openxmlformats.org/drawingml/2006/picture">
            <wp:extent cx="6172200" cy="3780473"/>
            <wp:docPr id="25" name="Picture 25" descr="Рисунок 21. Четыре режима, показывающие независимость Leibniz identity и nilpotency. Собственная схема Тома II." title="Рисунок 21. Четыре режима, показывающие независимость Leibniz identity и nilpotency. Собственная схема Тома II."/>
            <wp:cNvGraphicFramePr>
              <a:graphicFrameLocks noChangeAspect="1"/>
            </wp:cNvGraphicFramePr>
            <a:graphic>
              <a:graphicData uri="http://schemas.openxmlformats.org/drawingml/2006/picture">
                <pic:pic>
                  <pic:nvPicPr>
                    <pic:cNvPr id="0" name="fig21_d2_models.png" descr="Рисунок 21. Четыре режима, показывающие независимость Leibniz identity и nilpotency. Собственная схема Тома II." title="Рисунок 21. Четыре режима, показывающие независимость Leibniz identity и nilpotency. Собственная схема Тома II."/>
                    <pic:cNvPicPr/>
                  </pic:nvPicPr>
                  <pic:blipFill>
                    <a:blip r:embed="rId51"/>
                    <a:stretch>
                      <a:fillRect/>
                    </a:stretch>
                  </pic:blipFill>
                  <pic:spPr>
                    <a:xfrm>
                      <a:off x="0" y="0"/>
                      <a:ext cx="6172200" cy="3780473"/>
                    </a:xfrm>
                    <a:prstGeom prst="rect"/>
                  </pic:spPr>
                </pic:pic>
              </a:graphicData>
            </a:graphic>
          </wp:inline>
        </w:drawing>
      </w:r>
    </w:p>
    <w:p>
      <w:pPr>
        <w:pStyle w:val="Caption"/>
        <w:keepNext/>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bookmarkStart w:id="1514" w:name="s_DEF_10_13"/>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bookmarkEnd w:id="1514"/>
    </w:p>
    <w:p>
      <w:bookmarkStart w:id="1700" w:name="f_10_8"/>
      <w:pPr>
        <w:spacing w:before="60" w:after="100"/>
        <w:jc w:val="center"/>
      </w:pPr>
      <w:r>
        <w:rPr>
          <w:rFonts w:ascii="Cambria Math" w:hAnsi="Cambria Math" w:eastAsia="Cambria Math"/>
          <w:sz w:val="22"/>
        </w:rPr>
        <w:t>Ω_d := d_N² : Ω_N^p → Ω_N^{p+2}.                                  (10.8)</w:t>
      </w:r>
      <w:bookmarkEnd w:id="1700"/>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bookmarkStart w:id="1515" w:name="s_LEM_10_14"/>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bookmarkEnd w:id="1515"/>
    </w:p>
    <w:p>
      <w:bookmarkStart w:id="1701" w:name="f_10_9"/>
      <w:pPr>
        <w:spacing w:before="60" w:after="100"/>
        <w:jc w:val="center"/>
      </w:pPr>
      <w:r>
        <w:rPr>
          <w:rFonts w:ascii="Cambria Math" w:hAnsi="Cambria Math" w:eastAsia="Cambria Math"/>
          <w:sz w:val="22"/>
        </w:rPr>
        <w:t>[d_N,Ω_d]=0.                                                               (10.9)</w:t>
      </w:r>
      <w:bookmarkEnd w:id="1701"/>
    </w:p>
    <w:p>
      <w:bookmarkStart w:id="1516" w:name="s_DEF_10_15"/>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bookmarkEnd w:id="1516"/>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bookmarkStart w:id="1702" w:name="f_10_10"/>
      <w:pPr>
        <w:spacing w:before="60" w:after="100"/>
        <w:jc w:val="center"/>
      </w:pPr>
      <w:r>
        <w:rPr>
          <w:rFonts w:ascii="Cambria Math" w:hAnsi="Cambria Math" w:eastAsia="Cambria Math"/>
          <w:sz w:val="22"/>
        </w:rPr>
        <w:t>d²(a)=c≠0.                                                               (10.10)</w:t>
      </w:r>
      <w:bookmarkEnd w:id="1702"/>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bookmarkStart w:id="1703" w:name="f_10_11"/>
      <w:pPr>
        <w:spacing w:before="60" w:after="100"/>
        <w:jc w:val="center"/>
      </w:pPr>
      <w:r>
        <w:rPr>
          <w:rFonts w:ascii="Cambria Math" w:hAnsi="Cambria Math" w:eastAsia="Cambria Math"/>
          <w:sz w:val="22"/>
        </w:rPr>
        <w:t>d_∇² α = R_∇ ∧ α.                                                        (10.11)</w:t>
      </w:r>
      <w:bookmarkEnd w:id="1703"/>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bookmarkStart w:id="1704" w:name="f_10_12"/>
      <w:pPr>
        <w:spacing w:before="60" w:after="100"/>
        <w:jc w:val="center"/>
      </w:pPr>
      <w:r>
        <w:rPr>
          <w:rFonts w:ascii="Cambria Math" w:hAnsi="Cambria Math" w:eastAsia="Cambria Math"/>
          <w:sz w:val="22"/>
        </w:rPr>
        <w:t>A² = dω + ω∧ω.                                                           (10.12)</w:t>
      </w:r>
      <w:bookmarkEnd w:id="1704"/>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bookmarkStart w:id="1001" w:name="h_1220"/>
      <w:pPr>
        <w:pStyle w:val="Heading1"/>
        <w:pageBreakBefore w:val="0"/>
        <w:spacing w:before="200" w:after="100"/>
        <w:keepNext/>
      </w:pPr>
      <w:r>
        <w:t>74. Локальность, ограничения и склейка дифференциалов</w:t>
      </w:r>
      <w:bookmarkEnd w:id="1001"/>
    </w:p>
    <w:p>
      <w:pPr>
        <w:pStyle w:val="Heading2"/>
        <w:pageBreakBefore w:val="0"/>
        <w:spacing w:before="140" w:after="100"/>
        <w:keepNext/>
      </w:pPr>
      <w:r>
        <w:t>74.1. Sheaf-locality</w:t>
      </w:r>
    </w:p>
    <w:p>
      <w:bookmarkStart w:id="1517" w:name="s_DEF_10_20"/>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bookmarkEnd w:id="1517"/>
    </w:p>
    <w:p>
      <w:bookmarkStart w:id="1705" w:name="f_10_13"/>
      <w:pPr>
        <w:spacing w:before="60" w:after="100"/>
        <w:jc w:val="center"/>
      </w:pPr>
      <w:r>
        <w:rPr>
          <w:rFonts w:ascii="Cambria Math" w:hAnsi="Cambria Math" w:eastAsia="Cambria Math"/>
          <w:sz w:val="22"/>
        </w:rPr>
        <w:t>(d_U α)|_V = d_V(α|_V).                                                 (10.13)</w:t>
      </w:r>
      <w:bookmarkEnd w:id="1705"/>
    </w:p>
    <w:p>
      <w:bookmarkStart w:id="1518" w:name="s_LEM_10_21"/>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bookmarkEnd w:id="1518"/>
    </w:p>
    <w:p>
      <w:pPr>
        <w:pStyle w:val="Heading2"/>
        <w:pageBreakBefore w:val="0"/>
        <w:spacing w:before="140" w:after="100"/>
        <w:keepNext/>
      </w:pPr>
      <w:r>
        <w:t>74.2. Склейка</w:t>
      </w:r>
    </w:p>
    <w:p>
      <w:bookmarkStart w:id="1519" w:name="s_THM_10_22"/>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bookmarkEnd w:id="1519"/>
    </w:p>
    <w:p>
      <w:bookmarkStart w:id="1706" w:name="f_10_14"/>
      <w:pPr>
        <w:spacing w:before="60" w:after="100"/>
        <w:jc w:val="center"/>
      </w:pPr>
      <w:r>
        <w:rPr>
          <w:rFonts w:ascii="Cambria Math" w:hAnsi="Cambria Math" w:eastAsia="Cambria Math"/>
          <w:sz w:val="22"/>
        </w:rPr>
        <w:t>g_ij ∘ d_j = d_i ∘ g_ij,                                                (10.14)</w:t>
      </w:r>
      <w:bookmarkEnd w:id="1706"/>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bookmarkStart w:id="1520" w:name="s_DEF_10_23"/>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bookmarkEnd w:id="1520"/>
    </w:p>
    <w:p>
      <w:bookmarkStart w:id="1707" w:name="f_10_15"/>
      <w:pPr>
        <w:spacing w:before="60" w:after="100"/>
        <w:jc w:val="center"/>
      </w:pPr>
      <w:r>
        <w:rPr>
          <w:rFonts w:ascii="Cambria Math" w:hAnsi="Cambria Math" w:eastAsia="Cambria Math"/>
          <w:sz w:val="22"/>
        </w:rPr>
        <w:t>K_ij := g_ij d_j - d_i g_ij.                                            (10.15)</w:t>
      </w:r>
      <w:bookmarkEnd w:id="1707"/>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bookmarkStart w:id="1002" w:name="h_1233"/>
      <w:pPr>
        <w:pStyle w:val="Heading1"/>
        <w:pageBreakBefore w:val="0"/>
        <w:spacing w:before="200" w:after="100"/>
        <w:keepNext/>
      </w:pPr>
      <w:r>
        <w:t>75. Внутренний и внешний слои: total operator и mixed defect</w:t>
      </w:r>
      <w:bookmarkEnd w:id="1002"/>
    </w:p>
    <w:p>
      <w:pPr>
        <w:pStyle w:val="Heading2"/>
        <w:pageBreakBefore w:val="0"/>
        <w:spacing w:before="140" w:after="100"/>
        <w:keepNext/>
      </w:pPr>
      <w:r>
        <w:t>75.1. Биградуированная конструкция</w:t>
      </w:r>
    </w:p>
    <w:p>
      <w:bookmarkStart w:id="1521" w:name="s_DEF_10_25"/>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bookmarkEnd w:id="1521"/>
    </w:p>
    <w:p>
      <w:bookmarkStart w:id="1708" w:name="f_10_16"/>
      <w:pPr>
        <w:spacing w:before="60" w:after="100"/>
        <w:jc w:val="center"/>
      </w:pPr>
      <w:r>
        <w:rPr>
          <w:rFonts w:ascii="Cambria Math" w:hAnsi="Cambria Math" w:eastAsia="Cambria Math"/>
          <w:sz w:val="22"/>
        </w:rPr>
        <w:t>D_tot = d_N + (-1)^p δ_E.                                               (10.16)</w:t>
      </w:r>
      <w:bookmarkEnd w:id="1708"/>
    </w:p>
    <w:p>
      <w:bookmarkStart w:id="1522" w:name="s_THM_10_26"/>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bookmarkEnd w:id="1522"/>
    </w:p>
    <w:p>
      <w:bookmarkStart w:id="1709" w:name="f_10_17"/>
      <w:pPr>
        <w:spacing w:before="60" w:after="100"/>
        <w:jc w:val="center"/>
      </w:pPr>
      <w:r>
        <w:rPr>
          <w:rFonts w:ascii="Cambria Math" w:hAnsi="Cambria Math" w:eastAsia="Cambria Math"/>
          <w:sz w:val="22"/>
        </w:rPr>
        <w:t>D_tot² = Ω_int + Ω_E + (-1)^p M_mix,                                    (10.17)</w:t>
      </w:r>
      <w:bookmarkEnd w:id="1709"/>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rPr>
          <w:cantSplit/>
        </w:trP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rPr>
          <w:cantSplit/>
        </w:trP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rPr>
          <w:cantSplit/>
        </w:trP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bookmarkStart w:id="1523" w:name="s_DEF_10_28"/>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bookmarkEnd w:id="1523"/>
    </w:p>
    <w:p>
      <w:bookmarkStart w:id="1710" w:name="f_10_18"/>
      <w:pPr>
        <w:spacing w:before="60" w:after="100"/>
        <w:jc w:val="center"/>
      </w:pPr>
      <w:r>
        <w:rPr>
          <w:rFonts w:ascii="Cambria Math" w:hAnsi="Cambria Math" w:eastAsia="Cambria Math"/>
          <w:sz w:val="22"/>
        </w:rPr>
        <w:t>Cert_E=(δ_E²=0, well-defined Π_E, representative independence, naturality, mixed compatibility).     (10.18)</w:t>
      </w:r>
      <w:bookmarkEnd w:id="1710"/>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bookmarkStart w:id="1003" w:name="h_1246"/>
      <w:pPr>
        <w:pStyle w:val="Heading1"/>
        <w:pageBreakBefore w:val="0"/>
        <w:spacing w:before="200" w:after="100"/>
        <w:keepNext/>
      </w:pPr>
      <w:r>
        <w:t>76. Hodge-слой: кодифференциал и лапласиан без подмены обозначений</w:t>
      </w:r>
      <w:bookmarkEnd w:id="1003"/>
    </w:p>
    <w:p>
      <w:pPr>
        <w:pStyle w:val="Heading2"/>
        <w:pageBreakBefore w:val="0"/>
        <w:spacing w:before="140" w:after="100"/>
        <w:keepNext/>
      </w:pPr>
      <w:r>
        <w:t>76.1. Условия существования</w:t>
      </w:r>
    </w:p>
    <w:p>
      <w:bookmarkStart w:id="1524" w:name="s_DEF_10_30"/>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bookmarkEnd w:id="1524"/>
    </w:p>
    <w:p>
      <w:bookmarkStart w:id="1711" w:name="f_10_19"/>
      <w:pPr>
        <w:spacing w:before="60" w:after="100"/>
        <w:jc w:val="center"/>
      </w:pPr>
      <w:r>
        <w:rPr>
          <w:rFonts w:ascii="Cambria Math" w:hAnsi="Cambria Math" w:eastAsia="Cambria Math"/>
          <w:sz w:val="22"/>
        </w:rPr>
        <w:t>⋆_Hdg : Ω^p(U) → Ω^{n-p}(U).                                             (10.19)</w:t>
      </w:r>
      <w:bookmarkEnd w:id="1711"/>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bookmarkStart w:id="1525" w:name="s_DEF_10_31"/>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bookmarkEnd w:id="1525"/>
    </w:p>
    <w:p>
      <w:bookmarkStart w:id="1712" w:name="f_10_20"/>
      <w:pPr>
        <w:spacing w:before="60" w:after="100"/>
        <w:jc w:val="center"/>
      </w:pPr>
      <w:r>
        <w:rPr>
          <w:rFonts w:ascii="Cambria Math" w:hAnsi="Cambria Math" w:eastAsia="Cambria Math"/>
          <w:sz w:val="22"/>
        </w:rPr>
        <w:t>δ_Hdg = (-1)^{n(p+1)+1} ⋆_Hdg d_N ⋆_Hdg.                               (10.20)</w:t>
      </w:r>
      <w:bookmarkEnd w:id="1712"/>
    </w:p>
    <w:p>
      <w:bookmarkStart w:id="1526" w:name="s_DEF_10_32"/>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bookmarkEnd w:id="1526"/>
    </w:p>
    <w:p>
      <w:bookmarkStart w:id="1713" w:name="f_10_21"/>
      <w:pPr>
        <w:spacing w:before="60" w:after="100"/>
        <w:jc w:val="center"/>
      </w:pPr>
      <w:r>
        <w:rPr>
          <w:rFonts w:ascii="Cambria Math" w:hAnsi="Cambria Math" w:eastAsia="Cambria Math"/>
          <w:sz w:val="22"/>
        </w:rPr>
        <w:t>Δ_Hdg = d_N δ_Hdg + δ_Hdg d_N.                                          (10.21)</w:t>
      </w:r>
      <w:bookmarkEnd w:id="1713"/>
    </w:p>
    <w:p>
      <w:bookmarkStart w:id="1527" w:name="s_THM_10_33"/>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bookmarkEnd w:id="1527"/>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bookmarkStart w:id="1528" w:name="s_DEF_10_35"/>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bookmarkEnd w:id="1528"/>
    </w:p>
    <w:p>
      <w:bookmarkStart w:id="1714" w:name="f_10_22"/>
      <w:pPr>
        <w:spacing w:before="60" w:after="100"/>
        <w:jc w:val="center"/>
      </w:pPr>
      <w:r>
        <w:rPr>
          <w:rFonts w:ascii="Cambria Math" w:hAnsi="Cambria Math" w:eastAsia="Cambria Math"/>
          <w:sz w:val="22"/>
        </w:rPr>
        <w:t>H_ij = g_ij ⋆_j - ⋆_i g_ij.                                              (10.22)</w:t>
      </w:r>
      <w:bookmarkEnd w:id="1714"/>
    </w:p>
    <w:p>
      <w:bookmarkStart w:id="1529" w:name="s_DEF_10_36"/>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bookmarkEnd w:id="1529"/>
    </w:p>
    <w:p>
      <w:bookmarkStart w:id="1715" w:name="f_10_23"/>
      <w:pPr>
        <w:spacing w:before="60" w:after="100"/>
        <w:jc w:val="center"/>
      </w:pPr>
      <w:r>
        <w:rPr>
          <w:rFonts w:ascii="Cambria Math" w:hAnsi="Cambria Math" w:eastAsia="Cambria Math"/>
          <w:sz w:val="22"/>
        </w:rPr>
        <w:t>A_Hdg = δ_Hdg - d_N^*.                                                   (10.23)</w:t>
      </w:r>
      <w:bookmarkEnd w:id="1715"/>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bookmarkStart w:id="1004" w:name="h_1263"/>
      <w:pPr>
        <w:pStyle w:val="Heading1"/>
        <w:pageBreakBefore w:val="0"/>
        <w:spacing w:before="200" w:after="100"/>
        <w:keepNext/>
      </w:pPr>
      <w:r>
        <w:t>77. Differential Reper и λ-гармония</w:t>
      </w:r>
      <w:bookmarkEnd w:id="1004"/>
    </w:p>
    <w:p>
      <w:bookmarkStart w:id="1530" w:name="s_DEF_10_37"/>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bookmarkEnd w:id="1530"/>
    </w:p>
    <w:p>
      <w:bookmarkStart w:id="1716" w:name="f_10_24"/>
      <w:pPr>
        <w:spacing w:before="60" w:after="100"/>
        <w:jc w:val="center"/>
      </w:pPr>
      <w:r>
        <w:rPr>
          <w:rFonts w:ascii="Cambria Math" w:hAnsi="Cambria Math" w:eastAsia="Cambria Math"/>
          <w:sz w:val="22"/>
        </w:rPr>
        <w:t>Rep_diff(d_N)=(R_d,I_d,U_d;D_d),                                       (10.24)</w:t>
      </w:r>
      <w:bookmarkEnd w:id="1716"/>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bookmarkStart w:id="1531" w:name="s_DEF_10_38"/>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bookmarkEnd w:id="1531"/>
    </w:p>
    <w:p>
      <w:bookmarkStart w:id="1717" w:name="f_10_25"/>
      <w:pPr>
        <w:spacing w:before="60" w:after="100"/>
        <w:jc w:val="center"/>
      </w:pPr>
      <w:r>
        <w:rPr>
          <w:rFonts w:ascii="Cambria Math" w:hAnsi="Cambria Math" w:eastAsia="Cambria Math"/>
          <w:sz w:val="22"/>
        </w:rPr>
        <w:t>Def_diff=(||L_d||,||Ω_d||,||K_glue||,||M_mix||,||H||,pole_λ,Block_Dom).     (10.25)</w:t>
      </w:r>
      <w:bookmarkEnd w:id="1717"/>
    </w:p>
    <w:p>
      <w:bookmarkStart w:id="1532" w:name="s_PRINC_10_39"/>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bookmarkEnd w:id="1532"/>
    </w:p>
    <w:p>
      <w:bookmarkStart w:id="1533" w:name="s_DEF_10_40"/>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bookmarkEnd w:id="1533"/>
    </w:p>
    <w:p>
      <w:bookmarkStart w:id="1718" w:name="f_10_26"/>
      <w:pPr>
        <w:spacing w:before="60" w:after="100"/>
        <w:jc w:val="center"/>
      </w:pPr>
      <w:r>
        <w:rPr>
          <w:rFonts w:ascii="Cambria Math" w:hAnsi="Cambria Math" w:eastAsia="Cambria Math"/>
          <w:sz w:val="22"/>
        </w:rPr>
        <w:t>C_diff(τ,η)={x: δ_truth(x)≤τ, ||Def_diff(x)||≤η, Valid(D)=1, Dom=1}.       (10.26)</w:t>
      </w:r>
      <w:bookmarkEnd w:id="1718"/>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bookmarkStart w:id="1005" w:name="h_1273"/>
      <w:pPr>
        <w:pStyle w:val="Heading1"/>
        <w:pageBreakBefore w:val="0"/>
        <w:spacing w:before="200" w:after="100"/>
        <w:keepNext/>
      </w:pPr>
      <w:r>
        <w:t>78. Дифференциальный переходный горизонт</w:t>
      </w:r>
      <w:bookmarkEnd w:id="1005"/>
    </w:p>
    <w:p>
      <w:pPr>
        <w:pStyle w:val="Heading2"/>
        <w:pageBreakBefore w:val="0"/>
        <w:spacing w:before="140" w:after="100"/>
        <w:keepNext/>
      </w:pPr>
      <w:r>
        <w:t>78.1. Аналитические семейства</w:t>
      </w:r>
    </w:p>
    <w:p>
      <w:bookmarkStart w:id="1534" w:name="s_DEF_10_41"/>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bookmarkEnd w:id="1534"/>
    </w:p>
    <w:p>
      <w:bookmarkStart w:id="1719" w:name="f_10_27"/>
      <w:pPr>
        <w:spacing w:before="60" w:after="100"/>
        <w:jc w:val="center"/>
      </w:pPr>
      <w:r>
        <w:rPr>
          <w:rFonts w:ascii="Cambria Math" w:hAnsi="Cambria Math" w:eastAsia="Cambria Math"/>
          <w:sz w:val="22"/>
        </w:rPr>
        <w:t>Σ_diff(t)=(rank d_t^p, rank(d_t^{p+1}d_t^p), rank L_{d_t}, rank K_t, rank M_t, rank H_t, dim H_t^p when defined).     (10.27)</w:t>
      </w:r>
      <w:bookmarkEnd w:id="1719"/>
    </w:p>
    <w:p>
      <w:bookmarkStart w:id="1535" w:name="s_DEF_10_42"/>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bookmarkEnd w:id="1535"/>
    </w:p>
    <w:p>
      <w:bookmarkStart w:id="1720" w:name="f_10_28"/>
      <w:pPr>
        <w:spacing w:before="60" w:after="100"/>
        <w:jc w:val="center"/>
      </w:pPr>
      <w:r>
        <w:rPr>
          <w:rFonts w:ascii="Cambria Math" w:hAnsi="Cambria Math" w:eastAsia="Cambria Math"/>
          <w:sz w:val="22"/>
        </w:rPr>
        <w:t>Δ_safe^{++} = Δ_safe^+ ∪ Δ_diff.                                        (10.28)</w:t>
      </w:r>
      <w:bookmarkEnd w:id="1720"/>
    </w:p>
    <w:p>
      <w:bookmarkStart w:id="1536" w:name="s_THM_10_43"/>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bookmarkEnd w:id="1536"/>
    </w:p>
    <w:p>
      <w:bookmarkStart w:id="1721" w:name="f_10_29"/>
      <w:pPr>
        <w:spacing w:before="60" w:after="100"/>
        <w:jc w:val="center"/>
      </w:pPr>
      <w:r>
        <w:rPr>
          <w:rFonts w:ascii="Cambria Math" w:hAnsi="Cambria Math" w:eastAsia="Cambria Math"/>
          <w:sz w:val="22"/>
        </w:rPr>
        <w:t>dim H_t^p = dim Ω^p - rank d_t^p - rank d_t^{p-1}                       (10.29)</w:t>
      </w:r>
      <w:bookmarkEnd w:id="1721"/>
    </w:p>
    <w:p>
      <w:pPr>
        <w:spacing w:before="0" w:after="100" w:line="259" w:lineRule="auto"/>
      </w:pPr>
      <w:r>
        <w:rPr>
          <w:rFonts w:ascii="Liberation Serif" w:hAnsi="Liberation Serif" w:eastAsia="Liberation Serif"/>
          <w:b w:val="0"/>
          <w:sz w:val="22"/>
        </w:rPr>
        <w:t>также постоянно.</w:t>
      </w:r>
    </w:p>
    <w:p>
      <w:bookmarkStart w:id="1537" w:name="s_THM_10_44"/>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bookmarkEnd w:id="1537"/>
    </w:p>
    <w:p>
      <w:bookmarkStart w:id="1538" w:name="s_COR_10_45"/>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bookmarkEnd w:id="1538"/>
    </w:p>
    <w:p>
      <w:bookmarkStart w:id="1006" w:name="h_1284"/>
      <w:pPr>
        <w:pStyle w:val="Heading1"/>
        <w:pageBreakBefore w:val="0"/>
        <w:spacing w:before="200" w:after="100"/>
        <w:keepNext/>
      </w:pPr>
      <w:r>
        <w:t>79. Разделяющие модели</w:t>
      </w:r>
      <w:bookmarkEnd w:id="1006"/>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rPr>
          <w:cantSplit/>
        </w:trP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rPr>
          <w:cantSplit/>
        </w:trP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rPr>
          <w:cantSplit/>
        </w:trP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rPr>
          <w:cantSplit/>
        </w:trP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rPr>
          <w:cantSplit/>
        </w:trP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bookmarkStart w:id="1539" w:name="s_CTHM_10_46"/>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bookmarkEnd w:id="1539"/>
    </w:p>
    <w:p>
      <w:bookmarkStart w:id="1007" w:name="h_1287"/>
      <w:pPr>
        <w:pStyle w:val="Heading1"/>
        <w:pageBreakBefore w:val="0"/>
        <w:spacing w:before="200" w:after="100"/>
        <w:keepNext/>
      </w:pPr>
      <w:r>
        <w:t>80. Главная условная теорема v0.8</w:t>
      </w:r>
      <w:bookmarkEnd w:id="1007"/>
    </w:p>
    <w:p>
      <w:bookmarkStart w:id="1540" w:name="s_THM_10_47"/>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bookmarkEnd w:id="1540"/>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descr="Рисунок 22. Blocker-safe шлюз дифференциального прогноза. Собственная схема Тома II." title="Рисунок 22. Blocker-safe шлюз дифференциального прогноза. Собственная схема Тома II."/>
            <wp:cNvGraphicFramePr>
              <a:graphicFrameLocks noChangeAspect="1"/>
            </wp:cNvGraphicFramePr>
            <a:graphic>
              <a:graphicData uri="http://schemas.openxmlformats.org/drawingml/2006/picture">
                <pic:pic>
                  <pic:nvPicPr>
                    <pic:cNvPr id="0" name="fig22_diff_gate.png" descr="Рисунок 22. Blocker-safe шлюз дифференциального прогноза. Собственная схема Тома II." title="Рисунок 22. Blocker-safe шлюз дифференциального прогноза. Собственная схема Тома II."/>
                    <pic:cNvPicPr/>
                  </pic:nvPicPr>
                  <pic:blipFill>
                    <a:blip r:embed="rId52"/>
                    <a:stretch>
                      <a:fillRect/>
                    </a:stretch>
                  </pic:blipFill>
                  <pic:spPr>
                    <a:xfrm>
                      <a:off x="0" y="0"/>
                      <a:ext cx="6172200" cy="3549015"/>
                    </a:xfrm>
                    <a:prstGeom prst="rect"/>
                  </pic:spPr>
                </pic:pic>
              </a:graphicData>
            </a:graphic>
          </wp:inline>
        </w:drawing>
      </w:r>
    </w:p>
    <w:p>
      <w:pPr>
        <w:pStyle w:val="Caption"/>
        <w:keepNext/>
        <w:spacing w:after="120"/>
        <w:jc w:val="center"/>
      </w:pPr>
      <w:r>
        <w:t>Рисунок 22. Blocker-safe шлюз дифференциального прогноза. Собственная схема Тома II.</w:t>
      </w:r>
    </w:p>
    <w:p>
      <w:bookmarkStart w:id="1008" w:name="h_1303"/>
      <w:pPr>
        <w:pStyle w:val="Heading1"/>
        <w:pageBreakBefore w:val="0"/>
        <w:spacing w:before="200" w:after="100"/>
        <w:keepNext/>
      </w:pPr>
      <w:r>
        <w:t>81. Вычислительный сертификат DIFF-NAPG v0.8</w:t>
      </w:r>
      <w:bookmarkEnd w:id="1008"/>
    </w:p>
    <w:tbl>
      <w:tblPr>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rPr>
          <w:cantSplit/>
        </w:trP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rPr>
          <w:cantSplit/>
        </w:trP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bookmarkStart w:id="1009" w:name="h_1322"/>
      <w:pPr>
        <w:pStyle w:val="Heading1"/>
        <w:pageBreakBefore w:val="0"/>
        <w:spacing w:before="200" w:after="100"/>
        <w:keepNext/>
      </w:pPr>
      <w:r>
        <w:t>82. Доказательные обязательства, источники и контрольная точка v0.8</w:t>
      </w:r>
      <w:bookmarkEnd w:id="1009"/>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rPr>
          <w:cantSplit/>
        </w:trPr>
        <w:tc>
          <w:tcPr>
            <w:tcW w:type="dxa" w:w="1440"/>
            <w:tcMar>
              <w:top w:w="85" w:type="dxa"/>
              <w:start w:w="90" w:type="dxa"/>
              <w:bottom w:w="85" w:type="dxa"/>
              <w:end w:w="90" w:type="dxa"/>
            </w:tcMar>
            <w:vAlign w:val="center"/>
            <w:shd w:fill="F4F7FA"/>
          </w:tcPr>
          <w:p>
            <w:bookmarkStart w:id="2166" w:name="po_070"/>
            <w:pPr>
              <w:spacing w:after="0" w:line="240" w:lineRule="auto"/>
              <w:jc w:val="center"/>
            </w:pPr>
            <w:r>
              <w:rPr>
                <w:rFonts w:ascii="Liberation Serif" w:hAnsi="Liberation Serif" w:eastAsia="Liberation Serif"/>
                <w:sz w:val="16"/>
              </w:rPr>
              <w:t>T2-PO-070</w:t>
            </w:r>
            <w:bookmarkEnd w:id="2166"/>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rPr>
          <w:cantSplit/>
        </w:trPr>
        <w:tc>
          <w:tcPr>
            <w:tcW w:type="dxa" w:w="1440"/>
            <w:tcMar>
              <w:top w:w="85" w:type="dxa"/>
              <w:start w:w="90" w:type="dxa"/>
              <w:bottom w:w="85" w:type="dxa"/>
              <w:end w:w="90" w:type="dxa"/>
            </w:tcMar>
            <w:vAlign w:val="center"/>
          </w:tcPr>
          <w:p>
            <w:bookmarkStart w:id="2167" w:name="po_071"/>
            <w:pPr>
              <w:spacing w:after="0" w:line="240" w:lineRule="auto"/>
              <w:jc w:val="center"/>
            </w:pPr>
            <w:r>
              <w:rPr>
                <w:rFonts w:ascii="Liberation Serif" w:hAnsi="Liberation Serif" w:eastAsia="Liberation Serif"/>
                <w:sz w:val="16"/>
              </w:rPr>
              <w:t>T2-PO-071</w:t>
            </w:r>
            <w:bookmarkEnd w:id="2167"/>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shd w:fill="F4F7FA"/>
          </w:tcPr>
          <w:p>
            <w:bookmarkStart w:id="2168" w:name="po_072"/>
            <w:pPr>
              <w:spacing w:after="0" w:line="240" w:lineRule="auto"/>
              <w:jc w:val="center"/>
            </w:pPr>
            <w:r>
              <w:rPr>
                <w:rFonts w:ascii="Liberation Serif" w:hAnsi="Liberation Serif" w:eastAsia="Liberation Serif"/>
                <w:sz w:val="16"/>
              </w:rPr>
              <w:t>T2-PO-072</w:t>
            </w:r>
            <w:bookmarkEnd w:id="2168"/>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tcPr>
          <w:p>
            <w:bookmarkStart w:id="2169" w:name="po_073"/>
            <w:pPr>
              <w:spacing w:after="0" w:line="240" w:lineRule="auto"/>
              <w:jc w:val="center"/>
            </w:pPr>
            <w:r>
              <w:rPr>
                <w:rFonts w:ascii="Liberation Serif" w:hAnsi="Liberation Serif" w:eastAsia="Liberation Serif"/>
                <w:sz w:val="16"/>
              </w:rPr>
              <w:t>T2-PO-073</w:t>
            </w:r>
            <w:bookmarkEnd w:id="2169"/>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shd w:fill="F4F7FA"/>
          </w:tcPr>
          <w:p>
            <w:bookmarkStart w:id="2170" w:name="po_074"/>
            <w:pPr>
              <w:spacing w:after="0" w:line="240" w:lineRule="auto"/>
              <w:jc w:val="center"/>
            </w:pPr>
            <w:r>
              <w:rPr>
                <w:rFonts w:ascii="Liberation Serif" w:hAnsi="Liberation Serif" w:eastAsia="Liberation Serif"/>
                <w:sz w:val="16"/>
              </w:rPr>
              <w:t>T2-PO-074</w:t>
            </w:r>
            <w:bookmarkEnd w:id="2170"/>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tcPr>
          <w:p>
            <w:bookmarkStart w:id="2171" w:name="po_075"/>
            <w:pPr>
              <w:spacing w:after="0" w:line="240" w:lineRule="auto"/>
              <w:jc w:val="center"/>
            </w:pPr>
            <w:r>
              <w:rPr>
                <w:rFonts w:ascii="Liberation Serif" w:hAnsi="Liberation Serif" w:eastAsia="Liberation Serif"/>
                <w:sz w:val="16"/>
              </w:rPr>
              <w:t>T2-PO-075</w:t>
            </w:r>
            <w:bookmarkEnd w:id="2171"/>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rPr>
          <w:cantSplit/>
        </w:trPr>
        <w:tc>
          <w:tcPr>
            <w:tcW w:type="dxa" w:w="1440"/>
            <w:tcMar>
              <w:top w:w="85" w:type="dxa"/>
              <w:start w:w="90" w:type="dxa"/>
              <w:bottom w:w="85" w:type="dxa"/>
              <w:end w:w="90" w:type="dxa"/>
            </w:tcMar>
            <w:vAlign w:val="center"/>
            <w:shd w:fill="F4F7FA"/>
          </w:tcPr>
          <w:p>
            <w:bookmarkStart w:id="2172" w:name="po_076"/>
            <w:pPr>
              <w:spacing w:after="0" w:line="240" w:lineRule="auto"/>
              <w:jc w:val="center"/>
            </w:pPr>
            <w:r>
              <w:rPr>
                <w:rFonts w:ascii="Liberation Serif" w:hAnsi="Liberation Serif" w:eastAsia="Liberation Serif"/>
                <w:sz w:val="16"/>
              </w:rPr>
              <w:t>T2-PO-076</w:t>
            </w:r>
            <w:bookmarkEnd w:id="2172"/>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rPr>
          <w:cantSplit/>
        </w:trPr>
        <w:tc>
          <w:tcPr>
            <w:tcW w:type="dxa" w:w="1440"/>
            <w:tcMar>
              <w:top w:w="85" w:type="dxa"/>
              <w:start w:w="90" w:type="dxa"/>
              <w:bottom w:w="85" w:type="dxa"/>
              <w:end w:w="90" w:type="dxa"/>
            </w:tcMar>
            <w:vAlign w:val="center"/>
          </w:tcPr>
          <w:p>
            <w:bookmarkStart w:id="2173" w:name="po_077"/>
            <w:pPr>
              <w:spacing w:after="0" w:line="240" w:lineRule="auto"/>
              <w:jc w:val="center"/>
            </w:pPr>
            <w:r>
              <w:rPr>
                <w:rFonts w:ascii="Liberation Serif" w:hAnsi="Liberation Serif" w:eastAsia="Liberation Serif"/>
                <w:sz w:val="16"/>
              </w:rPr>
              <w:t>T2-PO-077</w:t>
            </w:r>
            <w:bookmarkEnd w:id="2173"/>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rPr>
          <w:cantSplit/>
        </w:trPr>
        <w:tc>
          <w:tcPr>
            <w:tcW w:type="dxa" w:w="1440"/>
            <w:tcMar>
              <w:top w:w="85" w:type="dxa"/>
              <w:start w:w="90" w:type="dxa"/>
              <w:bottom w:w="85" w:type="dxa"/>
              <w:end w:w="90" w:type="dxa"/>
            </w:tcMar>
            <w:vAlign w:val="center"/>
            <w:shd w:fill="F4F7FA"/>
          </w:tcPr>
          <w:p>
            <w:bookmarkStart w:id="2174" w:name="po_078"/>
            <w:pPr>
              <w:spacing w:after="0" w:line="240" w:lineRule="auto"/>
              <w:jc w:val="center"/>
            </w:pPr>
            <w:r>
              <w:rPr>
                <w:rFonts w:ascii="Liberation Serif" w:hAnsi="Liberation Serif" w:eastAsia="Liberation Serif"/>
                <w:sz w:val="16"/>
              </w:rPr>
              <w:t>T2-PO-078</w:t>
            </w:r>
            <w:bookmarkEnd w:id="2174"/>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rPr>
          <w:cantSplit/>
        </w:trPr>
        <w:tc>
          <w:tcPr>
            <w:tcW w:type="dxa" w:w="1440"/>
            <w:tcMar>
              <w:top w:w="85" w:type="dxa"/>
              <w:start w:w="90" w:type="dxa"/>
              <w:bottom w:w="85" w:type="dxa"/>
              <w:end w:w="90" w:type="dxa"/>
            </w:tcMar>
            <w:vAlign w:val="center"/>
          </w:tcPr>
          <w:p>
            <w:bookmarkStart w:id="2175" w:name="po_079"/>
            <w:pPr>
              <w:spacing w:after="0" w:line="240" w:lineRule="auto"/>
              <w:jc w:val="center"/>
            </w:pPr>
            <w:r>
              <w:rPr>
                <w:rFonts w:ascii="Liberation Serif" w:hAnsi="Liberation Serif" w:eastAsia="Liberation Serif"/>
                <w:sz w:val="16"/>
              </w:rPr>
              <w:t>T2-PO-079</w:t>
            </w:r>
            <w:bookmarkEnd w:id="2175"/>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rPr>
          <w:cantSplit/>
        </w:trPr>
        <w:tc>
          <w:tcPr>
            <w:tcW w:type="dxa" w:w="1440"/>
            <w:tcMar>
              <w:top w:w="85" w:type="dxa"/>
              <w:start w:w="90" w:type="dxa"/>
              <w:bottom w:w="85" w:type="dxa"/>
              <w:end w:w="90" w:type="dxa"/>
            </w:tcMar>
            <w:vAlign w:val="center"/>
            <w:shd w:fill="F4F7FA"/>
          </w:tcPr>
          <w:p>
            <w:bookmarkStart w:id="2176" w:name="po_080"/>
            <w:pPr>
              <w:spacing w:after="0" w:line="240" w:lineRule="auto"/>
              <w:jc w:val="center"/>
            </w:pPr>
            <w:r>
              <w:rPr>
                <w:rFonts w:ascii="Liberation Serif" w:hAnsi="Liberation Serif" w:eastAsia="Liberation Serif"/>
                <w:sz w:val="16"/>
              </w:rPr>
              <w:t>T2-PO-080</w:t>
            </w:r>
            <w:bookmarkEnd w:id="2176"/>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rPr>
          <w:cantSplit/>
        </w:trPr>
        <w:tc>
          <w:tcPr>
            <w:tcW w:type="dxa" w:w="1440"/>
            <w:tcMar>
              <w:top w:w="85" w:type="dxa"/>
              <w:start w:w="90" w:type="dxa"/>
              <w:bottom w:w="85" w:type="dxa"/>
              <w:end w:w="90" w:type="dxa"/>
            </w:tcMar>
            <w:vAlign w:val="center"/>
          </w:tcPr>
          <w:p>
            <w:bookmarkStart w:id="2177" w:name="po_081"/>
            <w:pPr>
              <w:spacing w:after="0" w:line="240" w:lineRule="auto"/>
              <w:jc w:val="center"/>
            </w:pPr>
            <w:r>
              <w:rPr>
                <w:rFonts w:ascii="Liberation Serif" w:hAnsi="Liberation Serif" w:eastAsia="Liberation Serif"/>
                <w:sz w:val="16"/>
              </w:rPr>
              <w:t>T2-PO-081</w:t>
            </w:r>
            <w:bookmarkEnd w:id="2177"/>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rPr>
          <w:cantSplit/>
        </w:trPr>
        <w:tc>
          <w:tcPr>
            <w:tcW w:type="dxa" w:w="1440"/>
            <w:tcMar>
              <w:top w:w="85" w:type="dxa"/>
              <w:start w:w="90" w:type="dxa"/>
              <w:bottom w:w="85" w:type="dxa"/>
              <w:end w:w="90" w:type="dxa"/>
            </w:tcMar>
            <w:vAlign w:val="center"/>
            <w:shd w:fill="F4F7FA"/>
          </w:tcPr>
          <w:p>
            <w:bookmarkStart w:id="2178" w:name="po_082"/>
            <w:pPr>
              <w:spacing w:after="0" w:line="240" w:lineRule="auto"/>
              <w:jc w:val="center"/>
            </w:pPr>
            <w:r>
              <w:rPr>
                <w:rFonts w:ascii="Liberation Serif" w:hAnsi="Liberation Serif" w:eastAsia="Liberation Serif"/>
                <w:sz w:val="16"/>
              </w:rPr>
              <w:t>T2-PO-082</w:t>
            </w:r>
            <w:bookmarkEnd w:id="2178"/>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rPr>
          <w:cantSplit/>
        </w:trPr>
        <w:tc>
          <w:tcPr>
            <w:tcW w:type="dxa" w:w="1440"/>
            <w:tcMar>
              <w:top w:w="85" w:type="dxa"/>
              <w:start w:w="90" w:type="dxa"/>
              <w:bottom w:w="85" w:type="dxa"/>
              <w:end w:w="90" w:type="dxa"/>
            </w:tcMar>
            <w:vAlign w:val="center"/>
          </w:tcPr>
          <w:p>
            <w:bookmarkStart w:id="2179" w:name="po_083"/>
            <w:pPr>
              <w:spacing w:after="0" w:line="240" w:lineRule="auto"/>
              <w:jc w:val="center"/>
            </w:pPr>
            <w:r>
              <w:rPr>
                <w:rFonts w:ascii="Liberation Serif" w:hAnsi="Liberation Serif" w:eastAsia="Liberation Serif"/>
                <w:sz w:val="16"/>
              </w:rPr>
              <w:t>T2-PO-083</w:t>
            </w:r>
            <w:bookmarkEnd w:id="2179"/>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rPr>
          <w:cantSplit/>
        </w:trPr>
        <w:tc>
          <w:tcPr>
            <w:tcW w:type="dxa" w:w="1440"/>
            <w:tcMar>
              <w:top w:w="85" w:type="dxa"/>
              <w:start w:w="90" w:type="dxa"/>
              <w:bottom w:w="85" w:type="dxa"/>
              <w:end w:w="90" w:type="dxa"/>
            </w:tcMar>
            <w:vAlign w:val="center"/>
            <w:shd w:fill="F4F7FA"/>
          </w:tcPr>
          <w:p>
            <w:bookmarkStart w:id="2180" w:name="po_084"/>
            <w:pPr>
              <w:spacing w:after="0" w:line="240" w:lineRule="auto"/>
              <w:jc w:val="center"/>
            </w:pPr>
            <w:r>
              <w:rPr>
                <w:rFonts w:ascii="Liberation Serif" w:hAnsi="Liberation Serif" w:eastAsia="Liberation Serif"/>
                <w:sz w:val="16"/>
              </w:rPr>
              <w:t>T2-PO-084</w:t>
            </w:r>
            <w:bookmarkEnd w:id="2180"/>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rPr>
          <w:cantSplit/>
        </w:trPr>
        <w:tc>
          <w:tcPr>
            <w:tcW w:type="dxa" w:w="1440"/>
            <w:tcMar>
              <w:top w:w="85" w:type="dxa"/>
              <w:start w:w="90" w:type="dxa"/>
              <w:bottom w:w="85" w:type="dxa"/>
              <w:end w:w="90" w:type="dxa"/>
            </w:tcMar>
            <w:vAlign w:val="center"/>
          </w:tcPr>
          <w:p>
            <w:bookmarkStart w:id="2181" w:name="po_085"/>
            <w:pPr>
              <w:spacing w:after="0" w:line="240" w:lineRule="auto"/>
              <w:jc w:val="center"/>
            </w:pPr>
            <w:r>
              <w:rPr>
                <w:rFonts w:ascii="Liberation Serif" w:hAnsi="Liberation Serif" w:eastAsia="Liberation Serif"/>
                <w:sz w:val="16"/>
              </w:rPr>
              <w:t>T2-PO-085</w:t>
            </w:r>
            <w:bookmarkEnd w:id="2181"/>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bookmarkStart w:id="2182" w:name="po_086"/>
            <w:pPr>
              <w:spacing w:after="0" w:line="228" w:lineRule="auto"/>
              <w:jc w:val="center"/>
            </w:pPr>
            <w:r>
              <w:rPr>
                <w:rFonts w:ascii="Liberation Serif" w:hAnsi="Liberation Serif" w:eastAsia="Liberation Serif"/>
                <w:sz w:val="16"/>
              </w:rPr>
              <w:t>T2-PO-086</w:t>
            </w:r>
            <w:bookmarkEnd w:id="2182"/>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rPr>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rPr>
          <w:cantSplit/>
        </w:trP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rPr>
          <w:cantSplit/>
        </w:trP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bookmarkStart w:id="1010" w:name="h_1340"/>
      <w:pPr>
        <w:pStyle w:val="Heading1"/>
        <w:keepNext/>
      </w:pPr>
      <w:r>
        <w:t>83. Глава 12. Внутренняя конструкция C_min^•, δ_min и Θ_min</w:t>
      </w:r>
      <w:bookmarkEnd w:id="1010"/>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rPr>
          <w:cantSplit/>
        </w:trP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rPr>
          <w:cantSplit/>
        </w:trP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rPr>
          <w:cantSplit/>
        </w:trP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rPr>
          <w:tblHeader w:val="true"/>
          <w:cantSplit/>
        </w:trP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rPr>
          <w:cantSplit/>
        </w:trP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rPr>
          <w:cantSplit/>
        </w:trP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rPr>
          <w:cantSplit/>
        </w:trP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bookmarkStart w:id="1011" w:name="h_1344"/>
      <w:pPr>
        <w:pStyle w:val="Heading1"/>
        <w:keepNext/>
      </w:pPr>
      <w:r>
        <w:t>84. Definition Core: квадратичный кадр и минимальный комплекс</w:t>
      </w:r>
      <w:bookmarkEnd w:id="1011"/>
    </w:p>
    <w:p>
      <w:pPr>
        <w:pStyle w:val="Heading2"/>
        <w:keepNext/>
      </w:pPr>
      <w:r>
        <w:t>84.1. Квадратичный кадр NAPG_q</w:t>
      </w:r>
    </w:p>
    <w:p>
      <w:bookmarkStart w:id="1541" w:name="s_DEF_12_1"/>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bookmarkEnd w:id="1541"/>
    </w:p>
    <w:p>
      <w:bookmarkStart w:id="1722" w:name="f_12_1"/>
      <w:pPr>
        <w:keepLines/>
        <w:spacing w:before="80" w:after="80"/>
        <w:jc w:val="center"/>
      </w:pPr>
      <w:r>
        <w:rPr>
          <w:rFonts w:ascii="Liberation Serif" w:hAnsi="Liberation Serif"/>
          <w:i/>
          <w:sz w:val="23"/>
        </w:rPr>
        <w:t>N=(K,A^•,⊙,G,R; F²_N, X²_N, Ψ²_N).</w:t>
      </w:r>
      <w:r>
        <w:rPr>
          <w:sz w:val="21"/>
        </w:rPr>
        <w:t xml:space="preserve">     (12.1)</w:t>
      </w:r>
      <w:bookmarkEnd w:id="1722"/>
    </w:p>
    <w:p>
      <w:pPr/>
      <w:r>
        <w:t>Морфизм φ:N→N′ содержит компоненты φ_F:F²_N→F²_N′ и φ_X:X²_N→X²_N′, удовлетворяющие коммутативности квадрата вычисления.</w:t>
      </w:r>
    </w:p>
    <w:p>
      <w:bookmarkStart w:id="1723" w:name="f_12_2"/>
      <w:pPr>
        <w:keepLines/>
        <w:spacing w:before="80" w:after="80"/>
        <w:jc w:val="center"/>
      </w:pPr>
      <w:r>
        <w:rPr>
          <w:rFonts w:ascii="Liberation Serif" w:hAnsi="Liberation Serif"/>
          <w:i/>
          <w:sz w:val="23"/>
        </w:rPr>
        <w:t>φ_X ∘ Ψ²_N = Ψ²_N′ ∘ φ_F.</w:t>
      </w:r>
      <w:r>
        <w:rPr>
          <w:sz w:val="21"/>
        </w:rPr>
        <w:t xml:space="preserve">     (12.2)</w:t>
      </w:r>
      <w:bookmarkEnd w:id="1723"/>
    </w:p>
    <w:p>
      <w:pPr>
        <w:pStyle w:val="Heading2"/>
        <w:keepNext/>
      </w:pPr>
      <w:r>
        <w:t>84.2. Минимальный коцепной комплекс</w:t>
      </w:r>
    </w:p>
    <w:p>
      <w:bookmarkStart w:id="1542" w:name="s_DEF_12_2"/>
      <w:pPr/>
      <w:r>
        <w:t>Определение 12.2 (внутренний минимальный комплекс). [THM/IMPORT] Для каждого N∈NAPG_q положим</w:t>
      </w:r>
      <w:bookmarkEnd w:id="1542"/>
    </w:p>
    <w:p>
      <w:bookmarkStart w:id="1724" w:name="f_12_3"/>
      <w:pPr>
        <w:keepLines/>
        <w:spacing w:before="80" w:after="80"/>
        <w:jc w:val="center"/>
      </w:pPr>
      <w:r>
        <w:rPr>
          <w:rFonts w:ascii="Liberation Serif" w:hAnsi="Liberation Serif"/>
          <w:i/>
          <w:sz w:val="23"/>
        </w:rPr>
        <w:t>C_min^n(N)=F²_N при n=2;  C_min^n(N)=X²_N при n=3;  C_min^n(N)=0 при n≠2,3.</w:t>
      </w:r>
      <w:r>
        <w:rPr>
          <w:sz w:val="21"/>
        </w:rPr>
        <w:t xml:space="preserve">     (12.3)</w:t>
      </w:r>
      <w:bookmarkEnd w:id="1724"/>
    </w:p>
    <w:p>
      <w:bookmarkStart w:id="1725" w:name="f_12_4"/>
      <w:pPr>
        <w:keepLines/>
        <w:spacing w:before="80" w:after="80"/>
        <w:jc w:val="center"/>
      </w:pPr>
      <w:r>
        <w:rPr>
          <w:rFonts w:ascii="Liberation Serif" w:hAnsi="Liberation Serif"/>
          <w:i/>
          <w:sz w:val="23"/>
        </w:rPr>
        <w:t>δ_min²(N)=Ψ²_N;  δ_min^n(N)=0 при n≠2.</w:t>
      </w:r>
      <w:r>
        <w:rPr>
          <w:sz w:val="21"/>
        </w:rPr>
        <w:t xml:space="preserve">     (12.4)</w:t>
      </w:r>
      <w:bookmarkEnd w:id="1725"/>
    </w:p>
    <w:p>
      <w:bookmarkStart w:id="1543" w:name="s_LEM_12_1"/>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bookmarkEnd w:id="1543"/>
    </w:p>
    <w:p>
      <w:pPr>
        <w:pStyle w:val="Heading2"/>
        <w:keepNext/>
      </w:pPr>
      <w:r>
        <w:t>84.3. Две разные карты: Θ_min и obstruction class</w:t>
      </w:r>
    </w:p>
    <w:p>
      <w:bookmarkStart w:id="1544" w:name="s_DEF_12_3"/>
      <w:pPr/>
      <w:r>
        <w:t>Определение 12.3 (каноническая карта в третью степень). [THM/IMPORT]</w:t>
      </w:r>
      <w:bookmarkEnd w:id="1544"/>
    </w:p>
    <w:p>
      <w:bookmarkStart w:id="1726" w:name="f_12_5"/>
      <w:pPr>
        <w:keepLines/>
        <w:spacing w:before="80" w:after="80"/>
        <w:jc w:val="center"/>
      </w:pPr>
      <w:r>
        <w:rPr>
          <w:rFonts w:ascii="Liberation Serif" w:hAnsi="Liberation Serif"/>
          <w:i/>
          <w:sz w:val="23"/>
        </w:rPr>
        <w:t>Θ_min,N:X²_N→C_min³(N),   Θ_min,N=id_{X²_N}.</w:t>
      </w:r>
      <w:r>
        <w:rPr>
          <w:sz w:val="21"/>
        </w:rPr>
        <w:t xml:space="preserve">     (12.5)</w:t>
      </w:r>
      <w:bookmarkEnd w:id="1726"/>
    </w:p>
    <w:p>
      <w:bookmarkStart w:id="1545" w:name="s_DEF_12_4"/>
      <w:pPr/>
      <w:r>
        <w:t>Определение 12.4 (класс препятствия). [DEF-A] Пусть π_N:X²_N→X²_N/Im Ψ²_N - фактор-проекция. Для q∈X²_N внутренний класс препятствия определяется как</w:t>
      </w:r>
      <w:bookmarkEnd w:id="1545"/>
    </w:p>
    <w:p>
      <w:bookmarkStart w:id="1727" w:name="f_12_6"/>
      <w:pPr>
        <w:keepLines/>
        <w:spacing w:before="80" w:after="80"/>
        <w:jc w:val="center"/>
      </w:pPr>
      <w:r>
        <w:rPr>
          <w:rFonts w:ascii="Liberation Serif" w:hAnsi="Liberation Serif"/>
          <w:i/>
          <w:sz w:val="23"/>
        </w:rPr>
        <w:t>o_min,N(q)=π_N(Θ_min,N(q))=[q] ∈ H³(C_min^•(N)).</w:t>
      </w:r>
      <w:r>
        <w:rPr>
          <w:sz w:val="21"/>
        </w:rPr>
        <w:t xml:space="preserve">     (12.6)</w:t>
      </w:r>
      <w:bookmarkEnd w:id="1727"/>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descr="Рисунок 23. Минимальный комплекс и естественная точная последовательность. Собственная схема Тома II." title="Рисунок 23. Минимальный комплекс и естественная точная последовательность. Собственная схема Тома II."/>
            <wp:cNvGraphicFramePr>
              <a:graphicFrameLocks noChangeAspect="1"/>
            </wp:cNvGraphicFramePr>
            <a:graphic>
              <a:graphicData uri="http://schemas.openxmlformats.org/drawingml/2006/picture">
                <pic:pic>
                  <pic:nvPicPr>
                    <pic:cNvPr id="0" name="fig23_min_complex.png" descr="Рисунок 23. Минимальный комплекс и естественная точная последовательность. Собственная схема Тома II." title="Рисунок 23. Минимальный комплекс и естественная точная последовательность. Собственная схема Тома II."/>
                    <pic:cNvPicPr/>
                  </pic:nvPicPr>
                  <pic:blipFill>
                    <a:blip r:embed="rId54"/>
                    <a:stretch>
                      <a:fillRect/>
                    </a:stretch>
                  </pic:blipFill>
                  <pic:spPr>
                    <a:xfrm>
                      <a:off x="0" y="0"/>
                      <a:ext cx="5760000" cy="2275709"/>
                    </a:xfrm>
                    <a:prstGeom prst="rect"/>
                  </pic:spPr>
                </pic:pic>
              </a:graphicData>
            </a:graphic>
          </wp:inline>
        </w:drawing>
      </w:r>
    </w:p>
    <w:p>
      <w:pPr>
        <w:pStyle w:val="Caption"/>
        <w:keepNext/>
        <w:jc w:val="center"/>
      </w:pPr>
      <w:r>
        <w:t>Рисунок 23. Минимальный комплекс и естественная точная последовательность. Собственная схема Тома II.</w:t>
      </w:r>
    </w:p>
    <w:p>
      <w:bookmarkStart w:id="1012" w:name="h_1363"/>
      <w:pPr>
        <w:pStyle w:val="Heading1"/>
        <w:keepNext/>
      </w:pPr>
      <w:r>
        <w:t>85. Когомологии, точная последовательность и эйлеров инвариант</w:t>
      </w:r>
      <w:bookmarkEnd w:id="1012"/>
    </w:p>
    <w:p>
      <w:bookmarkStart w:id="1546" w:name="s_THM_12_2"/>
      <w:pPr/>
      <w:r>
        <w:t>Теорема 12.2 (внутренние H² и H³). [THM] Для каждого квадратичного кадра N</w:t>
      </w:r>
      <w:bookmarkEnd w:id="1546"/>
    </w:p>
    <w:p>
      <w:bookmarkStart w:id="1728" w:name="f_12_7"/>
      <w:pPr>
        <w:keepLines/>
        <w:spacing w:before="80" w:after="80"/>
        <w:jc w:val="center"/>
      </w:pPr>
      <w:r>
        <w:rPr>
          <w:rFonts w:ascii="Liberation Serif" w:hAnsi="Liberation Serif"/>
          <w:i/>
          <w:sz w:val="23"/>
        </w:rPr>
        <w:t>H²(C_min(N))=Ker Ψ²_N,     H³(C_min(N))=Coker Ψ²_N=O_B(N).</w:t>
      </w:r>
      <w:r>
        <w:rPr>
          <w:sz w:val="21"/>
        </w:rPr>
        <w:t xml:space="preserve">     (12.7)</w:t>
      </w:r>
      <w:bookmarkEnd w:id="1728"/>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bookmarkStart w:id="1547" w:name="s_THM_12_3"/>
      <w:pPr/>
      <w:r>
        <w:t>Теорема 12.3 (естественная точная последовательность). [THM] Имеется естественная точная последовательность</w:t>
      </w:r>
      <w:bookmarkEnd w:id="1547"/>
    </w:p>
    <w:p>
      <w:bookmarkStart w:id="1729" w:name="f_12_8"/>
      <w:pPr>
        <w:keepLines/>
        <w:spacing w:before="80" w:after="80"/>
        <w:jc w:val="center"/>
      </w:pPr>
      <w:r>
        <w:rPr>
          <w:rFonts w:ascii="Liberation Serif" w:hAnsi="Liberation Serif"/>
          <w:i/>
          <w:sz w:val="23"/>
        </w:rPr>
        <w:t>0→H²(C_min)→F²_N —Ψ²_N→ X²_N —π_N→ H³(C_min)→0.</w:t>
      </w:r>
      <w:r>
        <w:rPr>
          <w:sz w:val="21"/>
        </w:rPr>
        <w:t xml:space="preserve">     (12.8)</w:t>
      </w:r>
      <w:bookmarkEnd w:id="1729"/>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bookmarkStart w:id="1548" w:name="s_COR_12_3"/>
      <w:pPr/>
      <w:r>
        <w:t>Следствие 12.3.1 (конечномерный ранг). [THM] Если dim F²_N=f, dim X²_N=x и rank Ψ²_N=r, то</w:t>
      </w:r>
      <w:bookmarkEnd w:id="1548"/>
    </w:p>
    <w:p>
      <w:bookmarkStart w:id="1730" w:name="f_12_9"/>
      <w:pPr>
        <w:keepLines/>
        <w:spacing w:before="80" w:after="80"/>
        <w:jc w:val="center"/>
      </w:pPr>
      <w:r>
        <w:rPr>
          <w:rFonts w:ascii="Liberation Serif" w:hAnsi="Liberation Serif"/>
          <w:i/>
          <w:sz w:val="23"/>
        </w:rPr>
        <w:t>dim H²=f-r,     dim H³=x-r,     dim H²-dim H³=f-x.</w:t>
      </w:r>
      <w:r>
        <w:rPr>
          <w:sz w:val="21"/>
        </w:rPr>
        <w:t xml:space="preserve">     (12.9)</w:t>
      </w:r>
      <w:bookmarkEnd w:id="1730"/>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bookmarkStart w:id="1013" w:name="h_1373"/>
      <w:pPr>
        <w:pStyle w:val="Heading1"/>
        <w:keepNext/>
      </w:pPr>
      <w:r>
        <w:t>86. Функториальность и естественная каноничность</w:t>
      </w:r>
      <w:bookmarkEnd w:id="1013"/>
    </w:p>
    <w:p>
      <w:bookmarkStart w:id="1549" w:name="s_THM_12_4"/>
      <w:pPr/>
      <w:r>
        <w:t>Теорема 12.4 (функтор минимального комплекса). [THM] Назначение N↦C_min^•(N), φ↦(φ_F,φ_X) задаёт функтор</w:t>
      </w:r>
      <w:bookmarkEnd w:id="1549"/>
    </w:p>
    <w:p>
      <w:bookmarkStart w:id="1731" w:name="f_12_10"/>
      <w:pPr>
        <w:keepLines/>
        <w:spacing w:before="80" w:after="80"/>
        <w:jc w:val="center"/>
      </w:pPr>
      <w:r>
        <w:rPr>
          <w:rFonts w:ascii="Liberation Serif" w:hAnsi="Liberation Serif"/>
          <w:i/>
          <w:sz w:val="23"/>
        </w:rPr>
        <w:t>C_min^•:NAPG_q→CoCh_K.</w:t>
      </w:r>
      <w:r>
        <w:rPr>
          <w:sz w:val="21"/>
        </w:rPr>
        <w:t xml:space="preserve">     (12.10)</w:t>
      </w:r>
      <w:bookmarkEnd w:id="1731"/>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bookmarkStart w:id="1550" w:name="s_THM_12_5"/>
      <w:pPr/>
      <w:r>
        <w:t>Теорема 12.5 (естественный изоморфизм). [THM] Функтор O_B=Coker Ψ² естественно изоморфен функтору H³∘C_min. Компонента изоморфизма</w:t>
      </w:r>
      <w:bookmarkEnd w:id="1550"/>
    </w:p>
    <w:p>
      <w:bookmarkStart w:id="1732" w:name="f_12_11"/>
      <w:pPr>
        <w:keepLines/>
        <w:spacing w:before="80" w:after="80"/>
        <w:jc w:val="center"/>
      </w:pPr>
      <w:r>
        <w:rPr>
          <w:rFonts w:ascii="Liberation Serif" w:hAnsi="Liberation Serif"/>
          <w:i/>
          <w:sz w:val="23"/>
        </w:rPr>
        <w:t>κ_N:O_B(N)→H³(C_min(N)),     κ_N([x])=[x],</w:t>
      </w:r>
      <w:r>
        <w:rPr>
          <w:sz w:val="21"/>
        </w:rPr>
        <w:t xml:space="preserve">     (12.11)</w:t>
      </w:r>
      <w:bookmarkEnd w:id="1732"/>
    </w:p>
    <w:p>
      <w:pPr/>
      <w:r>
        <w:t>корректна, биективна и независима от представителя. Для морфизма φ коммутирует квадрат κ_N′∘O_B(φ)=H³(C_min(φ))∘κ_N.</w:t>
      </w:r>
    </w:p>
    <w:p>
      <w:bookmarkStart w:id="1551" w:name="s_COR_12_5"/>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bookmarkEnd w:id="1551"/>
    </w:p>
    <w:p>
      <w:bookmarkStart w:id="1014" w:name="h_1381"/>
      <w:pPr>
        <w:pStyle w:val="Heading1"/>
        <w:keepNext/>
      </w:pPr>
      <w:r>
        <w:t>87. Критерий подъёма и H²-торсор решений</w:t>
      </w:r>
      <w:bookmarkEnd w:id="1014"/>
    </w:p>
    <w:p>
      <w:bookmarkStart w:id="1552" w:name="s_DEF_12_5"/>
      <w:pPr/>
      <w:r>
        <w:t>Определение 12.5 (подъём). [DEF-A] Для q∈X²_N подъёмом называется f∈F²_N, удовлетворяющий Ψ²_N(f)=q. Множество всех подъёмов обозначается Lift_N(q).</w:t>
      </w:r>
      <w:bookmarkEnd w:id="1552"/>
    </w:p>
    <w:p>
      <w:bookmarkStart w:id="1553" w:name="s_THM_12_6"/>
      <w:pPr/>
      <w:r>
        <w:t>Теорема 12.6 (полный внутренний критерий подъёма). [THM] Для q∈X²_N эквивалентны:</w:t>
      </w:r>
      <w:bookmarkEnd w:id="1553"/>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bookmarkStart w:id="1554" w:name="s_THM_12_7"/>
      <w:pPr/>
      <w:r>
        <w:t>Теорема 12.7 (торсор подъёмов). [THM] Если Lift_N(q) непусто и f₀ - один подъём, то</w:t>
      </w:r>
      <w:bookmarkEnd w:id="1554"/>
    </w:p>
    <w:p>
      <w:bookmarkStart w:id="1733" w:name="f_12_12"/>
      <w:pPr>
        <w:keepLines/>
        <w:spacing w:before="80" w:after="80"/>
        <w:jc w:val="center"/>
      </w:pPr>
      <w:r>
        <w:rPr>
          <w:rFonts w:ascii="Liberation Serif" w:hAnsi="Liberation Serif"/>
          <w:i/>
          <w:sz w:val="23"/>
        </w:rPr>
        <w:t>Lift_N(q)=f₀+Ker Ψ²_N=f₀+H²(C_min(N)).</w:t>
      </w:r>
      <w:r>
        <w:rPr>
          <w:sz w:val="21"/>
        </w:rPr>
        <w:t xml:space="preserve">     (12.12)</w:t>
      </w:r>
      <w:bookmarkEnd w:id="1733"/>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descr="Рисунок 24. Критерий подъёма и H²-торсор решений. Собственная схема Тома II." title="Рисунок 24. Критерий подъёма и H²-торсор решений. Собственная схема Тома II."/>
            <wp:cNvGraphicFramePr>
              <a:graphicFrameLocks noChangeAspect="1"/>
            </wp:cNvGraphicFramePr>
            <a:graphic>
              <a:graphicData uri="http://schemas.openxmlformats.org/drawingml/2006/picture">
                <pic:pic>
                  <pic:nvPicPr>
                    <pic:cNvPr id="0" name="fig24_lift_torsor.png" descr="Рисунок 24. Критерий подъёма и H²-торсор решений. Собственная схема Тома II." title="Рисунок 24. Критерий подъёма и H²-торсор решений. Собственная схема Тома II."/>
                    <pic:cNvPicPr/>
                  </pic:nvPicPr>
                  <pic:blipFill>
                    <a:blip r:embed="rId55"/>
                    <a:stretch>
                      <a:fillRect/>
                    </a:stretch>
                  </pic:blipFill>
                  <pic:spPr>
                    <a:xfrm>
                      <a:off x="0" y="0"/>
                      <a:ext cx="5760000" cy="2275709"/>
                    </a:xfrm>
                    <a:prstGeom prst="rect"/>
                  </pic:spPr>
                </pic:pic>
              </a:graphicData>
            </a:graphic>
          </wp:inline>
        </w:drawing>
      </w:r>
    </w:p>
    <w:p>
      <w:pPr>
        <w:pStyle w:val="Caption"/>
        <w:keepNext/>
        <w:jc w:val="center"/>
      </w:pPr>
      <w:r>
        <w:t>Рисунок 24. Критерий подъёма и H²-торсор решений. Собственная схема Тома II.</w:t>
      </w:r>
    </w:p>
    <w:p>
      <w:bookmarkStart w:id="1015" w:name="h_1394"/>
      <w:pPr>
        <w:pStyle w:val="Heading1"/>
        <w:keepNext/>
      </w:pPr>
      <w:r>
        <w:t>88. Универсальное свойство двухчленного ядра</w:t>
      </w:r>
      <w:bookmarkEnd w:id="1015"/>
    </w:p>
    <w:p>
      <w:bookmarkStart w:id="1555" w:name="s_THM_12_8"/>
      <w:pPr/>
      <w:r>
        <w:t>Теорема 12.8 (универсальное продолжение в заданный комплекс). [THM] Пусть E^• - коцепной комплекс, а заданы линейные карты J²:F²_N→E² и J³:X²_N→E³, удовлетворяющие</w:t>
      </w:r>
      <w:bookmarkEnd w:id="1555"/>
    </w:p>
    <w:p>
      <w:bookmarkStart w:id="1734" w:name="f_12_13"/>
      <w:pPr>
        <w:keepLines/>
        <w:spacing w:before="80" w:after="80"/>
        <w:jc w:val="center"/>
      </w:pPr>
      <w:r>
        <w:rPr>
          <w:rFonts w:ascii="Liberation Serif" w:hAnsi="Liberation Serif"/>
          <w:i/>
          <w:sz w:val="23"/>
        </w:rPr>
        <w:t>δ_E²∘J² = J³∘Ψ²_N.</w:t>
      </w:r>
      <w:r>
        <w:rPr>
          <w:sz w:val="21"/>
        </w:rPr>
        <w:t xml:space="preserve">     (12.13)</w:t>
      </w:r>
      <w:bookmarkEnd w:id="1734"/>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bookmarkStart w:id="1016" w:name="h_1400"/>
      <w:pPr>
        <w:pStyle w:val="Heading1"/>
        <w:keepNext/>
      </w:pPr>
      <w:r>
        <w:t>89. Base-change, прямые суммы и предел каноничности</w:t>
      </w:r>
      <w:bookmarkEnd w:id="1016"/>
    </w:p>
    <w:p>
      <w:bookmarkStart w:id="1556" w:name="s_THM_12_9"/>
      <w:pPr/>
      <w:r>
        <w:t>Теорема 12.9 (расширение поля). [THM] Пусть L/K - расширение полей. Тогда</w:t>
      </w:r>
      <w:bookmarkEnd w:id="1556"/>
    </w:p>
    <w:p>
      <w:bookmarkStart w:id="1735" w:name="f_12_14"/>
      <w:pPr>
        <w:keepLines/>
        <w:spacing w:before="80" w:after="80"/>
        <w:jc w:val="center"/>
      </w:pPr>
      <w:r>
        <w:rPr>
          <w:rFonts w:ascii="Liberation Serif" w:hAnsi="Liberation Serif"/>
          <w:i/>
          <w:sz w:val="23"/>
        </w:rPr>
        <w:t>H^i(C_min(N)⊗_K L) ≅ H^i(C_min(N))⊗_K L,   i=2,3.</w:t>
      </w:r>
      <w:r>
        <w:rPr>
          <w:sz w:val="21"/>
        </w:rPr>
        <w:t xml:space="preserve">     (12.14)</w:t>
      </w:r>
      <w:bookmarkEnd w:id="1735"/>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bookmarkStart w:id="1557" w:name="s_THM_12_10"/>
      <w:pPr/>
      <w:r>
        <w:t>Теорема 12.10 (блочно-диагональная аддитивность). [THM] Для прямой суммы кадров с Ψ²_{N⊕M}=Ψ²_N⊕Ψ²_M</w:t>
      </w:r>
      <w:bookmarkEnd w:id="1557"/>
    </w:p>
    <w:p>
      <w:bookmarkStart w:id="1736" w:name="f_12_15"/>
      <w:pPr>
        <w:keepLines/>
        <w:spacing w:before="80" w:after="80"/>
        <w:jc w:val="center"/>
      </w:pPr>
      <w:r>
        <w:rPr>
          <w:rFonts w:ascii="Liberation Serif" w:hAnsi="Liberation Serif"/>
          <w:i/>
          <w:sz w:val="23"/>
        </w:rPr>
        <w:t>H^i(C_min(N⊕M)) ≅ H^i(C_min(N))⊕H^i(C_min(M)),   i=2,3.</w:t>
      </w:r>
      <w:r>
        <w:rPr>
          <w:sz w:val="21"/>
        </w:rPr>
        <w:t xml:space="preserve">     (12.15)</w:t>
      </w:r>
      <w:bookmarkEnd w:id="1736"/>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bookmarkStart w:id="1017" w:name="h_1407"/>
      <w:pPr>
        <w:pStyle w:val="Heading1"/>
        <w:keepNext/>
      </w:pPr>
      <w:r>
        <w:t>90. Канонический класс и неканонический численный остаток</w:t>
      </w:r>
      <w:bookmarkEnd w:id="1017"/>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bookmarkStart w:id="1558" w:name="s_DEF_12_6"/>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bookmarkEnd w:id="1558"/>
    </w:p>
    <w:p>
      <w:bookmarkStart w:id="1737" w:name="f_12_16"/>
      <w:pPr>
        <w:keepLines/>
        <w:spacing w:before="80" w:after="80"/>
        <w:jc w:val="center"/>
      </w:pPr>
      <w:r>
        <w:rPr>
          <w:rFonts w:ascii="Liberation Serif" w:hAnsi="Liberation Serif"/>
          <w:i/>
          <w:sz w:val="23"/>
        </w:rPr>
        <w:t>r_min(q)=(I-Ψ²_N(Ψ²_N)†)q.</w:t>
      </w:r>
      <w:r>
        <w:rPr>
          <w:sz w:val="21"/>
        </w:rPr>
        <w:t xml:space="preserve">     (12.16)</w:t>
      </w:r>
      <w:bookmarkEnd w:id="1737"/>
    </w:p>
    <w:p>
      <w:bookmarkStart w:id="1559" w:name="s_THM_12_11"/>
      <w:pPr/>
      <w:r>
        <w:t>Теорема 12.11 (остаточный критерий). [THM] r_min(q)=0 тогда и только тогда, когда [q]=0 в H³(C_min). Если класс нулевой, f*=Ψ†q является подъёмом минимальной нормы.</w:t>
      </w:r>
      <w:bookmarkEnd w:id="1559"/>
    </w:p>
    <w:p>
      <w:bookmarkStart w:id="1738" w:name="f_12_17"/>
      <w:pPr>
        <w:keepLines/>
        <w:spacing w:before="80" w:after="80"/>
        <w:jc w:val="center"/>
      </w:pPr>
      <w:r>
        <w:rPr>
          <w:rFonts w:ascii="Liberation Serif" w:hAnsi="Liberation Serif"/>
          <w:i/>
          <w:sz w:val="23"/>
        </w:rPr>
        <w:t>||f*|| ≤ ||q||/σ⁺(Ψ²_N),</w:t>
      </w:r>
      <w:r>
        <w:rPr>
          <w:sz w:val="21"/>
        </w:rPr>
        <w:t xml:space="preserve">     (12.17)</w:t>
      </w:r>
      <w:bookmarkEnd w:id="1738"/>
    </w:p>
    <w:p>
      <w:pPr/>
      <w:r>
        <w:t>где σ⁺ - наименьшее положительное сингулярное значение. При σ⁺→0 подъём может становиться неустойчивым, хотя obstruction class остаётся нулевым.</w:t>
      </w:r>
    </w:p>
    <w:p>
      <w:bookmarkStart w:id="1560" w:name="s_DEF_12_7"/>
      <w:pPr/>
      <w:r>
        <w:t>Определение 12.7 (нормированный индекс внутренней обструкции). [DEF-A/DIAGNOSTIC]</w:t>
      </w:r>
      <w:bookmarkEnd w:id="1560"/>
    </w:p>
    <w:p>
      <w:bookmarkStart w:id="1739" w:name="f_12_18"/>
      <w:pPr>
        <w:keepLines/>
        <w:spacing w:before="80" w:after="80"/>
        <w:jc w:val="center"/>
      </w:pPr>
      <w:r>
        <w:rPr>
          <w:rFonts w:ascii="Liberation Serif" w:hAnsi="Liberation Serif"/>
          <w:i/>
          <w:sz w:val="23"/>
        </w:rPr>
        <w:t>OCI_min(q)=||r_min(q)||/(||q||+ε),     ε&gt;0.</w:t>
      </w:r>
      <w:r>
        <w:rPr>
          <w:sz w:val="21"/>
        </w:rPr>
        <w:t xml:space="preserve">     (12.18)</w:t>
      </w:r>
      <w:bookmarkEnd w:id="1739"/>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bookmarkStart w:id="1018" w:name="h_1417"/>
      <w:pPr>
        <w:pStyle w:val="Heading1"/>
        <w:keepNext/>
      </w:pPr>
      <w:r>
        <w:t>91. Аналитические семейства и obstruction section</w:t>
      </w:r>
      <w:bookmarkEnd w:id="1018"/>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bookmarkStart w:id="1561" w:name="s_THM_12_12"/>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bookmarkEnd w:id="1561"/>
    </w:p>
    <w:p>
      <w:bookmarkStart w:id="1740" w:name="f_12_19"/>
      <w:pPr>
        <w:keepLines/>
        <w:spacing w:before="80" w:after="80"/>
        <w:jc w:val="center"/>
      </w:pPr>
      <w:r>
        <w:rPr>
          <w:rFonts w:ascii="Liberation Serif" w:hAnsi="Liberation Serif"/>
          <w:i/>
          <w:sz w:val="23"/>
        </w:rPr>
        <w:t>H²_t=Ker Ψ_t,     H³_t=X_t/Im Ψ_t</w:t>
      </w:r>
      <w:r>
        <w:rPr>
          <w:sz w:val="21"/>
        </w:rPr>
        <w:t xml:space="preserve">     (12.19)</w:t>
      </w:r>
      <w:bookmarkEnd w:id="1740"/>
    </w:p>
    <w:p>
      <w:pPr/>
      <w:r>
        <w:t>образуют аналитические векторные расслоения постоянных рангов. Классы o_t=[q_t] задают аналитическое сечение obstruction bundle H³→J.</w:t>
      </w:r>
    </w:p>
    <w:p>
      <w:bookmarkStart w:id="1562" w:name="s_COR_12_12"/>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bookmarkEnd w:id="1562"/>
    </w:p>
    <w:p>
      <w:bookmarkStart w:id="1563" w:name="s_DEF_12_8"/>
      <w:pPr/>
      <w:r>
        <w:t>Определение 12.8 (внутренний переходный горизонт). [DEF-A]</w:t>
      </w:r>
      <w:bookmarkEnd w:id="1563"/>
    </w:p>
    <w:p>
      <w:bookmarkStart w:id="1741" w:name="f_12_20"/>
      <w:pPr>
        <w:keepLines/>
        <w:spacing w:before="80" w:after="80"/>
        <w:jc w:val="center"/>
      </w:pPr>
      <w:r>
        <w:rPr>
          <w:rFonts w:ascii="Liberation Serif" w:hAnsi="Liberation Serif"/>
          <w:i/>
          <w:sz w:val="23"/>
        </w:rPr>
        <w:t>Δ_min = Δ_rank ∪ Δ_cond ∪ Δ_Dom ∪ Δ_D ∪ Pole(λ),</w:t>
      </w:r>
      <w:r>
        <w:rPr>
          <w:sz w:val="21"/>
        </w:rPr>
        <w:t xml:space="preserve">     (12.20)</w:t>
      </w:r>
      <w:bookmarkEnd w:id="1741"/>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bookmarkStart w:id="1019" w:name="h_1426"/>
      <w:pPr>
        <w:pStyle w:val="Heading1"/>
        <w:keepNext/>
      </w:pPr>
      <w:r>
        <w:t>92. Устойчивый отрицательный прогноз</w:t>
      </w:r>
      <w:bookmarkEnd w:id="1019"/>
    </w:p>
    <w:p>
      <w:bookmarkStart w:id="1564" w:name="s_LEM_12_13"/>
      <w:pPr/>
      <w:r>
        <w:t>Лемма 12.13 (оценка движения остатка). [THM] Пусть P_t=Ψ_tΨ_t† - ортогональная проекция на Im Ψ_t в секторе постоянного ранга. Тогда для r_t=(I-P_t)q_t</w:t>
      </w:r>
      <w:bookmarkEnd w:id="1564"/>
    </w:p>
    <w:p>
      <w:bookmarkStart w:id="1742" w:name="f_12_21"/>
      <w:pPr>
        <w:keepLines/>
        <w:spacing w:before="80" w:after="80"/>
        <w:jc w:val="center"/>
      </w:pPr>
      <w:r>
        <w:rPr>
          <w:rFonts w:ascii="Liberation Serif" w:hAnsi="Liberation Serif"/>
          <w:i/>
          <w:sz w:val="23"/>
        </w:rPr>
        <w:t>||r_t-r_s|| ≤ ||q_t-q_s|| + ||P_t-P_s||·||q_s||.</w:t>
      </w:r>
      <w:r>
        <w:rPr>
          <w:sz w:val="21"/>
        </w:rPr>
        <w:t xml:space="preserve">     (12.21)</w:t>
      </w:r>
      <w:bookmarkEnd w:id="1742"/>
    </w:p>
    <w:p>
      <w:pPr/>
      <w:r>
        <w:t>Доказательство. r_t-r_s=(I-P_t)(q_t-q_s)+(P_s-P_t)q_s. Норма ортогональной проекции не превосходит 1. □</w:t>
      </w:r>
    </w:p>
    <w:p>
      <w:bookmarkStart w:id="1565" w:name="s_THM_12_14"/>
      <w:pPr/>
      <w:r>
        <w:t>Теорема 12.14 (сертифицированная зона отсутствия подъёма). [THM/COMP] Если в точке t₀ известно ||r_{t₀}||=ρ&gt;0 и на окрестности U выполнено</w:t>
      </w:r>
      <w:bookmarkEnd w:id="1565"/>
    </w:p>
    <w:p>
      <w:bookmarkStart w:id="1743" w:name="f_12_22"/>
      <w:pPr>
        <w:keepLines/>
        <w:spacing w:before="80" w:after="80"/>
        <w:jc w:val="center"/>
      </w:pPr>
      <w:r>
        <w:rPr>
          <w:rFonts w:ascii="Liberation Serif" w:hAnsi="Liberation Serif"/>
          <w:i/>
          <w:sz w:val="23"/>
        </w:rPr>
        <w:t>||q_t-q_{t₀}|| + ||P_t-P_{t₀}||·||q_{t₀}|| &lt; ρ,</w:t>
      </w:r>
      <w:r>
        <w:rPr>
          <w:sz w:val="21"/>
        </w:rPr>
        <w:t xml:space="preserve">     (12.22)</w:t>
      </w:r>
      <w:bookmarkEnd w:id="1743"/>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bookmarkStart w:id="1020" w:name="h_1434"/>
      <w:pPr>
        <w:pStyle w:val="Heading1"/>
        <w:keepNext/>
      </w:pPr>
      <w:r>
        <w:t>93. Главная условная теорема предсказательного метода v0.9</w:t>
      </w:r>
      <w:bookmarkEnd w:id="1020"/>
    </w:p>
    <w:p>
      <w:bookmarkStart w:id="1566" w:name="s_THM_12_15"/>
      <w:pPr/>
      <w:r>
        <w:t>Теорема 12.15 (minimal-obstruction-safe predictive theorem). [COND] Рассмотрим семейство</w:t>
      </w:r>
      <w:bookmarkEnd w:id="1566"/>
    </w:p>
    <w:p>
      <w:bookmarkStart w:id="1744" w:name="f_12_23"/>
      <w:pPr>
        <w:keepLines/>
        <w:spacing w:before="80" w:after="80"/>
        <w:jc w:val="center"/>
      </w:pPr>
      <w:r>
        <w:rPr>
          <w:rFonts w:ascii="Liberation Serif" w:hAnsi="Liberation Serif"/>
          <w:i/>
          <w:sz w:val="23"/>
        </w:rPr>
        <w:t>F_t=(N_t,Ψ_t,q_t,ρ_t,D_t,Dom_t),     t∈I,</w:t>
      </w:r>
      <w:r>
        <w:rPr>
          <w:sz w:val="21"/>
        </w:rPr>
        <w:t xml:space="preserve">     (12.23)</w:t>
      </w:r>
      <w:bookmarkEnd w:id="1744"/>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descr="Рисунок 25. Blocker-safe шлюз внутреннего obstruction-прогноза. Собственная схема Тома II." title="Рисунок 25. Blocker-safe шлюз внутреннего obstruction-прогноза. Собственная схема Тома II."/>
            <wp:cNvGraphicFramePr>
              <a:graphicFrameLocks noChangeAspect="1"/>
            </wp:cNvGraphicFramePr>
            <a:graphic>
              <a:graphicData uri="http://schemas.openxmlformats.org/drawingml/2006/picture">
                <pic:pic>
                  <pic:nvPicPr>
                    <pic:cNvPr id="0" name="fig25_predictive_gate.png" descr="Рисунок 25. Blocker-safe шлюз внутреннего obstruction-прогноза. Собственная схема Тома II." title="Рисунок 25. Blocker-safe шлюз внутреннего obstruction-прогноза. Собственная схема Тома II."/>
                    <pic:cNvPicPr/>
                  </pic:nvPicPr>
                  <pic:blipFill>
                    <a:blip r:embed="rId56"/>
                    <a:stretch>
                      <a:fillRect/>
                    </a:stretch>
                  </pic:blipFill>
                  <pic:spPr>
                    <a:xfrm>
                      <a:off x="0" y="0"/>
                      <a:ext cx="5760000" cy="2824155"/>
                    </a:xfrm>
                    <a:prstGeom prst="rect"/>
                  </pic:spPr>
                </pic:pic>
              </a:graphicData>
            </a:graphic>
          </wp:inline>
        </w:drawing>
      </w:r>
    </w:p>
    <w:p>
      <w:pPr>
        <w:pStyle w:val="Caption"/>
        <w:keepNext/>
        <w:jc w:val="center"/>
      </w:pPr>
      <w:r>
        <w:t>Рисунок 25. Blocker-safe шлюз внутреннего obstruction-прогноза. Собственная схема Тома II.</w:t>
      </w:r>
    </w:p>
    <w:p>
      <w:bookmarkStart w:id="1021" w:name="h_1450"/>
      <w:pPr>
        <w:pStyle w:val="Heading1"/>
        <w:keepNext/>
      </w:pPr>
      <w:r>
        <w:t>94. Проективно-гармонический Reper-шлюз</w:t>
      </w:r>
      <w:bookmarkEnd w:id="1021"/>
    </w:p>
    <w:p>
      <w:bookmarkStart w:id="1567" w:name="s_DEF_12_9"/>
      <w:pPr/>
      <w:r>
        <w:t>Определение 12.9 (совместный сертификат). [DEF-A] Для структурного кандидата x_t задаётся</w:t>
      </w:r>
      <w:bookmarkEnd w:id="1567"/>
    </w:p>
    <w:p>
      <w:bookmarkStart w:id="1745" w:name="f_12_24"/>
      <w:pPr>
        <w:keepLines/>
        <w:spacing w:before="80" w:after="80"/>
        <w:jc w:val="center"/>
      </w:pPr>
      <w:r>
        <w:rPr>
          <w:rFonts w:ascii="Liberation Serif" w:hAnsi="Liberation Serif"/>
          <w:i/>
          <w:sz w:val="23"/>
        </w:rPr>
        <w:t>Cert_min(t)=(type_ok, [q_t], ||r_t||, σ⁺_t, Valid(D_t), Dom_t, δ_truth(t), Block_t).</w:t>
      </w:r>
      <w:r>
        <w:rPr>
          <w:sz w:val="21"/>
        </w:rPr>
        <w:t xml:space="preserve">     (12.24)</w:t>
      </w:r>
      <w:bookmarkEnd w:id="1745"/>
    </w:p>
    <w:p>
      <w:pPr/>
      <w:r>
        <w:t>Строгий селектор допускает кандидат внутреннего подъёма только при одновременном выполнении</w:t>
      </w:r>
    </w:p>
    <w:p>
      <w:bookmarkStart w:id="1746" w:name="f_12_25"/>
      <w:pPr>
        <w:keepLines/>
        <w:spacing w:before="80" w:after="80"/>
        <w:jc w:val="center"/>
      </w:pPr>
      <w:r>
        <w:rPr>
          <w:rFonts w:ascii="Liberation Serif" w:hAnsi="Liberation Serif"/>
          <w:i/>
          <w:sz w:val="23"/>
        </w:rPr>
        <w:t>[q_t]=0,  ||r_t||≤ε_num,  σ⁺_t≥s₀,  Valid(D_t)=1,  Dom_t=1,  Block_t=∅.</w:t>
      </w:r>
      <w:r>
        <w:rPr>
          <w:sz w:val="21"/>
        </w:rPr>
        <w:t xml:space="preserve">     (12.25)</w:t>
      </w:r>
      <w:bookmarkEnd w:id="1746"/>
    </w:p>
    <w:p>
      <w:pPr/>
      <w:r>
        <w:t>Условие λ=-1 или δ_truth≤τ может добавляться как проективно-гармонический фильтр, но не заменяет ни одного условия (12.25). Поэтому</w:t>
      </w:r>
    </w:p>
    <w:p>
      <w:bookmarkStart w:id="1747" w:name="f_12_26"/>
      <w:pPr>
        <w:keepLines/>
        <w:spacing w:before="80" w:after="80"/>
        <w:jc w:val="center"/>
      </w:pPr>
      <w:r>
        <w:rPr>
          <w:rFonts w:ascii="Liberation Serif" w:hAnsi="Liberation Serif"/>
          <w:i/>
          <w:sz w:val="23"/>
        </w:rPr>
        <w:t>λ=-1  ⇏  [q]=0,      [q]=0  ⇏  λ=-1.</w:t>
      </w:r>
      <w:r>
        <w:rPr>
          <w:sz w:val="21"/>
        </w:rPr>
        <w:t xml:space="preserve">     (12.26)</w:t>
      </w:r>
      <w:bookmarkEnd w:id="1747"/>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bookmarkStart w:id="1022" w:name="h_1458"/>
      <w:pPr>
        <w:pStyle w:val="Heading1"/>
        <w:keepNext/>
      </w:pPr>
      <w:r>
        <w:t>95. Контрпримеры и граничные случаи</w:t>
      </w:r>
      <w:bookmarkEnd w:id="1022"/>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rPr>
          <w:cantSplit/>
        </w:trP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rPr>
          <w:cantSplit/>
        </w:trP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rPr>
          <w:cantSplit/>
        </w:trP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rPr>
          <w:cantSplit/>
        </w:trP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rPr>
          <w:cantSplit/>
        </w:trP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rPr>
          <w:cantSplit/>
        </w:trP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bookmarkStart w:id="1568" w:name="s_CTHM_12_16"/>
      <w:pPr/>
      <w:r>
        <w:t>Контртеорема 12.16 (четыре запрета). [THM] В общем случае неверны импликации:</w:t>
      </w:r>
      <w:bookmarkEnd w:id="1568"/>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bookmarkStart w:id="1023" w:name="h_1465"/>
      <w:pPr>
        <w:pStyle w:val="Heading1"/>
        <w:keepNext/>
      </w:pPr>
      <w:r>
        <w:t>96. Вычислительный сертификат MIN-OB v0.9</w:t>
      </w:r>
      <w:bookmarkEnd w:id="1023"/>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cantSplit/>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rPr>
          <w:cantSplit/>
        </w:trP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rPr>
          <w:cantSplit/>
        </w:trP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rPr>
          <w:cantSplit/>
        </w:trP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rPr>
          <w:cantSplit/>
        </w:trP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rPr>
          <w:cantSplit/>
        </w:trP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rPr>
          <w:cantSplit/>
        </w:trP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rPr>
          <w:cantSplit/>
        </w:trP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rPr>
          <w:cantSplit/>
        </w:trP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rPr>
          <w:cantSplit/>
        </w:trP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rPr>
          <w:cantSplit/>
        </w:trP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rPr>
          <w:cantSplit/>
        </w:trP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rPr>
          <w:cantSplit/>
        </w:trP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rPr>
          <w:cantSplit/>
        </w:trP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rPr>
          <w:cantSplit/>
        </w:trP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bookmarkStart w:id="1024" w:name="h_1469"/>
      <w:pPr>
        <w:pStyle w:val="Heading1"/>
        <w:keepNext/>
      </w:pPr>
      <w:r>
        <w:t>97. Доказательные обязательства T2-RP-v0.9</w:t>
      </w:r>
      <w:bookmarkEnd w:id="1024"/>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rPr>
          <w:cantSplit/>
        </w:trPr>
        <w:tc>
          <w:tcPr>
            <w:tcW w:type="dxa" w:w="1247"/>
            <w:shd w:fill="FFFFFF"/>
            <w:tcMar>
              <w:top w:w="80" w:type="dxa"/>
              <w:start w:w="90" w:type="dxa"/>
              <w:bottom w:w="80" w:type="dxa"/>
              <w:end w:w="90" w:type="dxa"/>
            </w:tcMar>
            <w:vAlign w:val="center"/>
          </w:tcPr>
          <w:p>
            <w:bookmarkStart w:id="2183" w:name="po_087"/>
            <w:pPr>
              <w:jc w:val="center"/>
            </w:pPr>
            <w:r>
              <w:rPr>
                <w:rFonts w:ascii="Liberation Serif" w:hAnsi="Liberation Serif"/>
                <w:sz w:val="15"/>
              </w:rPr>
              <w:t>T2-PO-087</w:t>
            </w:r>
            <w:bookmarkEnd w:id="2183"/>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EEF3F8"/>
            <w:tcMar>
              <w:top w:w="80" w:type="dxa"/>
              <w:start w:w="90" w:type="dxa"/>
              <w:bottom w:w="80" w:type="dxa"/>
              <w:end w:w="90" w:type="dxa"/>
            </w:tcMar>
            <w:vAlign w:val="center"/>
          </w:tcPr>
          <w:p>
            <w:bookmarkStart w:id="2184" w:name="po_088"/>
            <w:pPr>
              <w:jc w:val="center"/>
            </w:pPr>
            <w:r>
              <w:rPr>
                <w:rFonts w:ascii="Liberation Serif" w:hAnsi="Liberation Serif"/>
                <w:sz w:val="15"/>
              </w:rPr>
              <w:t>T2-PO-088</w:t>
            </w:r>
            <w:bookmarkEnd w:id="2184"/>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FFFFFF"/>
            <w:tcMar>
              <w:top w:w="80" w:type="dxa"/>
              <w:start w:w="90" w:type="dxa"/>
              <w:bottom w:w="80" w:type="dxa"/>
              <w:end w:w="90" w:type="dxa"/>
            </w:tcMar>
            <w:vAlign w:val="center"/>
          </w:tcPr>
          <w:p>
            <w:bookmarkStart w:id="2185" w:name="po_089"/>
            <w:pPr>
              <w:jc w:val="center"/>
            </w:pPr>
            <w:r>
              <w:rPr>
                <w:rFonts w:ascii="Liberation Serif" w:hAnsi="Liberation Serif"/>
                <w:sz w:val="15"/>
              </w:rPr>
              <w:t>T2-PO-089</w:t>
            </w:r>
            <w:bookmarkEnd w:id="2185"/>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EEF3F8"/>
            <w:tcMar>
              <w:top w:w="80" w:type="dxa"/>
              <w:start w:w="90" w:type="dxa"/>
              <w:bottom w:w="80" w:type="dxa"/>
              <w:end w:w="90" w:type="dxa"/>
            </w:tcMar>
            <w:vAlign w:val="center"/>
          </w:tcPr>
          <w:p>
            <w:bookmarkStart w:id="2186" w:name="po_090"/>
            <w:pPr>
              <w:jc w:val="center"/>
            </w:pPr>
            <w:r>
              <w:rPr>
                <w:rFonts w:ascii="Liberation Serif" w:hAnsi="Liberation Serif"/>
                <w:sz w:val="15"/>
              </w:rPr>
              <w:t>T2-PO-090</w:t>
            </w:r>
            <w:bookmarkEnd w:id="2186"/>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FFFFFF"/>
            <w:tcMar>
              <w:top w:w="80" w:type="dxa"/>
              <w:start w:w="90" w:type="dxa"/>
              <w:bottom w:w="80" w:type="dxa"/>
              <w:end w:w="90" w:type="dxa"/>
            </w:tcMar>
            <w:vAlign w:val="center"/>
          </w:tcPr>
          <w:p>
            <w:bookmarkStart w:id="2187" w:name="po_091"/>
            <w:pPr>
              <w:jc w:val="center"/>
            </w:pPr>
            <w:r>
              <w:rPr>
                <w:rFonts w:ascii="Liberation Serif" w:hAnsi="Liberation Serif"/>
                <w:sz w:val="15"/>
              </w:rPr>
              <w:t>T2-PO-091</w:t>
            </w:r>
            <w:bookmarkEnd w:id="2187"/>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EEF3F8"/>
            <w:tcMar>
              <w:top w:w="80" w:type="dxa"/>
              <w:start w:w="90" w:type="dxa"/>
              <w:bottom w:w="80" w:type="dxa"/>
              <w:end w:w="90" w:type="dxa"/>
            </w:tcMar>
            <w:vAlign w:val="center"/>
          </w:tcPr>
          <w:p>
            <w:bookmarkStart w:id="2188" w:name="po_092"/>
            <w:pPr>
              <w:jc w:val="center"/>
            </w:pPr>
            <w:r>
              <w:rPr>
                <w:rFonts w:ascii="Liberation Serif" w:hAnsi="Liberation Serif"/>
                <w:sz w:val="15"/>
              </w:rPr>
              <w:t>T2-PO-092</w:t>
            </w:r>
            <w:bookmarkEnd w:id="2188"/>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FFFFFF"/>
            <w:tcMar>
              <w:top w:w="80" w:type="dxa"/>
              <w:start w:w="90" w:type="dxa"/>
              <w:bottom w:w="80" w:type="dxa"/>
              <w:end w:w="90" w:type="dxa"/>
            </w:tcMar>
            <w:vAlign w:val="center"/>
          </w:tcPr>
          <w:p>
            <w:bookmarkStart w:id="2189" w:name="po_093"/>
            <w:pPr>
              <w:jc w:val="center"/>
            </w:pPr>
            <w:r>
              <w:rPr>
                <w:rFonts w:ascii="Liberation Serif" w:hAnsi="Liberation Serif"/>
                <w:sz w:val="15"/>
              </w:rPr>
              <w:t>T2-PO-093</w:t>
            </w:r>
            <w:bookmarkEnd w:id="2189"/>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EEF3F8"/>
            <w:tcMar>
              <w:top w:w="80" w:type="dxa"/>
              <w:start w:w="90" w:type="dxa"/>
              <w:bottom w:w="80" w:type="dxa"/>
              <w:end w:w="90" w:type="dxa"/>
            </w:tcMar>
            <w:vAlign w:val="center"/>
          </w:tcPr>
          <w:p>
            <w:bookmarkStart w:id="2190" w:name="po_094"/>
            <w:pPr>
              <w:jc w:val="center"/>
            </w:pPr>
            <w:r>
              <w:rPr>
                <w:rFonts w:ascii="Liberation Serif" w:hAnsi="Liberation Serif"/>
                <w:sz w:val="15"/>
              </w:rPr>
              <w:t>T2-PO-094</w:t>
            </w:r>
            <w:bookmarkEnd w:id="2190"/>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rPr>
          <w:cantSplit/>
        </w:trPr>
        <w:tc>
          <w:tcPr>
            <w:tcW w:type="dxa" w:w="1247"/>
            <w:shd w:fill="FFFFFF"/>
            <w:tcMar>
              <w:top w:w="80" w:type="dxa"/>
              <w:start w:w="90" w:type="dxa"/>
              <w:bottom w:w="80" w:type="dxa"/>
              <w:end w:w="90" w:type="dxa"/>
            </w:tcMar>
            <w:vAlign w:val="center"/>
          </w:tcPr>
          <w:p>
            <w:bookmarkStart w:id="2191" w:name="po_095"/>
            <w:pPr>
              <w:jc w:val="center"/>
            </w:pPr>
            <w:r>
              <w:rPr>
                <w:rFonts w:ascii="Liberation Serif" w:hAnsi="Liberation Serif"/>
                <w:sz w:val="15"/>
              </w:rPr>
              <w:t>T2-PO-095</w:t>
            </w:r>
            <w:bookmarkEnd w:id="2191"/>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rPr>
          <w:cantSplit/>
        </w:trPr>
        <w:tc>
          <w:tcPr>
            <w:tcW w:type="dxa" w:w="1247"/>
            <w:shd w:fill="EEF3F8"/>
            <w:tcMar>
              <w:top w:w="80" w:type="dxa"/>
              <w:start w:w="90" w:type="dxa"/>
              <w:bottom w:w="80" w:type="dxa"/>
              <w:end w:w="90" w:type="dxa"/>
            </w:tcMar>
            <w:vAlign w:val="center"/>
          </w:tcPr>
          <w:p>
            <w:bookmarkStart w:id="2192" w:name="po_096"/>
            <w:pPr>
              <w:jc w:val="center"/>
            </w:pPr>
            <w:r>
              <w:rPr>
                <w:rFonts w:ascii="Liberation Serif" w:hAnsi="Liberation Serif"/>
                <w:sz w:val="15"/>
              </w:rPr>
              <w:t>T2-PO-096</w:t>
            </w:r>
            <w:bookmarkEnd w:id="2192"/>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rPr>
          <w:cantSplit/>
        </w:trPr>
        <w:tc>
          <w:tcPr>
            <w:tcW w:type="dxa" w:w="1247"/>
            <w:shd w:fill="FFFFFF"/>
            <w:tcMar>
              <w:top w:w="80" w:type="dxa"/>
              <w:start w:w="90" w:type="dxa"/>
              <w:bottom w:w="80" w:type="dxa"/>
              <w:end w:w="90" w:type="dxa"/>
            </w:tcMar>
            <w:vAlign w:val="center"/>
          </w:tcPr>
          <w:p>
            <w:bookmarkStart w:id="2193" w:name="po_097"/>
            <w:pPr>
              <w:jc w:val="center"/>
            </w:pPr>
            <w:r>
              <w:rPr>
                <w:rFonts w:ascii="Liberation Serif" w:hAnsi="Liberation Serif"/>
                <w:sz w:val="15"/>
              </w:rPr>
              <w:t>T2-PO-097</w:t>
            </w:r>
            <w:bookmarkEnd w:id="2193"/>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rPr>
          <w:cantSplit/>
        </w:trPr>
        <w:tc>
          <w:tcPr>
            <w:tcW w:type="dxa" w:w="1247"/>
            <w:shd w:fill="EEF3F8"/>
            <w:tcMar>
              <w:top w:w="80" w:type="dxa"/>
              <w:start w:w="90" w:type="dxa"/>
              <w:bottom w:w="80" w:type="dxa"/>
              <w:end w:w="90" w:type="dxa"/>
            </w:tcMar>
            <w:vAlign w:val="center"/>
          </w:tcPr>
          <w:p>
            <w:bookmarkStart w:id="2194" w:name="po_098"/>
            <w:pPr>
              <w:jc w:val="center"/>
            </w:pPr>
            <w:r>
              <w:rPr>
                <w:rFonts w:ascii="Liberation Serif" w:hAnsi="Liberation Serif"/>
                <w:sz w:val="15"/>
              </w:rPr>
              <w:t>T2-PO-098</w:t>
            </w:r>
            <w:bookmarkEnd w:id="2194"/>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rPr>
          <w:cantSplit/>
        </w:trPr>
        <w:tc>
          <w:tcPr>
            <w:tcW w:type="dxa" w:w="1247"/>
            <w:shd w:fill="FFFFFF"/>
            <w:tcMar>
              <w:top w:w="80" w:type="dxa"/>
              <w:start w:w="90" w:type="dxa"/>
              <w:bottom w:w="80" w:type="dxa"/>
              <w:end w:w="90" w:type="dxa"/>
            </w:tcMar>
            <w:vAlign w:val="center"/>
          </w:tcPr>
          <w:p>
            <w:bookmarkStart w:id="2195" w:name="po_099"/>
            <w:pPr>
              <w:jc w:val="center"/>
            </w:pPr>
            <w:r>
              <w:rPr>
                <w:rFonts w:ascii="Liberation Serif" w:hAnsi="Liberation Serif"/>
                <w:sz w:val="15"/>
              </w:rPr>
              <w:t>T2-PO-099</w:t>
            </w:r>
            <w:bookmarkEnd w:id="2195"/>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rPr>
          <w:cantSplit/>
        </w:trPr>
        <w:tc>
          <w:tcPr>
            <w:tcW w:type="dxa" w:w="1247"/>
            <w:shd w:fill="EEF3F8"/>
            <w:tcMar>
              <w:top w:w="80" w:type="dxa"/>
              <w:start w:w="90" w:type="dxa"/>
              <w:bottom w:w="80" w:type="dxa"/>
              <w:end w:w="90" w:type="dxa"/>
            </w:tcMar>
            <w:vAlign w:val="center"/>
          </w:tcPr>
          <w:p>
            <w:bookmarkStart w:id="2196" w:name="po_100"/>
            <w:pPr>
              <w:jc w:val="center"/>
            </w:pPr>
            <w:r>
              <w:rPr>
                <w:rFonts w:ascii="Liberation Serif" w:hAnsi="Liberation Serif"/>
                <w:sz w:val="15"/>
              </w:rPr>
              <w:t>T2-PO-100</w:t>
            </w:r>
            <w:bookmarkEnd w:id="2196"/>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rPr>
          <w:cantSplit/>
        </w:trPr>
        <w:tc>
          <w:tcPr>
            <w:tcW w:type="dxa" w:w="1247"/>
            <w:shd w:fill="FFFFFF"/>
            <w:tcMar>
              <w:top w:w="80" w:type="dxa"/>
              <w:start w:w="90" w:type="dxa"/>
              <w:bottom w:w="80" w:type="dxa"/>
              <w:end w:w="90" w:type="dxa"/>
            </w:tcMar>
            <w:vAlign w:val="center"/>
          </w:tcPr>
          <w:p>
            <w:bookmarkStart w:id="2197" w:name="po_101"/>
            <w:pPr>
              <w:jc w:val="center"/>
            </w:pPr>
            <w:r>
              <w:rPr>
                <w:rFonts w:ascii="Liberation Serif" w:hAnsi="Liberation Serif"/>
                <w:sz w:val="15"/>
              </w:rPr>
              <w:t>T2-PO-101</w:t>
            </w:r>
            <w:bookmarkEnd w:id="2197"/>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rPr>
          <w:cantSplit/>
        </w:trPr>
        <w:tc>
          <w:tcPr>
            <w:tcW w:type="dxa" w:w="1247"/>
            <w:shd w:fill="EEF3F8"/>
            <w:tcMar>
              <w:top w:w="80" w:type="dxa"/>
              <w:start w:w="90" w:type="dxa"/>
              <w:bottom w:w="80" w:type="dxa"/>
              <w:end w:w="90" w:type="dxa"/>
            </w:tcMar>
            <w:vAlign w:val="center"/>
          </w:tcPr>
          <w:p>
            <w:bookmarkStart w:id="2198" w:name="po_102"/>
            <w:pPr>
              <w:jc w:val="center"/>
            </w:pPr>
            <w:r>
              <w:rPr>
                <w:rFonts w:ascii="Liberation Serif" w:hAnsi="Liberation Serif"/>
                <w:sz w:val="15"/>
              </w:rPr>
              <w:t>T2-PO-102</w:t>
            </w:r>
            <w:bookmarkEnd w:id="2198"/>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rPr>
          <w:cantSplit/>
        </w:trPr>
        <w:tc>
          <w:tcPr>
            <w:tcW w:type="dxa" w:w="1247"/>
            <w:shd w:fill="FFFFFF"/>
            <w:tcMar>
              <w:top w:w="80" w:type="dxa"/>
              <w:start w:w="90" w:type="dxa"/>
              <w:bottom w:w="80" w:type="dxa"/>
              <w:end w:w="90" w:type="dxa"/>
            </w:tcMar>
            <w:vAlign w:val="center"/>
          </w:tcPr>
          <w:p>
            <w:bookmarkStart w:id="2199" w:name="po_103"/>
            <w:pPr>
              <w:jc w:val="center"/>
            </w:pPr>
            <w:r>
              <w:rPr>
                <w:rFonts w:ascii="Liberation Serif" w:hAnsi="Liberation Serif"/>
                <w:sz w:val="15"/>
              </w:rPr>
              <w:t>T2-PO-103</w:t>
            </w:r>
            <w:bookmarkEnd w:id="2199"/>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rPr>
          <w:cantSplit/>
        </w:trPr>
        <w:tc>
          <w:tcPr>
            <w:tcW w:type="dxa" w:w="1247"/>
            <w:shd w:fill="EEF3F8"/>
            <w:tcMar>
              <w:top w:w="80" w:type="dxa"/>
              <w:start w:w="90" w:type="dxa"/>
              <w:bottom w:w="80" w:type="dxa"/>
              <w:end w:w="90" w:type="dxa"/>
            </w:tcMar>
            <w:vAlign w:val="center"/>
          </w:tcPr>
          <w:p>
            <w:bookmarkStart w:id="2200" w:name="po_104"/>
            <w:pPr>
              <w:jc w:val="center"/>
            </w:pPr>
            <w:r>
              <w:rPr>
                <w:rFonts w:ascii="Liberation Serif" w:hAnsi="Liberation Serif"/>
                <w:sz w:val="15"/>
              </w:rPr>
              <w:t>T2-PO-104</w:t>
            </w:r>
            <w:bookmarkEnd w:id="2200"/>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rPr>
          <w:cantSplit/>
        </w:trPr>
        <w:tc>
          <w:tcPr>
            <w:tcW w:type="dxa" w:w="1247"/>
            <w:shd w:fill="FFFFFF"/>
            <w:tcMar>
              <w:top w:w="80" w:type="dxa"/>
              <w:start w:w="90" w:type="dxa"/>
              <w:bottom w:w="80" w:type="dxa"/>
              <w:end w:w="90" w:type="dxa"/>
            </w:tcMar>
            <w:vAlign w:val="center"/>
          </w:tcPr>
          <w:p>
            <w:bookmarkStart w:id="2201" w:name="po_105"/>
            <w:pPr>
              <w:jc w:val="center"/>
            </w:pPr>
            <w:r>
              <w:rPr>
                <w:rFonts w:ascii="Liberation Serif" w:hAnsi="Liberation Serif"/>
                <w:sz w:val="15"/>
              </w:rPr>
              <w:t>T2-PO-105</w:t>
            </w:r>
            <w:bookmarkEnd w:id="2201"/>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bookmarkStart w:id="1025" w:name="h_1470"/>
      <w:pPr>
        <w:pStyle w:val="Heading1"/>
        <w:keepNext/>
      </w:pPr>
      <w:r>
        <w:t>98. Prior art и граница авторской новизны</w:t>
      </w:r>
      <w:bookmarkEnd w:id="1025"/>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bookmarkStart w:id="1026" w:name="h_1478"/>
      <w:pPr>
        <w:pStyle w:val="Heading1"/>
        <w:keepNext/>
      </w:pPr>
      <w:r>
        <w:t>99. Итог главы и контрольная точка T2-RP-v0.9</w:t>
      </w:r>
      <w:bookmarkEnd w:id="1026"/>
    </w:p>
    <w:tbl>
      <w:tblPr>
        <w:tblStyle w:val="TableGrid"/>
        <w:tblW w:type="auto" w:w="0"/>
        <w:jc w:val="center"/>
        <w:tblLayout w:type="fixed"/>
        <w:tblLook w:firstColumn="1" w:firstRow="1" w:lastColumn="0" w:lastRow="0" w:noHBand="0" w:noVBand="1" w:val="04A0"/>
      </w:tblPr>
      <w:tblGrid>
        <w:gridCol w:w="4876"/>
        <w:gridCol w:w="4876"/>
      </w:tblGrid>
      <w:tr>
        <w:trPr>
          <w:tblHeader w:val="true"/>
          <w:cantSplit/>
        </w:trP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rPr>
          <w:cantSplit/>
        </w:trP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rPr>
          <w:cantSplit/>
        </w:trP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rPr>
          <w:cantSplit/>
        </w:trP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rPr>
          <w:cantSplit/>
        </w:trP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bookmarkStart w:id="1748" w:name="f_12_27"/>
      <w:pPr>
        <w:keepLines/>
        <w:spacing w:before="80" w:after="80"/>
        <w:jc w:val="center"/>
      </w:pPr>
      <w:r>
        <w:rPr>
          <w:rFonts w:ascii="Liberation Serif" w:hAnsi="Liberation Serif"/>
          <w:i/>
          <w:sz w:val="23"/>
        </w:rPr>
        <w:t>truth_layer_promotion=0;     checkpoint=T2-RP-v0.9;     next=T2-RP-v0.10.</w:t>
      </w:r>
      <w:r>
        <w:rPr>
          <w:sz w:val="21"/>
        </w:rPr>
        <w:t xml:space="preserve">     (12.27)</w:t>
      </w:r>
      <w:bookmarkEnd w:id="1748"/>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bookmarkStart w:id="1027" w:name="h_1483"/>
      <w:pPr>
        <w:pStyle w:val="Heading1"/>
        <w:keepNext/>
      </w:pPr>
      <w:r>
        <w:t>100. Глава 13. Внешний E-комплекс и условный мост Π_E</w:t>
      </w:r>
      <w:bookmarkEnd w:id="1027"/>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rPr>
          <w:cantSplit/>
        </w:trP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rPr>
          <w:cantSplit/>
        </w:trP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rPr>
          <w:cantSplit/>
        </w:trP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rPr>
          <w:tblHeader w:val="true"/>
          <w:cantSplit/>
        </w:trP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rPr>
          <w:cantSplit/>
        </w:trP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rPr>
          <w:cantSplit/>
        </w:trP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rPr>
          <w:cantSplit/>
        </w:trP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rPr>
          <w:cantSplit/>
        </w:trP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bookmarkStart w:id="1028" w:name="h_1486"/>
      <w:pPr>
        <w:pStyle w:val="Heading1"/>
        <w:keepNext/>
      </w:pPr>
      <w:r>
        <w:t>101. Definition Core внешней реализации</w:t>
      </w:r>
      <w:bookmarkEnd w:id="1028"/>
    </w:p>
    <w:p>
      <w:pPr>
        <w:pStyle w:val="Heading2"/>
        <w:keepNext/>
      </w:pPr>
      <w:r>
        <w:t>101.1. Внешний комплекс</w:t>
      </w:r>
    </w:p>
    <w:p>
      <w:bookmarkStart w:id="1569" w:name="s_DEF_13_1"/>
      <w:pPr/>
      <w:r>
        <w:t>Определение 13.1 (внешняя реализация). [DEF-A] Для объекта N∈NAPG_q внешней реализацией называется набор</w:t>
      </w:r>
      <w:bookmarkEnd w:id="1569"/>
    </w:p>
    <w:p>
      <w:bookmarkStart w:id="1749" w:name="f_13_1"/>
      <w:pPr>
        <w:keepLines/>
        <w:spacing w:before="80" w:after="80"/>
        <w:jc w:val="center"/>
      </w:pPr>
      <w:r>
        <w:rPr>
          <w:rFonts w:ascii="Liberation Serif" w:hAnsi="Liberation Serif"/>
          <w:i/>
          <w:sz w:val="23"/>
        </w:rPr>
        <w:t>E(N)=(E^•(N), d_E, Dom_E, G_E),</w:t>
      </w:r>
      <w:r>
        <w:rPr>
          <w:sz w:val="21"/>
        </w:rPr>
        <w:t xml:space="preserve">     (13.1)</w:t>
      </w:r>
      <w:bookmarkEnd w:id="1749"/>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bookmarkStart w:id="1750" w:name="f_13_2"/>
      <w:pPr>
        <w:keepLines/>
        <w:spacing w:before="80" w:after="80"/>
        <w:jc w:val="center"/>
      </w:pPr>
      <w:r>
        <w:rPr>
          <w:rFonts w:ascii="Liberation Serif" w:hAnsi="Liberation Serif"/>
          <w:i/>
          <w:sz w:val="23"/>
        </w:rPr>
        <w:t>d_E^{n+1} ∘ d_E^n = 0  для всех n.</w:t>
      </w:r>
      <w:r>
        <w:rPr>
          <w:sz w:val="21"/>
        </w:rPr>
        <w:t xml:space="preserve">     (13.2)</w:t>
      </w:r>
      <w:bookmarkEnd w:id="1750"/>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bookmarkStart w:id="1570" w:name="s_DEF_13_2"/>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bookmarkEnd w:id="1570"/>
    </w:p>
    <w:p>
      <w:bookmarkStart w:id="1751" w:name="f_13_3"/>
      <w:pPr>
        <w:keepLines/>
        <w:spacing w:before="80" w:after="80"/>
        <w:jc w:val="center"/>
      </w:pPr>
      <w:r>
        <w:rPr>
          <w:rFonts w:ascii="Liberation Serif" w:hAnsi="Liberation Serif"/>
          <w:i/>
          <w:sz w:val="23"/>
        </w:rPr>
        <w:t>J²_N:F²_N-&gt;E²(N),     J³_N:X²_N-&gt;E³(N),</w:t>
      </w:r>
      <w:r>
        <w:rPr>
          <w:sz w:val="21"/>
        </w:rPr>
        <w:t xml:space="preserve">     (13.3)</w:t>
      </w:r>
      <w:bookmarkEnd w:id="1751"/>
    </w:p>
    <w:p>
      <w:bookmarkStart w:id="1752" w:name="f_13_4"/>
      <w:pPr>
        <w:keepLines/>
        <w:spacing w:before="80" w:after="80"/>
        <w:jc w:val="center"/>
      </w:pPr>
      <w:r>
        <w:rPr>
          <w:rFonts w:ascii="Liberation Serif" w:hAnsi="Liberation Serif"/>
          <w:i/>
          <w:sz w:val="23"/>
        </w:rPr>
        <w:t>d_E² J²_N = J³_N Ψ²_N,     d_E³ J³_N = 0.</w:t>
      </w:r>
      <w:r>
        <w:rPr>
          <w:sz w:val="21"/>
        </w:rPr>
        <w:t xml:space="preserve">     (13.4)</w:t>
      </w:r>
      <w:bookmarkEnd w:id="1752"/>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rPr>
          <w:cantSplit/>
        </w:trP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rPr>
          <w:cantSplit/>
        </w:trP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rPr>
          <w:cantSplit/>
        </w:trP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rPr>
          <w:cantSplit/>
        </w:trP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rPr>
          <w:cantSplit/>
        </w:trP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rPr>
          <w:cantSplit/>
        </w:trP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rPr>
          <w:cantSplit/>
        </w:trP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rPr>
          <w:cantSplit/>
        </w:trP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descr="Рисунок 26. Цепной мост J и индуцированное отображение Π_E. Собственная схема Тома II." title="Рисунок 26. Цепной мост J и индуцированное отображение Π_E. Собственная схема Тома II."/>
            <wp:cNvGraphicFramePr>
              <a:graphicFrameLocks noChangeAspect="1"/>
            </wp:cNvGraphicFramePr>
            <a:graphic>
              <a:graphicData uri="http://schemas.openxmlformats.org/drawingml/2006/picture">
                <pic:pic>
                  <pic:nvPicPr>
                    <pic:cNvPr id="0" name="fig26_e_bridge.png" descr="Рисунок 26. Цепной мост J и индуцированное отображение Π_E. Собственная схема Тома II." title="Рисунок 26. Цепной мост J и индуцированное отображение Π_E. Собственная схема Тома II."/>
                    <pic:cNvPicPr/>
                  </pic:nvPicPr>
                  <pic:blipFill>
                    <a:blip r:embed="rId57"/>
                    <a:stretch>
                      <a:fillRect/>
                    </a:stretch>
                  </pic:blipFill>
                  <pic:spPr>
                    <a:xfrm>
                      <a:off x="0" y="0"/>
                      <a:ext cx="5760000" cy="2635554"/>
                    </a:xfrm>
                    <a:prstGeom prst="rect"/>
                  </pic:spPr>
                </pic:pic>
              </a:graphicData>
            </a:graphic>
          </wp:inline>
        </w:drawing>
      </w:r>
    </w:p>
    <w:p>
      <w:pPr>
        <w:pStyle w:val="Caption"/>
        <w:keepNext/>
        <w:jc w:val="center"/>
      </w:pPr>
      <w:r>
        <w:t>Рисунок 26. Цепной мост J и индуцированное отображение Π_E. Собственная схема Тома II.</w:t>
      </w:r>
    </w:p>
    <w:p>
      <w:bookmarkStart w:id="1029" w:name="h_1501"/>
      <w:pPr>
        <w:pStyle w:val="Heading1"/>
        <w:keepNext/>
      </w:pPr>
      <w:r>
        <w:t>102. Существование и корректность индуцированной карты</w:t>
      </w:r>
      <w:bookmarkEnd w:id="1029"/>
    </w:p>
    <w:p>
      <w:pPr>
        <w:pStyle w:val="Heading2"/>
        <w:keepNext/>
      </w:pPr>
      <w:r>
        <w:t>102.1. Критерий спуска на фактор</w:t>
      </w:r>
    </w:p>
    <w:p>
      <w:bookmarkStart w:id="1571" w:name="s_THM_13_1"/>
      <w:pPr/>
      <w:r>
        <w:t>Теорема 13.1 (well-definedness criterion). [THM] Пусть d_E³J³=0. Формула</w:t>
      </w:r>
      <w:bookmarkEnd w:id="1571"/>
    </w:p>
    <w:p>
      <w:bookmarkStart w:id="1753" w:name="f_13_5"/>
      <w:pPr>
        <w:keepLines/>
        <w:spacing w:before="80" w:after="80"/>
        <w:jc w:val="center"/>
      </w:pPr>
      <w:r>
        <w:rPr>
          <w:rFonts w:ascii="Liberation Serif" w:hAnsi="Liberation Serif"/>
          <w:i/>
          <w:sz w:val="23"/>
        </w:rPr>
        <w:t>[x] ↦ [J³_N x]</w:t>
      </w:r>
      <w:r>
        <w:rPr>
          <w:sz w:val="21"/>
        </w:rPr>
        <w:t xml:space="preserve">     (13.5)</w:t>
      </w:r>
      <w:bookmarkEnd w:id="1753"/>
    </w:p>
    <w:p>
      <w:pPr/>
      <w:r>
        <w:t>задаёт линейное отображение coker Ψ²_N-&gt;H³(E^•(N)) тогда и только тогда, когда</w:t>
      </w:r>
    </w:p>
    <w:p>
      <w:bookmarkStart w:id="1754" w:name="f_13_6"/>
      <w:pPr>
        <w:keepLines/>
        <w:spacing w:before="80" w:after="80"/>
        <w:jc w:val="center"/>
      </w:pPr>
      <w:r>
        <w:rPr>
          <w:rFonts w:ascii="Liberation Serif" w:hAnsi="Liberation Serif"/>
          <w:i/>
          <w:sz w:val="23"/>
        </w:rPr>
        <w:t>J³_N(Im Ψ²_N) ⊆ Im d_E².</w:t>
      </w:r>
      <w:r>
        <w:rPr>
          <w:sz w:val="21"/>
        </w:rPr>
        <w:t xml:space="preserve">     (13.6)</w:t>
      </w:r>
      <w:bookmarkEnd w:id="1754"/>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bookmarkStart w:id="1572" w:name="s_COR_13_1"/>
      <w:pPr/>
      <w:r>
        <w:t>Следствие 13.1.1. [THM] Цепное равенство d_E²J²=J³Ψ² автоматически влечёт (13.6).</w:t>
      </w:r>
      <w:bookmarkEnd w:id="1572"/>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bookmarkStart w:id="1573" w:name="s_DEF_13_3"/>
      <w:pPr/>
      <w:r>
        <w:t>Определение 13.3 (внешняя карта препятствий). [COND/THM при B1-B5]</w:t>
      </w:r>
      <w:bookmarkEnd w:id="1573"/>
    </w:p>
    <w:p>
      <w:bookmarkStart w:id="1755" w:name="f_13_7"/>
      <w:pPr>
        <w:keepLines/>
        <w:spacing w:before="80" w:after="80"/>
        <w:jc w:val="center"/>
      </w:pPr>
      <w:r>
        <w:rPr>
          <w:rFonts w:ascii="Liberation Serif" w:hAnsi="Liberation Serif"/>
          <w:i/>
          <w:sz w:val="23"/>
        </w:rPr>
        <w:t>Π_E,N := H³(J_N) ∘ κ_N : O_B(N) -&gt; H³(E^•(N)),</w:t>
      </w:r>
      <w:r>
        <w:rPr>
          <w:sz w:val="21"/>
        </w:rPr>
        <w:t xml:space="preserve">     (13.7)</w:t>
      </w:r>
      <w:bookmarkEnd w:id="1755"/>
    </w:p>
    <w:p>
      <w:bookmarkStart w:id="1756" w:name="f_13_8"/>
      <w:pPr>
        <w:keepLines/>
        <w:spacing w:before="80" w:after="80"/>
        <w:jc w:val="center"/>
      </w:pPr>
      <w:r>
        <w:rPr>
          <w:rFonts w:ascii="Liberation Serif" w:hAnsi="Liberation Serif"/>
          <w:i/>
          <w:sz w:val="23"/>
        </w:rPr>
        <w:t>Π_E,N([x]) = [J³_N x].</w:t>
      </w:r>
      <w:r>
        <w:rPr>
          <w:sz w:val="21"/>
        </w:rPr>
        <w:t xml:space="preserve">     (13.8)</w:t>
      </w:r>
      <w:bookmarkEnd w:id="1756"/>
    </w:p>
    <w:p>
      <w:bookmarkStart w:id="1574" w:name="s_THM_13_2"/>
      <w:pPr/>
      <w:r>
        <w:t>Теорема 13.2 (естественность Π_E). [THM при B3-B5] Для морфизма f:N-&gt;N′ коммутирует квадрат</w:t>
      </w:r>
      <w:bookmarkEnd w:id="1574"/>
    </w:p>
    <w:p>
      <w:bookmarkStart w:id="1757" w:name="f_13_9"/>
      <w:pPr>
        <w:keepLines/>
        <w:spacing w:before="80" w:after="80"/>
        <w:jc w:val="center"/>
      </w:pPr>
      <w:r>
        <w:rPr>
          <w:rFonts w:ascii="Liberation Serif" w:hAnsi="Liberation Serif"/>
          <w:i/>
          <w:sz w:val="23"/>
        </w:rPr>
        <w:t>H³(E(f)) Π_E,N = Π_E,N′ O_B(f).</w:t>
      </w:r>
      <w:r>
        <w:rPr>
          <w:sz w:val="21"/>
        </w:rPr>
        <w:t xml:space="preserve">     (13.9)</w:t>
      </w:r>
      <w:bookmarkEnd w:id="1757"/>
    </w:p>
    <w:p>
      <w:pPr/>
      <w:r>
        <w:t>Это равенство является точным критерием независимости внешней детекции от допустимого изоморфного представления.</w:t>
      </w:r>
    </w:p>
    <w:p>
      <w:bookmarkStart w:id="1030" w:name="h_1517"/>
      <w:pPr>
        <w:pStyle w:val="Heading1"/>
        <w:keepNext/>
      </w:pPr>
      <w:r>
        <w:t>103. Односторонняя, обратная и полная детекция</w:t>
      </w:r>
      <w:bookmarkEnd w:id="1030"/>
    </w:p>
    <w:p>
      <w:bookmarkStart w:id="1575" w:name="s_THM_13_3"/>
      <w:pPr/>
      <w:r>
        <w:t>Теорема 13.3 (односторонняя детекция). [THM] Для любого корректного Π_E</w:t>
      </w:r>
      <w:bookmarkEnd w:id="1575"/>
    </w:p>
    <w:p>
      <w:bookmarkStart w:id="1758" w:name="f_13_10"/>
      <w:pPr>
        <w:keepLines/>
        <w:spacing w:before="80" w:after="80"/>
        <w:jc w:val="center"/>
      </w:pPr>
      <w:r>
        <w:rPr>
          <w:rFonts w:ascii="Liberation Serif" w:hAnsi="Liberation Serif"/>
          <w:i/>
          <w:sz w:val="23"/>
        </w:rPr>
        <w:t>Π_E(o) ≠ 0  =&gt;  o ≠ 0.</w:t>
      </w:r>
      <w:r>
        <w:rPr>
          <w:sz w:val="21"/>
        </w:rPr>
        <w:t xml:space="preserve">     (13.10)</w:t>
      </w:r>
      <w:bookmarkEnd w:id="1758"/>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bookmarkStart w:id="1576" w:name="s_THM_13_4"/>
      <w:pPr/>
      <w:r>
        <w:t>Теорема 13.4 (критерий обратной детекции). [THM] Следующие условия эквивалентны:</w:t>
      </w:r>
      <w:bookmarkEnd w:id="1576"/>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bookmarkStart w:id="1577" w:name="s_DEF_13_4"/>
      <w:pPr/>
      <w:r>
        <w:t>Определение 13.4 (качество моста). [DEF-A] Мост называется:</w:t>
      </w:r>
      <w:bookmarkEnd w:id="1577"/>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rPr>
          <w:cantSplit/>
        </w:trP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rPr>
          <w:cantSplit/>
        </w:trP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rPr>
          <w:cantSplit/>
        </w:trP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rPr>
          <w:cantSplit/>
        </w:trP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rPr>
          <w:cantSplit/>
        </w:trP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bookmarkStart w:id="1031" w:name="h_1529"/>
      <w:pPr>
        <w:pStyle w:val="Heading1"/>
        <w:keepNext/>
      </w:pPr>
      <w:r>
        <w:t>104. Mapping cone и измерение потери информации</w:t>
      </w:r>
      <w:bookmarkEnd w:id="1031"/>
    </w:p>
    <w:p>
      <w:pPr>
        <w:pStyle w:val="Heading2"/>
        <w:keepNext/>
      </w:pPr>
      <w:r>
        <w:t>104.1. Конус цепного моста</w:t>
      </w:r>
    </w:p>
    <w:p>
      <w:bookmarkStart w:id="1578" w:name="s_DEF_13_5"/>
      <w:pPr/>
      <w:r>
        <w:t>Определение 13.5 (mapping cone). [CL] Для цепной карты J:C_min^•-&gt;E^• положим</w:t>
      </w:r>
      <w:bookmarkEnd w:id="1578"/>
    </w:p>
    <w:p>
      <w:bookmarkStart w:id="1759" w:name="f_13_11"/>
      <w:pPr>
        <w:keepLines/>
        <w:spacing w:before="80" w:after="80"/>
        <w:jc w:val="center"/>
      </w:pPr>
      <w:r>
        <w:rPr>
          <w:rFonts w:ascii="Liberation Serif" w:hAnsi="Liberation Serif"/>
          <w:i/>
          <w:sz w:val="23"/>
        </w:rPr>
        <w:t>Cone(J)^n = E^n ⊕ C_min^{n+1},</w:t>
      </w:r>
      <w:r>
        <w:rPr>
          <w:sz w:val="21"/>
        </w:rPr>
        <w:t xml:space="preserve">     (13.11)</w:t>
      </w:r>
      <w:bookmarkEnd w:id="1759"/>
    </w:p>
    <w:p>
      <w:bookmarkStart w:id="1760" w:name="f_13_12"/>
      <w:pPr>
        <w:keepLines/>
        <w:spacing w:before="80" w:after="80"/>
        <w:jc w:val="center"/>
      </w:pPr>
      <w:r>
        <w:rPr>
          <w:rFonts w:ascii="Liberation Serif" w:hAnsi="Liberation Serif"/>
          <w:i/>
          <w:sz w:val="23"/>
        </w:rPr>
        <w:t>D_J(e,c) = (d_E e + Jc, -δ_min c).</w:t>
      </w:r>
      <w:r>
        <w:rPr>
          <w:sz w:val="21"/>
        </w:rPr>
        <w:t xml:space="preserve">     (13.12)</w:t>
      </w:r>
      <w:bookmarkEnd w:id="1760"/>
    </w:p>
    <w:p>
      <w:pPr/>
      <w:r>
        <w:t>Стандартное вычисление даёт D_J²=0 именно благодаря тому, что J является цепной картой.</w:t>
      </w:r>
    </w:p>
    <w:p>
      <w:bookmarkStart w:id="1579" w:name="s_THM_13_5"/>
      <w:pPr/>
      <w:r>
        <w:t>Теорема 13.5 (точная последовательность детекции). [THM] Конус порождает длинную точную последовательность, фрагмент которой имеет вид</w:t>
      </w:r>
      <w:bookmarkEnd w:id="1579"/>
    </w:p>
    <w:p>
      <w:bookmarkStart w:id="1761" w:name="f_13_13"/>
      <w:pPr>
        <w:keepLines/>
        <w:spacing w:before="80" w:after="80"/>
        <w:jc w:val="center"/>
      </w:pPr>
      <w:r>
        <w:rPr>
          <w:rFonts w:ascii="Liberation Serif" w:hAnsi="Liberation Serif"/>
          <w:i/>
          <w:sz w:val="23"/>
        </w:rPr>
        <w:t>H²(C_min)-&gt;H²(E)-&gt;H²(Cone J)-&gt;O_B --Π_E--&gt; H³(E)-&gt;H³(Cone J)-&gt;0.</w:t>
      </w:r>
      <w:r>
        <w:rPr>
          <w:sz w:val="21"/>
        </w:rPr>
        <w:t xml:space="preserve">     (13.13)</w:t>
      </w:r>
      <w:bookmarkEnd w:id="1761"/>
    </w:p>
    <w:p>
      <w:pPr/>
      <w:r>
        <w:t>Последний ноль возникает из H⁴(C_min)=0.</w:t>
      </w:r>
    </w:p>
    <w:p>
      <w:pPr>
        <w:pStyle w:val="Heading2"/>
        <w:keepNext/>
      </w:pPr>
      <w:r>
        <w:t>104.2. Blind и Excess defects</w:t>
      </w:r>
    </w:p>
    <w:p>
      <w:bookmarkStart w:id="1762" w:name="f_13_14"/>
      <w:pPr>
        <w:keepLines/>
        <w:spacing w:before="80" w:after="80"/>
        <w:jc w:val="center"/>
      </w:pPr>
      <w:r>
        <w:rPr>
          <w:rFonts w:ascii="Liberation Serif" w:hAnsi="Liberation Serif"/>
          <w:i/>
          <w:sz w:val="23"/>
        </w:rPr>
        <w:t>Blind_E(N) := Ker Π_E,N,</w:t>
      </w:r>
      <w:r>
        <w:rPr>
          <w:sz w:val="21"/>
        </w:rPr>
        <w:t xml:space="preserve">     (13.14)</w:t>
      </w:r>
      <w:bookmarkEnd w:id="1762"/>
    </w:p>
    <w:p>
      <w:bookmarkStart w:id="1763" w:name="f_13_15"/>
      <w:pPr>
        <w:keepLines/>
        <w:spacing w:before="80" w:after="80"/>
        <w:jc w:val="center"/>
      </w:pPr>
      <w:r>
        <w:rPr>
          <w:rFonts w:ascii="Liberation Serif" w:hAnsi="Liberation Serif"/>
          <w:i/>
          <w:sz w:val="23"/>
        </w:rPr>
        <w:t>Excess_E(N) := Coker Π_E,N.</w:t>
      </w:r>
      <w:r>
        <w:rPr>
          <w:sz w:val="21"/>
        </w:rPr>
        <w:t xml:space="preserve">     (13.15)</w:t>
      </w:r>
      <w:bookmarkEnd w:id="1763"/>
    </w:p>
    <w:p>
      <w:pPr/>
      <w:r>
        <w:t>Из точности (13.13) следуют</w:t>
      </w:r>
    </w:p>
    <w:p>
      <w:bookmarkStart w:id="1764" w:name="f_13_16"/>
      <w:pPr>
        <w:keepLines/>
        <w:spacing w:before="80" w:after="80"/>
        <w:jc w:val="center"/>
      </w:pPr>
      <w:r>
        <w:rPr>
          <w:rFonts w:ascii="Liberation Serif" w:hAnsi="Liberation Serif"/>
          <w:i/>
          <w:sz w:val="23"/>
        </w:rPr>
        <w:t>Blind_E = Im(H²(Cone J)-&gt;O_B),</w:t>
      </w:r>
      <w:r>
        <w:rPr>
          <w:sz w:val="21"/>
        </w:rPr>
        <w:t xml:space="preserve">     (13.16)</w:t>
      </w:r>
      <w:bookmarkEnd w:id="1764"/>
    </w:p>
    <w:p>
      <w:bookmarkStart w:id="1765" w:name="f_13_17"/>
      <w:pPr>
        <w:keepLines/>
        <w:spacing w:before="80" w:after="80"/>
        <w:jc w:val="center"/>
      </w:pPr>
      <w:r>
        <w:rPr>
          <w:rFonts w:ascii="Liberation Serif" w:hAnsi="Liberation Serif"/>
          <w:i/>
          <w:sz w:val="23"/>
        </w:rPr>
        <w:t>Excess_E ≅ H³(Cone J).</w:t>
      </w:r>
      <w:r>
        <w:rPr>
          <w:sz w:val="21"/>
        </w:rPr>
        <w:t xml:space="preserve">     (13.17)</w:t>
      </w:r>
      <w:bookmarkEnd w:id="1765"/>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descr="Рисунок 27. Mapping cone и два дефекта внешней детекции. Собственная схема Тома II." title="Рисунок 27. Mapping cone и два дефекта внешней детекции. Собственная схема Тома II."/>
            <wp:cNvGraphicFramePr>
              <a:graphicFrameLocks noChangeAspect="1"/>
            </wp:cNvGraphicFramePr>
            <a:graphic>
              <a:graphicData uri="http://schemas.openxmlformats.org/drawingml/2006/picture">
                <pic:pic>
                  <pic:nvPicPr>
                    <pic:cNvPr id="0" name="fig27_cone_defects.png" descr="Рисунок 27. Mapping cone и два дефекта внешней детекции. Собственная схема Тома II." title="Рисунок 27. Mapping cone и два дефекта внешней детекции. Собственная схема Тома II."/>
                    <pic:cNvPicPr/>
                  </pic:nvPicPr>
                  <pic:blipFill>
                    <a:blip r:embed="rId58"/>
                    <a:stretch>
                      <a:fillRect/>
                    </a:stretch>
                  </pic:blipFill>
                  <pic:spPr>
                    <a:xfrm>
                      <a:off x="0" y="0"/>
                      <a:ext cx="5760000" cy="2635554"/>
                    </a:xfrm>
                    <a:prstGeom prst="rect"/>
                  </pic:spPr>
                </pic:pic>
              </a:graphicData>
            </a:graphic>
          </wp:inline>
        </w:drawing>
      </w:r>
    </w:p>
    <w:p>
      <w:pPr>
        <w:pStyle w:val="Caption"/>
        <w:keepNext/>
        <w:jc w:val="center"/>
      </w:pPr>
      <w:r>
        <w:t>Рисунок 27. Mapping cone и два дефекта внешней детекции. Собственная схема Тома II.</w:t>
      </w:r>
    </w:p>
    <w:p>
      <w:bookmarkStart w:id="1032" w:name="h_1547"/>
      <w:pPr>
        <w:pStyle w:val="Heading1"/>
        <w:keepNext/>
      </w:pPr>
      <w:r>
        <w:t>105. Зависимость от выбора внешней реализации</w:t>
      </w:r>
      <w:bookmarkEnd w:id="1032"/>
    </w:p>
    <w:p>
      <w:pPr>
        <w:pStyle w:val="Heading2"/>
        <w:keepNext/>
      </w:pPr>
      <w:r>
        <w:t>105.1. Гомотопическая инвариантность</w:t>
      </w:r>
    </w:p>
    <w:p>
      <w:bookmarkStart w:id="1580" w:name="s_THM_13_6"/>
      <w:pPr/>
      <w:r>
        <w:t>Теорема 13.6 (chain-homotopy invariance). [CL/THM] Если цепные карты J,K:C_min^•-&gt;E^• гомотопны, то</w:t>
      </w:r>
      <w:bookmarkEnd w:id="1580"/>
    </w:p>
    <w:p>
      <w:bookmarkStart w:id="1766" w:name="f_13_18"/>
      <w:pPr>
        <w:keepLines/>
        <w:spacing w:before="80" w:after="80"/>
        <w:jc w:val="center"/>
      </w:pPr>
      <w:r>
        <w:rPr>
          <w:rFonts w:ascii="Liberation Serif" w:hAnsi="Liberation Serif"/>
          <w:i/>
          <w:sz w:val="23"/>
        </w:rPr>
        <w:t>H^n(J)=H^n(K)  для всех n;  следовательно Π_E^J=Π_E^K.</w:t>
      </w:r>
      <w:r>
        <w:rPr>
          <w:sz w:val="21"/>
        </w:rPr>
        <w:t xml:space="preserve">     (13.18)</w:t>
      </w:r>
      <w:bookmarkEnd w:id="1766"/>
    </w:p>
    <w:p>
      <w:pPr/>
      <w:r>
        <w:t>В двухчленном секторе достаточно предъявить операторы h²:F²_N-&gt;E¹ и h³:X²_N-&gt;E², для которых</w:t>
      </w:r>
    </w:p>
    <w:p>
      <w:bookmarkStart w:id="1767" w:name="f_13_19"/>
      <w:pPr>
        <w:keepLines/>
        <w:spacing w:before="80" w:after="80"/>
        <w:jc w:val="center"/>
      </w:pPr>
      <w:r>
        <w:rPr>
          <w:rFonts w:ascii="Liberation Serif" w:hAnsi="Liberation Serif"/>
          <w:i/>
          <w:sz w:val="23"/>
        </w:rPr>
        <w:t>J²-K² = d_E¹ h² + h³ Ψ²,     J³-K³ = d_E² h³.</w:t>
      </w:r>
      <w:r>
        <w:rPr>
          <w:sz w:val="21"/>
        </w:rPr>
        <w:t xml:space="preserve">     (13.19)</w:t>
      </w:r>
      <w:bookmarkEnd w:id="1767"/>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bookmarkStart w:id="1768" w:name="f_13_20"/>
      <w:pPr>
        <w:keepLines/>
        <w:spacing w:before="80" w:after="80"/>
        <w:jc w:val="center"/>
      </w:pPr>
      <w:r>
        <w:rPr>
          <w:rFonts w:ascii="Liberation Serif" w:hAnsi="Liberation Serif"/>
          <w:i/>
          <w:sz w:val="23"/>
        </w:rPr>
        <w:t>Π_F = H³(Q) Π_E.</w:t>
      </w:r>
      <w:r>
        <w:rPr>
          <w:sz w:val="21"/>
        </w:rPr>
        <w:t xml:space="preserve">     (13.20)</w:t>
      </w:r>
      <w:bookmarkEnd w:id="1768"/>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bookmarkStart w:id="1033" w:name="h_1558"/>
      <w:pPr>
        <w:pStyle w:val="Heading1"/>
        <w:keepNext/>
      </w:pPr>
      <w:r>
        <w:t>106. Функториальная внешняя теория</w:t>
      </w:r>
      <w:bookmarkEnd w:id="1033"/>
    </w:p>
    <w:p>
      <w:bookmarkStart w:id="1581" w:name="s_DEF_13_6"/>
      <w:pPr/>
      <w:r>
        <w:t>Определение 13.6 (категория внешних реализаций). [DEF-A] Объектом ExtReal(N) является пара (E,J), удовлетворяющая B1-B2. Морфизмом (E,J)-&gt;(F,K) является цепная карта Q:E-&gt;F с QJ=K.</w:t>
      </w:r>
      <w:bookmarkEnd w:id="1581"/>
    </w:p>
    <w:p>
      <w:bookmarkStart w:id="1582" w:name="s_THM_13_7"/>
      <w:pPr/>
      <w:r>
        <w:t>Теорема 13.7. [THM] Назначение</w:t>
      </w:r>
      <w:bookmarkEnd w:id="1582"/>
    </w:p>
    <w:p>
      <w:bookmarkStart w:id="1769" w:name="f_13_21"/>
      <w:pPr>
        <w:keepLines/>
        <w:spacing w:before="80" w:after="80"/>
        <w:jc w:val="center"/>
      </w:pPr>
      <w:r>
        <w:rPr>
          <w:rFonts w:ascii="Liberation Serif" w:hAnsi="Liberation Serif"/>
          <w:i/>
          <w:sz w:val="23"/>
        </w:rPr>
        <w:t>(E,J) ↦ Π_E:O_B(N)-&gt;H³(E)</w:t>
      </w:r>
      <w:r>
        <w:rPr>
          <w:sz w:val="21"/>
        </w:rPr>
        <w:t xml:space="preserve">     (13.21)</w:t>
      </w:r>
      <w:bookmarkEnd w:id="1769"/>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bookmarkStart w:id="1583" w:name="s_DEF_13_7"/>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bookmarkEnd w:id="1583"/>
    </w:p>
    <w:p>
      <w:pPr/>
      <w:r>
        <w:t>Без такого контракта выражение «внешний класс препятствия» зависит от выбора E и не обладает абсолютным смыслом.</w:t>
      </w:r>
    </w:p>
    <w:p>
      <w:bookmarkStart w:id="1034" w:name="h_1565"/>
      <w:pPr>
        <w:pStyle w:val="Heading1"/>
        <w:keepNext/>
      </w:pPr>
      <w:r>
        <w:t>107. Конечномерная численная реализация</w:t>
      </w:r>
      <w:bookmarkEnd w:id="1034"/>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bookmarkStart w:id="1770" w:name="f_13_22"/>
      <w:pPr>
        <w:keepLines/>
        <w:spacing w:before="80" w:after="80"/>
        <w:jc w:val="center"/>
      </w:pPr>
      <w:r>
        <w:rPr>
          <w:rFonts w:ascii="Liberation Serif" w:hAnsi="Liberation Serif"/>
          <w:i/>
          <w:sz w:val="23"/>
        </w:rPr>
        <w:t>X²_N = Im Ψ²_N ⊕ O_N,     Ker d_E³ = Im d_E² ⊕ H_E³.</w:t>
      </w:r>
      <w:r>
        <w:rPr>
          <w:sz w:val="21"/>
        </w:rPr>
        <w:t xml:space="preserve">     (13.22)</w:t>
      </w:r>
      <w:bookmarkEnd w:id="1770"/>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bookmarkStart w:id="1771" w:name="f_13_23"/>
      <w:pPr>
        <w:keepLines/>
        <w:spacing w:before="80" w:after="80"/>
        <w:jc w:val="center"/>
      </w:pPr>
      <w:r>
        <w:rPr>
          <w:rFonts w:ascii="Liberation Serif" w:hAnsi="Liberation Serif"/>
          <w:i/>
          <w:sz w:val="23"/>
        </w:rPr>
        <w:t>P_E := P_{H_E³} J³_N |_{O_N}.</w:t>
      </w:r>
      <w:r>
        <w:rPr>
          <w:sz w:val="21"/>
        </w:rPr>
        <w:t xml:space="preserve">     (13.23)</w:t>
      </w:r>
      <w:bookmarkEnd w:id="1771"/>
    </w:p>
    <w:p>
      <w:bookmarkStart w:id="1584" w:name="s_THM_13_8"/>
      <w:pPr/>
      <w:r>
        <w:t>Теорема 13.8 (стабильная обратная детекция). [THM/COMP] P_E инъективно тогда и только тогда, когда его наименьшее сингулярное число положительно. Если</w:t>
      </w:r>
      <w:bookmarkEnd w:id="1584"/>
    </w:p>
    <w:p>
      <w:bookmarkStart w:id="1772" w:name="f_13_24"/>
      <w:pPr>
        <w:keepLines/>
        <w:spacing w:before="80" w:after="80"/>
        <w:jc w:val="center"/>
      </w:pPr>
      <w:r>
        <w:rPr>
          <w:rFonts w:ascii="Liberation Serif" w:hAnsi="Liberation Serif"/>
          <w:i/>
          <w:sz w:val="23"/>
        </w:rPr>
        <w:t>σ_min(P_E) ≥ s_0 &gt; 0,</w:t>
      </w:r>
      <w:r>
        <w:rPr>
          <w:sz w:val="21"/>
        </w:rPr>
        <w:t xml:space="preserve">     (13.24)</w:t>
      </w:r>
      <w:bookmarkEnd w:id="1772"/>
    </w:p>
    <w:p>
      <w:pPr/>
      <w:r>
        <w:t>то для каждого внутреннего класса o</w:t>
      </w:r>
    </w:p>
    <w:p>
      <w:bookmarkStart w:id="1773" w:name="f_13_25"/>
      <w:pPr>
        <w:keepLines/>
        <w:spacing w:before="80" w:after="80"/>
        <w:jc w:val="center"/>
      </w:pPr>
      <w:r>
        <w:rPr>
          <w:rFonts w:ascii="Liberation Serif" w:hAnsi="Liberation Serif"/>
          <w:i/>
          <w:sz w:val="23"/>
        </w:rPr>
        <w:t>||Π_E(o)|| ≥ s_0 ||o||.</w:t>
      </w:r>
      <w:r>
        <w:rPr>
          <w:sz w:val="21"/>
        </w:rPr>
        <w:t xml:space="preserve">     (13.25)</w:t>
      </w:r>
      <w:bookmarkEnd w:id="1773"/>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bookmarkStart w:id="1774" w:name="f_13_26"/>
      <w:pPr>
        <w:keepLines/>
        <w:spacing w:before="80" w:after="80"/>
        <w:jc w:val="center"/>
      </w:pPr>
      <w:r>
        <w:rPr>
          <w:rFonts w:ascii="Liberation Serif" w:hAnsi="Liberation Serif"/>
          <w:i/>
          <w:sz w:val="23"/>
        </w:rPr>
        <w:t>η_E([x]) := ||P_{H_E³} J³_N x_min||,</w:t>
      </w:r>
      <w:r>
        <w:rPr>
          <w:sz w:val="21"/>
        </w:rPr>
        <w:t xml:space="preserve">     (13.26)</w:t>
      </w:r>
      <w:bookmarkEnd w:id="1774"/>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bookmarkStart w:id="1035" w:name="h_1579"/>
      <w:pPr>
        <w:pStyle w:val="Heading1"/>
        <w:keepNext/>
      </w:pPr>
      <w:r>
        <w:t>108. Параметрические семейства и внешний горизонт</w:t>
      </w:r>
      <w:bookmarkEnd w:id="1035"/>
    </w:p>
    <w:p>
      <w:pPr/>
      <w:r>
        <w:t>Для семейства (N_t,E_t,J_t) вводится расширенный горизонт</w:t>
      </w:r>
    </w:p>
    <w:p>
      <w:bookmarkStart w:id="1775" w:name="f_13_27"/>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bookmarkEnd w:id="1775"/>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bookmarkStart w:id="1585" w:name="s_LEM_13_9"/>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bookmarkEnd w:id="1585"/>
    </w:p>
    <w:p>
      <w:bookmarkStart w:id="1036" w:name="h_1584"/>
      <w:pPr>
        <w:pStyle w:val="Heading1"/>
        <w:keepNext/>
      </w:pPr>
      <w:r>
        <w:t>109. Предсказательный внешний мост</w:t>
      </w:r>
      <w:bookmarkEnd w:id="1036"/>
    </w:p>
    <w:p>
      <w:pPr>
        <w:pStyle w:val="Heading2"/>
        <w:keepNext/>
      </w:pPr>
      <w:r>
        <w:t>109.1. Теорема устойчивого внешнего препятствия</w:t>
      </w:r>
    </w:p>
    <w:p>
      <w:bookmarkStart w:id="1586" w:name="s_THM_13_10"/>
      <w:pPr/>
      <w:r>
        <w:t>Теорема 13.10. [THM/COMP] Пусть на компактном интервале I выполнены B1-B5, семейства непрерывны и существует ε_E&gt;0 такое, что</w:t>
      </w:r>
      <w:bookmarkEnd w:id="1586"/>
    </w:p>
    <w:p>
      <w:bookmarkStart w:id="1776" w:name="f_13_28"/>
      <w:pPr>
        <w:keepLines/>
        <w:spacing w:before="80" w:after="80"/>
        <w:jc w:val="center"/>
      </w:pPr>
      <w:r>
        <w:rPr>
          <w:rFonts w:ascii="Liberation Serif" w:hAnsi="Liberation Serif"/>
          <w:i/>
          <w:sz w:val="23"/>
        </w:rPr>
        <w:t>||Π_{E,t}(o_t)|| ≥ ε_E  для всех t∈I.</w:t>
      </w:r>
      <w:r>
        <w:rPr>
          <w:sz w:val="21"/>
        </w:rPr>
        <w:t xml:space="preserve">     (13.28)</w:t>
      </w:r>
      <w:bookmarkEnd w:id="1776"/>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bookmarkStart w:id="1587" w:name="s_THM_13_11"/>
      <w:pPr/>
      <w:r>
        <w:t>Теорема 13.11 (external-detection-safe predictive theorem). [COND] Пусть:</w:t>
      </w:r>
      <w:bookmarkEnd w:id="1587"/>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bookmarkStart w:id="1777" w:name="f_13_29"/>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bookmarkEnd w:id="1777"/>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descr="Рисунок 28. Blocker-safe шлюз внешней детекции. Собственная схема Тома II." title="Рисунок 28. Blocker-safe шлюз внешней детекции. Собственная схема Тома II."/>
            <wp:cNvGraphicFramePr>
              <a:graphicFrameLocks noChangeAspect="1"/>
            </wp:cNvGraphicFramePr>
            <a:graphic>
              <a:graphicData uri="http://schemas.openxmlformats.org/drawingml/2006/picture">
                <pic:pic>
                  <pic:nvPicPr>
                    <pic:cNvPr id="0" name="fig28_external_gate.png" descr="Рисунок 28. Blocker-safe шлюз внешней детекции. Собственная схема Тома II." title="Рисунок 28. Blocker-safe шлюз внешней детекции. Собственная схема Тома II."/>
                    <pic:cNvPicPr/>
                  </pic:nvPicPr>
                  <pic:blipFill>
                    <a:blip r:embed="rId59"/>
                    <a:stretch>
                      <a:fillRect/>
                    </a:stretch>
                  </pic:blipFill>
                  <pic:spPr>
                    <a:xfrm>
                      <a:off x="0" y="0"/>
                      <a:ext cx="5760000" cy="2724894"/>
                    </a:xfrm>
                    <a:prstGeom prst="rect"/>
                  </pic:spPr>
                </pic:pic>
              </a:graphicData>
            </a:graphic>
          </wp:inline>
        </w:drawing>
      </w:r>
    </w:p>
    <w:p>
      <w:pPr>
        <w:pStyle w:val="Caption"/>
        <w:keepNext/>
        <w:jc w:val="center"/>
      </w:pPr>
      <w:r>
        <w:t>Рисунок 28. Blocker-safe шлюз внешней детекции. Собственная схема Тома II.</w:t>
      </w:r>
    </w:p>
    <w:p>
      <w:bookmarkStart w:id="1037" w:name="h_1605"/>
      <w:pPr>
        <w:pStyle w:val="Heading1"/>
        <w:keepNext/>
      </w:pPr>
      <w:r>
        <w:t>110. Отдельный ассоциаторный канал β_Ass</w:t>
      </w:r>
      <w:bookmarkEnd w:id="1037"/>
    </w:p>
    <w:p>
      <w:bookmarkStart w:id="1588" w:name="s_DEF_13_8"/>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bookmarkEnd w:id="1588"/>
    </w:p>
    <w:p>
      <w:bookmarkStart w:id="1778" w:name="f_13_30"/>
      <w:pPr>
        <w:keepLines/>
        <w:spacing w:before="80" w:after="80"/>
        <w:jc w:val="center"/>
      </w:pPr>
      <w:r>
        <w:rPr>
          <w:rFonts w:ascii="Liberation Serif" w:hAnsi="Liberation Serif"/>
          <w:i/>
          <w:sz w:val="23"/>
        </w:rPr>
        <w:t>β_Ass,N:T_Ass(N)-&gt;H³(A_Ass^•(N)).</w:t>
      </w:r>
      <w:r>
        <w:rPr>
          <w:sz w:val="21"/>
        </w:rPr>
        <w:t xml:space="preserve">     (13.30)</w:t>
      </w:r>
      <w:bookmarkEnd w:id="1778"/>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bookmarkStart w:id="1779" w:name="f_13_31"/>
      <w:pPr>
        <w:keepLines/>
        <w:spacing w:before="80" w:after="80"/>
        <w:jc w:val="center"/>
      </w:pPr>
      <w:r>
        <w:rPr>
          <w:rFonts w:ascii="Liberation Serif" w:hAnsi="Liberation Serif"/>
          <w:i/>
          <w:sz w:val="23"/>
        </w:rPr>
        <w:t>β_Ass ∘ S = H³(Q) ∘ Π_E.</w:t>
      </w:r>
      <w:r>
        <w:rPr>
          <w:sz w:val="21"/>
        </w:rPr>
        <w:t xml:space="preserve">     (13.31)</w:t>
      </w:r>
      <w:bookmarkEnd w:id="1779"/>
    </w:p>
    <w:p>
      <w:pPr/>
      <w:r>
        <w:t>До доказательства (13.31) квадратичный obstruction class, ассоциатор, ассоциаторная кривизна и Hol_D остаются различными объектами.</w:t>
      </w:r>
    </w:p>
    <w:p>
      <w:bookmarkStart w:id="1038" w:name="h_1611"/>
      <w:pPr>
        <w:pStyle w:val="Heading1"/>
        <w:keepNext/>
      </w:pPr>
      <w:r>
        <w:t>111. Контрпримеры к сильным внешним выводам</w:t>
      </w:r>
      <w:bookmarkEnd w:id="1038"/>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rPr>
          <w:cantSplit/>
        </w:trP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rPr>
          <w:cantSplit/>
        </w:trP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rPr>
          <w:cantSplit/>
        </w:trP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rPr>
          <w:cantSplit/>
        </w:trP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rPr>
          <w:cantSplit/>
        </w:trP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rPr>
          <w:cantSplit/>
        </w:trP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rPr>
          <w:cantSplit/>
        </w:trP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rPr>
          <w:cantSplit/>
        </w:trP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bookmarkStart w:id="1589" w:name="s_CTHM_13_12"/>
      <w:pPr/>
      <w:r>
        <w:t>Контртеорема 13.12. [THM] Без дополнительных гипотез неверны импликации</w:t>
      </w:r>
      <w:bookmarkEnd w:id="1589"/>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bookmarkStart w:id="1039" w:name="h_1618"/>
      <w:pPr>
        <w:pStyle w:val="Heading1"/>
        <w:keepNext/>
      </w:pPr>
      <w:r>
        <w:t>112. Вычислительный сертификат EXT-E v0.10</w:t>
      </w:r>
      <w:bookmarkEnd w:id="1039"/>
    </w:p>
    <w:tbl>
      <w:tblPr>
        <w:tblStyle w:val="TableGrid"/>
        <w:tblW w:type="auto" w:w="0"/>
        <w:jc w:val="center"/>
        <w:tblLayout w:type="fixed"/>
        <w:tblLook w:firstColumn="1" w:firstRow="1" w:lastColumn="0" w:lastRow="0" w:noHBand="0" w:noVBand="1" w:val="04A0"/>
      </w:tblPr>
      <w:tblGrid>
        <w:gridCol w:w="4876"/>
        <w:gridCol w:w="4876"/>
      </w:tblGrid>
      <w:tr>
        <w:trPr>
          <w:tblHeader w:val="true"/>
          <w:cantSplit/>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rPr>
          <w:cantSplit/>
        </w:trP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rPr>
          <w:cantSplit/>
        </w:trP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rPr>
          <w:cantSplit/>
        </w:trP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rPr>
          <w:cantSplit/>
        </w:trP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rPr>
          <w:cantSplit/>
        </w:trP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rPr>
          <w:cantSplit/>
        </w:trP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rPr>
          <w:cantSplit/>
        </w:trP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rPr>
          <w:cantSplit/>
        </w:trP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rPr>
          <w:cantSplit/>
        </w:trP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rPr>
          <w:cantSplit/>
        </w:trP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rPr>
          <w:cantSplit/>
        </w:trP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rPr>
          <w:cantSplit/>
        </w:trP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rPr>
          <w:cantSplit/>
        </w:trP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rPr>
          <w:cantSplit/>
        </w:trP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rPr>
          <w:cantSplit/>
        </w:trP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rPr>
          <w:cantSplit/>
        </w:trP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bookmarkStart w:id="1040" w:name="h_1621"/>
      <w:pPr>
        <w:pStyle w:val="Heading1"/>
        <w:keepNext/>
      </w:pPr>
      <w:r>
        <w:t>113. Доказательные обязательства T2-RP-v0.10</w:t>
      </w:r>
      <w:bookmarkEnd w:id="1040"/>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rPr>
          <w:cantSplit/>
        </w:trPr>
        <w:tc>
          <w:tcPr>
            <w:tcW w:type="dxa" w:w="1247"/>
            <w:shd w:fill="FFFFFF"/>
            <w:tcMar>
              <w:top w:w="80" w:type="dxa"/>
              <w:start w:w="90" w:type="dxa"/>
              <w:bottom w:w="80" w:type="dxa"/>
              <w:end w:w="90" w:type="dxa"/>
            </w:tcMar>
            <w:vAlign w:val="center"/>
          </w:tcPr>
          <w:p>
            <w:bookmarkStart w:id="2202" w:name="po_106"/>
            <w:pPr>
              <w:jc w:val="center"/>
            </w:pPr>
            <w:r>
              <w:rPr>
                <w:rFonts w:ascii="Liberation Serif" w:hAnsi="Liberation Serif"/>
                <w:sz w:val="15"/>
              </w:rPr>
              <w:t>T2-PO-106</w:t>
            </w:r>
            <w:bookmarkEnd w:id="2202"/>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rPr>
          <w:cantSplit/>
        </w:trPr>
        <w:tc>
          <w:tcPr>
            <w:tcW w:type="dxa" w:w="1247"/>
            <w:shd w:fill="EEF3F8"/>
            <w:tcMar>
              <w:top w:w="80" w:type="dxa"/>
              <w:start w:w="90" w:type="dxa"/>
              <w:bottom w:w="80" w:type="dxa"/>
              <w:end w:w="90" w:type="dxa"/>
            </w:tcMar>
            <w:vAlign w:val="center"/>
          </w:tcPr>
          <w:p>
            <w:bookmarkStart w:id="2203" w:name="po_107"/>
            <w:pPr>
              <w:jc w:val="center"/>
            </w:pPr>
            <w:r>
              <w:rPr>
                <w:rFonts w:ascii="Liberation Serif" w:hAnsi="Liberation Serif"/>
                <w:sz w:val="15"/>
              </w:rPr>
              <w:t>T2-PO-107</w:t>
            </w:r>
            <w:bookmarkEnd w:id="2203"/>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rPr>
          <w:cantSplit/>
        </w:trPr>
        <w:tc>
          <w:tcPr>
            <w:tcW w:type="dxa" w:w="1247"/>
            <w:shd w:fill="FFFFFF"/>
            <w:tcMar>
              <w:top w:w="80" w:type="dxa"/>
              <w:start w:w="90" w:type="dxa"/>
              <w:bottom w:w="80" w:type="dxa"/>
              <w:end w:w="90" w:type="dxa"/>
            </w:tcMar>
            <w:vAlign w:val="center"/>
          </w:tcPr>
          <w:p>
            <w:bookmarkStart w:id="2204" w:name="po_108"/>
            <w:pPr>
              <w:jc w:val="center"/>
            </w:pPr>
            <w:r>
              <w:rPr>
                <w:rFonts w:ascii="Liberation Serif" w:hAnsi="Liberation Serif"/>
                <w:sz w:val="15"/>
              </w:rPr>
              <w:t>T2-PO-108</w:t>
            </w:r>
            <w:bookmarkEnd w:id="2204"/>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EEF3F8"/>
            <w:tcMar>
              <w:top w:w="80" w:type="dxa"/>
              <w:start w:w="90" w:type="dxa"/>
              <w:bottom w:w="80" w:type="dxa"/>
              <w:end w:w="90" w:type="dxa"/>
            </w:tcMar>
            <w:vAlign w:val="center"/>
          </w:tcPr>
          <w:p>
            <w:bookmarkStart w:id="2205" w:name="po_109"/>
            <w:pPr>
              <w:jc w:val="center"/>
            </w:pPr>
            <w:r>
              <w:rPr>
                <w:rFonts w:ascii="Liberation Serif" w:hAnsi="Liberation Serif"/>
                <w:sz w:val="15"/>
              </w:rPr>
              <w:t>T2-PO-109</w:t>
            </w:r>
            <w:bookmarkEnd w:id="2205"/>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rPr>
          <w:cantSplit/>
        </w:trPr>
        <w:tc>
          <w:tcPr>
            <w:tcW w:type="dxa" w:w="1247"/>
            <w:shd w:fill="FFFFFF"/>
            <w:tcMar>
              <w:top w:w="80" w:type="dxa"/>
              <w:start w:w="90" w:type="dxa"/>
              <w:bottom w:w="80" w:type="dxa"/>
              <w:end w:w="90" w:type="dxa"/>
            </w:tcMar>
            <w:vAlign w:val="center"/>
          </w:tcPr>
          <w:p>
            <w:bookmarkStart w:id="2206" w:name="po_110"/>
            <w:pPr>
              <w:jc w:val="center"/>
            </w:pPr>
            <w:r>
              <w:rPr>
                <w:rFonts w:ascii="Liberation Serif" w:hAnsi="Liberation Serif"/>
                <w:sz w:val="15"/>
              </w:rPr>
              <w:t>T2-PO-110</w:t>
            </w:r>
            <w:bookmarkEnd w:id="2206"/>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EEF3F8"/>
            <w:tcMar>
              <w:top w:w="80" w:type="dxa"/>
              <w:start w:w="90" w:type="dxa"/>
              <w:bottom w:w="80" w:type="dxa"/>
              <w:end w:w="90" w:type="dxa"/>
            </w:tcMar>
            <w:vAlign w:val="center"/>
          </w:tcPr>
          <w:p>
            <w:bookmarkStart w:id="2207" w:name="po_111"/>
            <w:pPr>
              <w:jc w:val="center"/>
            </w:pPr>
            <w:r>
              <w:rPr>
                <w:rFonts w:ascii="Liberation Serif" w:hAnsi="Liberation Serif"/>
                <w:sz w:val="15"/>
              </w:rPr>
              <w:t>T2-PO-111</w:t>
            </w:r>
            <w:bookmarkEnd w:id="2207"/>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rPr>
          <w:cantSplit/>
        </w:trPr>
        <w:tc>
          <w:tcPr>
            <w:tcW w:type="dxa" w:w="1247"/>
            <w:shd w:fill="FFFFFF"/>
            <w:tcMar>
              <w:top w:w="80" w:type="dxa"/>
              <w:start w:w="90" w:type="dxa"/>
              <w:bottom w:w="80" w:type="dxa"/>
              <w:end w:w="90" w:type="dxa"/>
            </w:tcMar>
            <w:vAlign w:val="center"/>
          </w:tcPr>
          <w:p>
            <w:bookmarkStart w:id="2208" w:name="po_112"/>
            <w:pPr>
              <w:jc w:val="center"/>
            </w:pPr>
            <w:r>
              <w:rPr>
                <w:rFonts w:ascii="Liberation Serif" w:hAnsi="Liberation Serif"/>
                <w:sz w:val="15"/>
              </w:rPr>
              <w:t>T2-PO-112</w:t>
            </w:r>
            <w:bookmarkEnd w:id="2208"/>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EEF3F8"/>
            <w:tcMar>
              <w:top w:w="80" w:type="dxa"/>
              <w:start w:w="90" w:type="dxa"/>
              <w:bottom w:w="80" w:type="dxa"/>
              <w:end w:w="90" w:type="dxa"/>
            </w:tcMar>
            <w:vAlign w:val="center"/>
          </w:tcPr>
          <w:p>
            <w:bookmarkStart w:id="2209" w:name="po_113"/>
            <w:pPr>
              <w:jc w:val="center"/>
            </w:pPr>
            <w:r>
              <w:rPr>
                <w:rFonts w:ascii="Liberation Serif" w:hAnsi="Liberation Serif"/>
                <w:sz w:val="15"/>
              </w:rPr>
              <w:t>T2-PO-113</w:t>
            </w:r>
            <w:bookmarkEnd w:id="2209"/>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FFFFFF"/>
            <w:tcMar>
              <w:top w:w="80" w:type="dxa"/>
              <w:start w:w="90" w:type="dxa"/>
              <w:bottom w:w="80" w:type="dxa"/>
              <w:end w:w="90" w:type="dxa"/>
            </w:tcMar>
            <w:vAlign w:val="center"/>
          </w:tcPr>
          <w:p>
            <w:bookmarkStart w:id="2210" w:name="po_114"/>
            <w:pPr>
              <w:jc w:val="center"/>
            </w:pPr>
            <w:r>
              <w:rPr>
                <w:rFonts w:ascii="Liberation Serif" w:hAnsi="Liberation Serif"/>
                <w:sz w:val="15"/>
              </w:rPr>
              <w:t>T2-PO-114</w:t>
            </w:r>
            <w:bookmarkEnd w:id="2210"/>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EEF3F8"/>
            <w:tcMar>
              <w:top w:w="80" w:type="dxa"/>
              <w:start w:w="90" w:type="dxa"/>
              <w:bottom w:w="80" w:type="dxa"/>
              <w:end w:w="90" w:type="dxa"/>
            </w:tcMar>
            <w:vAlign w:val="center"/>
          </w:tcPr>
          <w:p>
            <w:bookmarkStart w:id="2211" w:name="po_115"/>
            <w:pPr>
              <w:jc w:val="center"/>
            </w:pPr>
            <w:r>
              <w:rPr>
                <w:rFonts w:ascii="Liberation Serif" w:hAnsi="Liberation Serif"/>
                <w:sz w:val="15"/>
              </w:rPr>
              <w:t>T2-PO-115</w:t>
            </w:r>
            <w:bookmarkEnd w:id="2211"/>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rPr>
          <w:cantSplit/>
        </w:trPr>
        <w:tc>
          <w:tcPr>
            <w:tcW w:type="dxa" w:w="1247"/>
            <w:shd w:fill="FFFFFF"/>
            <w:tcMar>
              <w:top w:w="80" w:type="dxa"/>
              <w:start w:w="90" w:type="dxa"/>
              <w:bottom w:w="80" w:type="dxa"/>
              <w:end w:w="90" w:type="dxa"/>
            </w:tcMar>
            <w:vAlign w:val="center"/>
          </w:tcPr>
          <w:p>
            <w:bookmarkStart w:id="2212" w:name="po_116"/>
            <w:pPr>
              <w:jc w:val="center"/>
            </w:pPr>
            <w:r>
              <w:rPr>
                <w:rFonts w:ascii="Liberation Serif" w:hAnsi="Liberation Serif"/>
                <w:sz w:val="15"/>
              </w:rPr>
              <w:t>T2-PO-116</w:t>
            </w:r>
            <w:bookmarkEnd w:id="2212"/>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rPr>
          <w:cantSplit/>
        </w:trPr>
        <w:tc>
          <w:tcPr>
            <w:tcW w:type="dxa" w:w="1247"/>
            <w:shd w:fill="EEF3F8"/>
            <w:tcMar>
              <w:top w:w="80" w:type="dxa"/>
              <w:start w:w="90" w:type="dxa"/>
              <w:bottom w:w="80" w:type="dxa"/>
              <w:end w:w="90" w:type="dxa"/>
            </w:tcMar>
            <w:vAlign w:val="center"/>
          </w:tcPr>
          <w:p>
            <w:bookmarkStart w:id="2213" w:name="po_117"/>
            <w:pPr>
              <w:jc w:val="center"/>
            </w:pPr>
            <w:r>
              <w:rPr>
                <w:rFonts w:ascii="Liberation Serif" w:hAnsi="Liberation Serif"/>
                <w:sz w:val="15"/>
              </w:rPr>
              <w:t>T2-PO-117</w:t>
            </w:r>
            <w:bookmarkEnd w:id="2213"/>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rPr>
          <w:cantSplit/>
        </w:trPr>
        <w:tc>
          <w:tcPr>
            <w:tcW w:type="dxa" w:w="1247"/>
            <w:shd w:fill="FFFFFF"/>
            <w:tcMar>
              <w:top w:w="80" w:type="dxa"/>
              <w:start w:w="90" w:type="dxa"/>
              <w:bottom w:w="80" w:type="dxa"/>
              <w:end w:w="90" w:type="dxa"/>
            </w:tcMar>
            <w:vAlign w:val="center"/>
          </w:tcPr>
          <w:p>
            <w:bookmarkStart w:id="2214" w:name="po_118"/>
            <w:pPr>
              <w:jc w:val="center"/>
            </w:pPr>
            <w:r>
              <w:rPr>
                <w:rFonts w:ascii="Liberation Serif" w:hAnsi="Liberation Serif"/>
                <w:sz w:val="15"/>
              </w:rPr>
              <w:t>T2-PO-118</w:t>
            </w:r>
            <w:bookmarkEnd w:id="2214"/>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rPr>
          <w:cantSplit/>
        </w:trPr>
        <w:tc>
          <w:tcPr>
            <w:tcW w:type="dxa" w:w="1247"/>
            <w:shd w:fill="EEF3F8"/>
            <w:tcMar>
              <w:top w:w="80" w:type="dxa"/>
              <w:start w:w="90" w:type="dxa"/>
              <w:bottom w:w="80" w:type="dxa"/>
              <w:end w:w="90" w:type="dxa"/>
            </w:tcMar>
            <w:vAlign w:val="center"/>
          </w:tcPr>
          <w:p>
            <w:bookmarkStart w:id="2215" w:name="po_119"/>
            <w:pPr>
              <w:jc w:val="center"/>
            </w:pPr>
            <w:r>
              <w:rPr>
                <w:rFonts w:ascii="Liberation Serif" w:hAnsi="Liberation Serif"/>
                <w:sz w:val="15"/>
              </w:rPr>
              <w:t>T2-PO-119</w:t>
            </w:r>
            <w:bookmarkEnd w:id="2215"/>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rPr>
          <w:cantSplit/>
        </w:trPr>
        <w:tc>
          <w:tcPr>
            <w:tcW w:type="dxa" w:w="1247"/>
            <w:shd w:fill="FFFFFF"/>
            <w:tcMar>
              <w:top w:w="80" w:type="dxa"/>
              <w:start w:w="90" w:type="dxa"/>
              <w:bottom w:w="80" w:type="dxa"/>
              <w:end w:w="90" w:type="dxa"/>
            </w:tcMar>
            <w:vAlign w:val="center"/>
          </w:tcPr>
          <w:p>
            <w:bookmarkStart w:id="2216" w:name="po_120"/>
            <w:pPr>
              <w:jc w:val="center"/>
            </w:pPr>
            <w:r>
              <w:rPr>
                <w:rFonts w:ascii="Liberation Serif" w:hAnsi="Liberation Serif"/>
                <w:sz w:val="15"/>
              </w:rPr>
              <w:t>T2-PO-120</w:t>
            </w:r>
            <w:bookmarkEnd w:id="2216"/>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rPr>
          <w:cantSplit/>
        </w:trPr>
        <w:tc>
          <w:tcPr>
            <w:tcW w:type="dxa" w:w="1247"/>
            <w:shd w:fill="EEF3F8"/>
            <w:tcMar>
              <w:top w:w="80" w:type="dxa"/>
              <w:start w:w="90" w:type="dxa"/>
              <w:bottom w:w="80" w:type="dxa"/>
              <w:end w:w="90" w:type="dxa"/>
            </w:tcMar>
            <w:vAlign w:val="center"/>
          </w:tcPr>
          <w:p>
            <w:bookmarkStart w:id="2217" w:name="po_121"/>
            <w:pPr>
              <w:jc w:val="center"/>
            </w:pPr>
            <w:r>
              <w:rPr>
                <w:rFonts w:ascii="Liberation Serif" w:hAnsi="Liberation Serif"/>
                <w:sz w:val="15"/>
              </w:rPr>
              <w:t>T2-PO-121</w:t>
            </w:r>
            <w:bookmarkEnd w:id="2217"/>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rPr>
          <w:cantSplit/>
        </w:trPr>
        <w:tc>
          <w:tcPr>
            <w:tcW w:type="dxa" w:w="1247"/>
            <w:shd w:fill="FFFFFF"/>
            <w:tcMar>
              <w:top w:w="80" w:type="dxa"/>
              <w:start w:w="90" w:type="dxa"/>
              <w:bottom w:w="80" w:type="dxa"/>
              <w:end w:w="90" w:type="dxa"/>
            </w:tcMar>
            <w:vAlign w:val="center"/>
          </w:tcPr>
          <w:p>
            <w:bookmarkStart w:id="2218" w:name="po_122"/>
            <w:pPr>
              <w:jc w:val="center"/>
            </w:pPr>
            <w:r>
              <w:rPr>
                <w:rFonts w:ascii="Liberation Serif" w:hAnsi="Liberation Serif"/>
                <w:sz w:val="15"/>
              </w:rPr>
              <w:t>T2-PO-122</w:t>
            </w:r>
            <w:bookmarkEnd w:id="2218"/>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rPr>
          <w:cantSplit/>
        </w:trPr>
        <w:tc>
          <w:tcPr>
            <w:tcW w:type="dxa" w:w="1247"/>
            <w:shd w:fill="EEF3F8"/>
            <w:tcMar>
              <w:top w:w="80" w:type="dxa"/>
              <w:start w:w="90" w:type="dxa"/>
              <w:bottom w:w="80" w:type="dxa"/>
              <w:end w:w="90" w:type="dxa"/>
            </w:tcMar>
            <w:vAlign w:val="center"/>
          </w:tcPr>
          <w:p>
            <w:bookmarkStart w:id="2219" w:name="po_123"/>
            <w:pPr>
              <w:jc w:val="center"/>
            </w:pPr>
            <w:r>
              <w:rPr>
                <w:rFonts w:ascii="Liberation Serif" w:hAnsi="Liberation Serif"/>
                <w:sz w:val="15"/>
              </w:rPr>
              <w:t>T2-PO-123</w:t>
            </w:r>
            <w:bookmarkEnd w:id="2219"/>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rPr>
          <w:cantSplit/>
        </w:trPr>
        <w:tc>
          <w:tcPr>
            <w:tcW w:type="dxa" w:w="1247"/>
            <w:shd w:fill="FFFFFF"/>
            <w:tcMar>
              <w:top w:w="80" w:type="dxa"/>
              <w:start w:w="90" w:type="dxa"/>
              <w:bottom w:w="80" w:type="dxa"/>
              <w:end w:w="90" w:type="dxa"/>
            </w:tcMar>
            <w:vAlign w:val="center"/>
          </w:tcPr>
          <w:p>
            <w:bookmarkStart w:id="2220" w:name="po_124"/>
            <w:pPr>
              <w:jc w:val="center"/>
            </w:pPr>
            <w:r>
              <w:rPr>
                <w:rFonts w:ascii="Liberation Serif" w:hAnsi="Liberation Serif"/>
                <w:sz w:val="15"/>
              </w:rPr>
              <w:t>T2-PO-124</w:t>
            </w:r>
            <w:bookmarkEnd w:id="2220"/>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rPr>
          <w:cantSplit/>
        </w:trPr>
        <w:tc>
          <w:tcPr>
            <w:tcW w:type="dxa" w:w="1247"/>
            <w:shd w:fill="EEF3F8"/>
            <w:tcMar>
              <w:top w:w="80" w:type="dxa"/>
              <w:start w:w="90" w:type="dxa"/>
              <w:bottom w:w="80" w:type="dxa"/>
              <w:end w:w="90" w:type="dxa"/>
            </w:tcMar>
            <w:vAlign w:val="center"/>
          </w:tcPr>
          <w:p>
            <w:bookmarkStart w:id="2221" w:name="po_125"/>
            <w:pPr>
              <w:jc w:val="center"/>
            </w:pPr>
            <w:r>
              <w:rPr>
                <w:rFonts w:ascii="Liberation Serif" w:hAnsi="Liberation Serif"/>
                <w:sz w:val="15"/>
              </w:rPr>
              <w:t>T2-PO-125</w:t>
            </w:r>
            <w:bookmarkEnd w:id="2221"/>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bookmarkStart w:id="1041" w:name="h_1622"/>
      <w:pPr>
        <w:pStyle w:val="Heading1"/>
        <w:keepNext/>
      </w:pPr>
      <w:r>
        <w:t>114. Prior art и граница авторского вклада</w:t>
      </w:r>
      <w:bookmarkEnd w:id="1041"/>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bookmarkStart w:id="1042" w:name="h_1630"/>
      <w:pPr>
        <w:pStyle w:val="Heading1"/>
        <w:keepNext/>
      </w:pPr>
      <w:r>
        <w:t>115. Итог главы и контрольная точка T2-RP-v0.10</w:t>
      </w:r>
      <w:bookmarkEnd w:id="1042"/>
    </w:p>
    <w:tbl>
      <w:tblPr>
        <w:tblStyle w:val="TableGrid"/>
        <w:tblW w:type="auto" w:w="0"/>
        <w:jc w:val="center"/>
        <w:tblLayout w:type="fixed"/>
        <w:tblLook w:firstColumn="1" w:firstRow="1" w:lastColumn="0" w:lastRow="0" w:noHBand="0" w:noVBand="1" w:val="04A0"/>
      </w:tblPr>
      <w:tblGrid>
        <w:gridCol w:w="4876"/>
        <w:gridCol w:w="4876"/>
      </w:tblGrid>
      <w:tr>
        <w:trPr>
          <w:tblHeader w:val="true"/>
          <w:cantSplit/>
        </w:trP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rPr>
          <w:cantSplit/>
        </w:trP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rPr>
          <w:cantSplit/>
        </w:trP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rPr>
          <w:cantSplit/>
        </w:trP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rPr>
          <w:cantSplit/>
        </w:trP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bookmarkStart w:id="1780" w:name="f_13_32"/>
      <w:pPr>
        <w:keepLines/>
        <w:spacing w:before="80" w:after="80"/>
        <w:jc w:val="center"/>
      </w:pPr>
      <w:r>
        <w:rPr>
          <w:rFonts w:ascii="Liberation Serif" w:hAnsi="Liberation Serif"/>
          <w:i/>
          <w:sz w:val="23"/>
        </w:rPr>
        <w:t>truth_layer_promotion=0;  checkpoint=T2-RP-v0.10;  next=T2-RP-v0.11.</w:t>
      </w:r>
      <w:r>
        <w:rPr>
          <w:sz w:val="21"/>
        </w:rPr>
        <w:t xml:space="preserve">     (13.32)</w:t>
      </w:r>
      <w:bookmarkEnd w:id="1780"/>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p>
      <w:r>
        <w:br w:type="page"/>
      </w:r>
    </w:p>
    <w:p>
      <w:bookmarkStart w:id="1043" w:name="h_1635"/>
      <w:pPr>
        <w:pStyle w:val="Heading1"/>
        <w:keepNext/>
      </w:pPr>
      <w:r>
        <w:t>116. Глава 14. Пространства препятствий и проективные носители</w:t>
      </w:r>
      <w:bookmarkEnd w:id="1043"/>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DCE6F1"/>
          </w:tcPr>
          <w:p>
            <w:r>
              <w:rPr>
                <w:b/>
                <w:color w:val="1F4E79"/>
                <w:sz w:val="21"/>
              </w:rPr>
              <w:t>ОНТОЛОГИЧЕСКИЙ БЛОК</w:t>
            </w:r>
          </w:p>
          <w:p>
            <w:pPr>
              <w:spacing w:after="0"/>
            </w:pPr>
            <w:r>
              <w:rPr>
                <w:sz w:val="19"/>
              </w:rPr>
              <w:t>Препятствие существует прежде своей проективной тени. Вектор o∈O_B несёт нулевой статус, масштаб, знак, направление и происхождение; точка [o]∈P(O_B) сохраняет только одномерное направление ненулевого класса. Проективизация полезна как геометрия типов, но она не является полным онтологическим описанием препятствия.</w:t>
            </w:r>
          </w:p>
        </w:tc>
      </w:tr>
    </w:tbl>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FFF2CC"/>
          </w:tcPr>
          <w:p>
            <w:r>
              <w:rPr>
                <w:b/>
                <w:color w:val="1F4E79"/>
                <w:sz w:val="21"/>
              </w:rPr>
              <w:t>ГНОСЕОЛОГИЧЕСКИЙ БЛОК</w:t>
            </w:r>
          </w:p>
          <w:p>
            <w:pPr>
              <w:spacing w:after="0"/>
            </w:pPr>
            <w:r>
              <w:rPr>
                <w:sz w:val="19"/>
              </w:rPr>
              <w:t>Переход к P(O_B) является контролируемым забыванием. Поэтому каждый результат обязан сопровождаться журналом утраченных данных: ZERO, SCALE, SIGN, NORM, PROVENANCE, LIFT и DOMAIN. Иначе красивый проективный рисунок начинает изображать знание, которого в нём уже нет.</w:t>
            </w:r>
          </w:p>
        </w:tc>
      </w:tr>
    </w:tbl>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E2F0D9"/>
          </w:tcPr>
          <w:p>
            <w:r>
              <w:rPr>
                <w:b/>
                <w:color w:val="1F4E79"/>
                <w:sz w:val="21"/>
              </w:rPr>
              <w:t>ФЕНОМЕНОЛОГИЧЕСКИЙ БЛОК</w:t>
            </w:r>
          </w:p>
          <w:p>
            <w:pPr>
              <w:spacing w:after="0"/>
            </w:pPr>
            <w:r>
              <w:rPr>
                <w:sz w:val="19"/>
              </w:rPr>
              <w:t>Наблюдателю часто важнее направление структурного конфликта, чем его абсолютная величина. Именно это оправдывает projective carrier. Но близость направлений не равна близости величин и не гарантирует одинаковой реализуемости сценариев.</w:t>
            </w:r>
          </w:p>
        </w:tc>
      </w:tr>
    </w:tbl>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FCE4D6"/>
          </w:tcPr>
          <w:p>
            <w:r>
              <w:rPr>
                <w:b/>
                <w:color w:val="1F4E79"/>
                <w:sz w:val="21"/>
              </w:rPr>
              <w:t>ОГРАНИЧИТЕЛЬНЫЙ БЛОК</w:t>
            </w:r>
          </w:p>
          <w:p>
            <w:pPr>
              <w:spacing w:after="0"/>
            </w:pPr>
            <w:r>
              <w:rPr>
                <w:sz w:val="19"/>
              </w:rPr>
              <w:t>Ни P(O_B), ни его страта, ни пересечение projective horizon не означают физическое событие. Они задают внутренний класс, тип потери информации или кандидата структурного перехода в пределах модели. truth_layer_promotion=0.</w:t>
            </w:r>
          </w:p>
        </w:tc>
      </w:tr>
    </w:tbl>
    <w:p/>
    <w:p>
      <w:pPr>
        <w:pStyle w:val="Heading2"/>
        <w:keepNext/>
      </w:pPr>
      <w:r>
        <w:t>116.1. Векторный носитель препятствий</w:t>
      </w:r>
    </w:p>
    <w:p>
      <w:r>
        <w:t>Пусть для NAPG-кадра N внутренний минимальный комплекс даёт векторное пространство препятствий</w:t>
      </w:r>
    </w:p>
    <w:p>
      <w:bookmarkStart w:id="1781" w:name="f_14_1"/>
      <w:pPr>
        <w:pStyle w:val="Quote"/>
        <w:jc w:val="center"/>
      </w:pPr>
      <w:r>
        <w:rPr>
          <w:rFonts w:ascii="Cambria Math" w:hAnsi="Cambria Math"/>
          <w:sz w:val="22"/>
        </w:rPr>
        <w:t>O_B(N) = H³(C_min(N)) = X_N² / Im Ψ_N².</w:t>
      </w:r>
      <w:r>
        <w:t xml:space="preserve">    (14.1)</w:t>
      </w:r>
      <w:bookmarkEnd w:id="1781"/>
    </w:p>
    <w:p>
      <w:r>
        <w:t>Носитель препятствий понимается как пятикомпонентный объект, а не как голое множество классов:</w:t>
      </w:r>
    </w:p>
    <w:p>
      <w:bookmarkStart w:id="1782" w:name="f_14_2"/>
      <w:pPr>
        <w:pStyle w:val="Quote"/>
        <w:jc w:val="center"/>
      </w:pPr>
      <w:r>
        <w:rPr>
          <w:rFonts w:ascii="Cambria Math" w:hAnsi="Cambria Math"/>
          <w:sz w:val="22"/>
        </w:rPr>
        <w:t>Car_B(N) = (O_B, 0_B, Fil_B, Prov_B, Dom_B).</w:t>
      </w:r>
      <w:r>
        <w:t xml:space="preserve">    (14.2)</w:t>
      </w:r>
      <w:bookmarkEnd w:id="1782"/>
    </w:p>
    <w:p>
      <w:r>
        <w:t>Здесь 0_B отмечает нулевой класс; Fil_B является выбранной фильтрацией или стратификацией; Prov_B хранит происхождение представителя и цепочку источников; Dom_B фиксирует область допустимости. Последние два слоя не выводятся из структуры векторного пространства и должны передаваться отдельно.</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656"/>
            <w:shd w:fill="1F4E78"/>
            <w:vAlign w:val="center"/>
            <w:tcMar>
              <w:top w:w="100" w:type="dxa"/>
              <w:start w:w="120" w:type="dxa"/>
              <w:bottom w:w="100" w:type="dxa"/>
              <w:end w:w="120" w:type="dxa"/>
            </w:tcMar>
          </w:tcPr>
          <w:p>
            <w:r>
              <w:rPr>
                <w:b/>
                <w:color w:val="FFFFFF"/>
                <w:sz w:val="18"/>
              </w:rPr>
              <w:t>Компонент</w:t>
            </w:r>
          </w:p>
        </w:tc>
        <w:tc>
          <w:tcPr>
            <w:tcW w:type="dxa" w:w="1800"/>
            <w:shd w:fill="1F4E78"/>
            <w:vAlign w:val="center"/>
            <w:tcMar>
              <w:top w:w="100" w:type="dxa"/>
              <w:start w:w="120" w:type="dxa"/>
              <w:bottom w:w="100" w:type="dxa"/>
              <w:end w:w="120" w:type="dxa"/>
            </w:tcMar>
          </w:tcPr>
          <w:p>
            <w:r>
              <w:rPr>
                <w:b/>
                <w:color w:val="FFFFFF"/>
                <w:sz w:val="18"/>
              </w:rPr>
              <w:t>Тип</w:t>
            </w:r>
          </w:p>
        </w:tc>
        <w:tc>
          <w:tcPr>
            <w:tcW w:type="dxa" w:w="3672"/>
            <w:shd w:fill="1F4E78"/>
            <w:vAlign w:val="center"/>
            <w:tcMar>
              <w:top w:w="100" w:type="dxa"/>
              <w:start w:w="120" w:type="dxa"/>
              <w:bottom w:w="100" w:type="dxa"/>
              <w:end w:w="120" w:type="dxa"/>
            </w:tcMar>
          </w:tcPr>
          <w:p>
            <w:r>
              <w:rPr>
                <w:b/>
                <w:color w:val="FFFFFF"/>
                <w:sz w:val="18"/>
              </w:rPr>
              <w:t>Сохраняемое содержание</w:t>
            </w:r>
          </w:p>
        </w:tc>
        <w:tc>
          <w:tcPr>
            <w:tcW w:type="dxa" w:w="1800"/>
            <w:shd w:fill="1F4E78"/>
            <w:vAlign w:val="center"/>
            <w:tcMar>
              <w:top w:w="100" w:type="dxa"/>
              <w:start w:w="120" w:type="dxa"/>
              <w:bottom w:w="100" w:type="dxa"/>
              <w:end w:w="120" w:type="dxa"/>
            </w:tcMar>
          </w:tcPr>
          <w:p>
            <w:r>
              <w:rPr>
                <w:b/>
                <w:color w:val="FFFFFF"/>
                <w:sz w:val="18"/>
              </w:rPr>
              <w:t>Статус</w:t>
            </w:r>
          </w:p>
        </w:tc>
      </w:tr>
      <w:tr>
        <w:trPr>
          <w:cantSplit/>
        </w:trPr>
        <w:tc>
          <w:tcPr>
            <w:tcW w:type="dxa" w:w="1656"/>
            <w:vAlign w:val="center"/>
            <w:tcMar>
              <w:top w:w="100" w:type="dxa"/>
              <w:start w:w="120" w:type="dxa"/>
              <w:bottom w:w="100" w:type="dxa"/>
              <w:end w:w="120" w:type="dxa"/>
            </w:tcMar>
          </w:tcPr>
          <w:p>
            <w:r>
              <w:rPr>
                <w:sz w:val="17"/>
              </w:rPr>
              <w:t>O_B</w:t>
            </w:r>
          </w:p>
        </w:tc>
        <w:tc>
          <w:tcPr>
            <w:tcW w:type="dxa" w:w="1800"/>
            <w:vAlign w:val="center"/>
            <w:tcMar>
              <w:top w:w="100" w:type="dxa"/>
              <w:start w:w="120" w:type="dxa"/>
              <w:bottom w:w="100" w:type="dxa"/>
              <w:end w:w="120" w:type="dxa"/>
            </w:tcMar>
          </w:tcPr>
          <w:p>
            <w:r>
              <w:rPr>
                <w:sz w:val="17"/>
              </w:rPr>
              <w:t>векторное пространство</w:t>
            </w:r>
          </w:p>
        </w:tc>
        <w:tc>
          <w:tcPr>
            <w:tcW w:type="dxa" w:w="3672"/>
            <w:vAlign w:val="center"/>
            <w:tcMar>
              <w:top w:w="100" w:type="dxa"/>
              <w:start w:w="120" w:type="dxa"/>
              <w:bottom w:w="100" w:type="dxa"/>
              <w:end w:w="120" w:type="dxa"/>
            </w:tcMar>
          </w:tcPr>
          <w:p>
            <w:r>
              <w:rPr>
                <w:sz w:val="17"/>
              </w:rPr>
              <w:t>линейные комбинации и классы препятствий</w:t>
            </w:r>
          </w:p>
        </w:tc>
        <w:tc>
          <w:tcPr>
            <w:tcW w:type="dxa" w:w="1800"/>
            <w:vAlign w:val="center"/>
            <w:tcMar>
              <w:top w:w="100" w:type="dxa"/>
              <w:start w:w="120" w:type="dxa"/>
              <w:bottom w:w="100" w:type="dxa"/>
              <w:end w:w="120" w:type="dxa"/>
            </w:tcMar>
          </w:tcPr>
          <w:p>
            <w:r>
              <w:rPr>
                <w:sz w:val="17"/>
              </w:rPr>
              <w:t>THM в C_min</w:t>
            </w:r>
          </w:p>
        </w:tc>
      </w:tr>
      <w:tr>
        <w:trPr>
          <w:cantSplit/>
        </w:trPr>
        <w:tc>
          <w:tcPr>
            <w:tcW w:type="dxa" w:w="1656"/>
            <w:vAlign w:val="center"/>
            <w:tcMar>
              <w:top w:w="100" w:type="dxa"/>
              <w:start w:w="120" w:type="dxa"/>
              <w:bottom w:w="100" w:type="dxa"/>
              <w:end w:w="120" w:type="dxa"/>
            </w:tcMar>
            <w:shd w:fill="EAF1F8"/>
          </w:tcPr>
          <w:p>
            <w:r>
              <w:rPr>
                <w:sz w:val="17"/>
              </w:rPr>
              <w:t>0_B</w:t>
            </w:r>
          </w:p>
        </w:tc>
        <w:tc>
          <w:tcPr>
            <w:tcW w:type="dxa" w:w="1800"/>
            <w:vAlign w:val="center"/>
            <w:tcMar>
              <w:top w:w="100" w:type="dxa"/>
              <w:start w:w="120" w:type="dxa"/>
              <w:bottom w:w="100" w:type="dxa"/>
              <w:end w:w="120" w:type="dxa"/>
            </w:tcMar>
            <w:shd w:fill="EAF1F8"/>
          </w:tcPr>
          <w:p>
            <w:r>
              <w:rPr>
                <w:sz w:val="17"/>
              </w:rPr>
              <w:t>выделенная точка</w:t>
            </w:r>
          </w:p>
        </w:tc>
        <w:tc>
          <w:tcPr>
            <w:tcW w:type="dxa" w:w="3672"/>
            <w:vAlign w:val="center"/>
            <w:tcMar>
              <w:top w:w="100" w:type="dxa"/>
              <w:start w:w="120" w:type="dxa"/>
              <w:bottom w:w="100" w:type="dxa"/>
              <w:end w:w="120" w:type="dxa"/>
            </w:tcMar>
            <w:shd w:fill="EAF1F8"/>
          </w:tcPr>
          <w:p>
            <w:r>
              <w:rPr>
                <w:sz w:val="17"/>
              </w:rPr>
              <w:t>отсутствие внутреннего препятствия</w:t>
            </w:r>
          </w:p>
        </w:tc>
        <w:tc>
          <w:tcPr>
            <w:tcW w:type="dxa" w:w="1800"/>
            <w:vAlign w:val="center"/>
            <w:tcMar>
              <w:top w:w="100" w:type="dxa"/>
              <w:start w:w="120" w:type="dxa"/>
              <w:bottom w:w="100" w:type="dxa"/>
              <w:end w:w="120" w:type="dxa"/>
            </w:tcMar>
            <w:shd w:fill="EAF1F8"/>
          </w:tcPr>
          <w:p>
            <w:r>
              <w:rPr>
                <w:sz w:val="17"/>
              </w:rPr>
              <w:t>THM</w:t>
            </w:r>
          </w:p>
        </w:tc>
      </w:tr>
      <w:tr>
        <w:trPr>
          <w:cantSplit/>
        </w:trPr>
        <w:tc>
          <w:tcPr>
            <w:tcW w:type="dxa" w:w="1656"/>
            <w:vAlign w:val="center"/>
            <w:tcMar>
              <w:top w:w="100" w:type="dxa"/>
              <w:start w:w="120" w:type="dxa"/>
              <w:bottom w:w="100" w:type="dxa"/>
              <w:end w:w="120" w:type="dxa"/>
            </w:tcMar>
          </w:tcPr>
          <w:p>
            <w:r>
              <w:rPr>
                <w:sz w:val="17"/>
              </w:rPr>
              <w:t>Fil_B</w:t>
            </w:r>
          </w:p>
        </w:tc>
        <w:tc>
          <w:tcPr>
            <w:tcW w:type="dxa" w:w="1800"/>
            <w:vAlign w:val="center"/>
            <w:tcMar>
              <w:top w:w="100" w:type="dxa"/>
              <w:start w:w="120" w:type="dxa"/>
              <w:bottom w:w="100" w:type="dxa"/>
              <w:end w:w="120" w:type="dxa"/>
            </w:tcMar>
          </w:tcPr>
          <w:p>
            <w:r>
              <w:rPr>
                <w:sz w:val="17"/>
              </w:rPr>
              <w:t>фильтрация/стратификация</w:t>
            </w:r>
          </w:p>
        </w:tc>
        <w:tc>
          <w:tcPr>
            <w:tcW w:type="dxa" w:w="3672"/>
            <w:vAlign w:val="center"/>
            <w:tcMar>
              <w:top w:w="100" w:type="dxa"/>
              <w:start w:w="120" w:type="dxa"/>
              <w:bottom w:w="100" w:type="dxa"/>
              <w:end w:w="120" w:type="dxa"/>
            </w:tcMar>
          </w:tcPr>
          <w:p>
            <w:r>
              <w:rPr>
                <w:sz w:val="17"/>
              </w:rPr>
              <w:t>сложность, ранг, порядок или тип</w:t>
            </w:r>
          </w:p>
        </w:tc>
        <w:tc>
          <w:tcPr>
            <w:tcW w:type="dxa" w:w="1800"/>
            <w:vAlign w:val="center"/>
            <w:tcMar>
              <w:top w:w="100" w:type="dxa"/>
              <w:start w:w="120" w:type="dxa"/>
              <w:bottom w:w="100" w:type="dxa"/>
              <w:end w:w="120" w:type="dxa"/>
            </w:tcMar>
          </w:tcPr>
          <w:p>
            <w:r>
              <w:rPr>
                <w:sz w:val="17"/>
              </w:rPr>
              <w:t>MODEL/COND</w:t>
            </w:r>
          </w:p>
        </w:tc>
      </w:tr>
      <w:tr>
        <w:trPr>
          <w:cantSplit/>
        </w:trPr>
        <w:tc>
          <w:tcPr>
            <w:tcW w:type="dxa" w:w="1656"/>
            <w:vAlign w:val="center"/>
            <w:tcMar>
              <w:top w:w="100" w:type="dxa"/>
              <w:start w:w="120" w:type="dxa"/>
              <w:bottom w:w="100" w:type="dxa"/>
              <w:end w:w="120" w:type="dxa"/>
            </w:tcMar>
            <w:shd w:fill="EAF1F8"/>
          </w:tcPr>
          <w:p>
            <w:r>
              <w:rPr>
                <w:sz w:val="17"/>
              </w:rPr>
              <w:t>Prov_B</w:t>
            </w:r>
          </w:p>
        </w:tc>
        <w:tc>
          <w:tcPr>
            <w:tcW w:type="dxa" w:w="1800"/>
            <w:vAlign w:val="center"/>
            <w:tcMar>
              <w:top w:w="100" w:type="dxa"/>
              <w:start w:w="120" w:type="dxa"/>
              <w:bottom w:w="100" w:type="dxa"/>
              <w:end w:w="120" w:type="dxa"/>
            </w:tcMar>
            <w:shd w:fill="EAF1F8"/>
          </w:tcPr>
          <w:p>
            <w:r>
              <w:rPr>
                <w:sz w:val="17"/>
              </w:rPr>
              <w:t>provenance functor</w:t>
            </w:r>
          </w:p>
        </w:tc>
        <w:tc>
          <w:tcPr>
            <w:tcW w:type="dxa" w:w="3672"/>
            <w:vAlign w:val="center"/>
            <w:tcMar>
              <w:top w:w="100" w:type="dxa"/>
              <w:start w:w="120" w:type="dxa"/>
              <w:bottom w:w="100" w:type="dxa"/>
              <w:end w:w="120" w:type="dxa"/>
            </w:tcMar>
            <w:shd w:fill="EAF1F8"/>
          </w:tcPr>
          <w:p>
            <w:r>
              <w:rPr>
                <w:sz w:val="17"/>
              </w:rPr>
              <w:t>источник, вычисление, представитель</w:t>
            </w:r>
          </w:p>
        </w:tc>
        <w:tc>
          <w:tcPr>
            <w:tcW w:type="dxa" w:w="1800"/>
            <w:vAlign w:val="center"/>
            <w:tcMar>
              <w:top w:w="100" w:type="dxa"/>
              <w:start w:w="120" w:type="dxa"/>
              <w:bottom w:w="100" w:type="dxa"/>
              <w:end w:w="120" w:type="dxa"/>
            </w:tcMar>
            <w:shd w:fill="EAF1F8"/>
          </w:tcPr>
          <w:p>
            <w:r>
              <w:rPr>
                <w:sz w:val="17"/>
              </w:rPr>
              <w:t>OPEN implementation</w:t>
            </w:r>
          </w:p>
        </w:tc>
      </w:tr>
      <w:tr>
        <w:trPr>
          <w:cantSplit/>
        </w:trPr>
        <w:tc>
          <w:tcPr>
            <w:tcW w:type="dxa" w:w="1656"/>
            <w:vAlign w:val="center"/>
            <w:tcMar>
              <w:top w:w="100" w:type="dxa"/>
              <w:start w:w="120" w:type="dxa"/>
              <w:bottom w:w="100" w:type="dxa"/>
              <w:end w:w="120" w:type="dxa"/>
            </w:tcMar>
          </w:tcPr>
          <w:p>
            <w:r>
              <w:rPr>
                <w:sz w:val="17"/>
              </w:rPr>
              <w:t>Dom_B</w:t>
            </w:r>
          </w:p>
        </w:tc>
        <w:tc>
          <w:tcPr>
            <w:tcW w:type="dxa" w:w="1800"/>
            <w:vAlign w:val="center"/>
            <w:tcMar>
              <w:top w:w="100" w:type="dxa"/>
              <w:start w:w="120" w:type="dxa"/>
              <w:bottom w:w="100" w:type="dxa"/>
              <w:end w:w="120" w:type="dxa"/>
            </w:tcMar>
          </w:tcPr>
          <w:p>
            <w:r>
              <w:rPr>
                <w:sz w:val="17"/>
              </w:rPr>
              <w:t>доменный слой</w:t>
            </w:r>
          </w:p>
        </w:tc>
        <w:tc>
          <w:tcPr>
            <w:tcW w:type="dxa" w:w="3672"/>
            <w:vAlign w:val="center"/>
            <w:tcMar>
              <w:top w:w="100" w:type="dxa"/>
              <w:start w:w="120" w:type="dxa"/>
              <w:bottom w:w="100" w:type="dxa"/>
              <w:end w:w="120" w:type="dxa"/>
            </w:tcMar>
          </w:tcPr>
          <w:p>
            <w:r>
              <w:rPr>
                <w:sz w:val="17"/>
              </w:rPr>
              <w:t>условия существования и применимости</w:t>
            </w:r>
          </w:p>
        </w:tc>
        <w:tc>
          <w:tcPr>
            <w:tcW w:type="dxa" w:w="1800"/>
            <w:vAlign w:val="center"/>
            <w:tcMar>
              <w:top w:w="100" w:type="dxa"/>
              <w:start w:w="120" w:type="dxa"/>
              <w:bottom w:w="100" w:type="dxa"/>
              <w:end w:w="120" w:type="dxa"/>
            </w:tcMar>
          </w:tcPr>
          <w:p>
            <w:r>
              <w:rPr>
                <w:sz w:val="17"/>
              </w:rPr>
              <w:t>обязательный barrier</w:t>
            </w:r>
          </w:p>
        </w:tc>
      </w:tr>
    </w:tbl>
    <w:p/>
    <w:p>
      <w:pPr>
        <w:pStyle w:val="Heading2"/>
        <w:keepNext/>
      </w:pPr>
      <w:r>
        <w:t>116.2. Нулевая секция и ненулевая часть</w:t>
      </w:r>
    </w:p>
    <w:p>
      <w:bookmarkStart w:id="1783" w:name="f_14_3"/>
      <w:pPr>
        <w:pStyle w:val="Quote"/>
        <w:jc w:val="center"/>
      </w:pPr>
      <w:r>
        <w:rPr>
          <w:rFonts w:ascii="Cambria Math" w:hAnsi="Cambria Math"/>
          <w:sz w:val="22"/>
        </w:rPr>
        <w:t>O_B^× = O_B \ {0_B}.</w:t>
      </w:r>
      <w:r>
        <w:t xml:space="preserve">    (14.3)</w:t>
      </w:r>
      <w:bookmarkEnd w:id="1783"/>
    </w:p>
    <w:p>
      <w:r>
        <w:t>Проективизация определена только на ненулевой части. Поэтому нулевой класс не является одной из точек P(O_B), не является пределом, выбранным без топологии, и не может быть восстановлен из одной projective coordinate.</w:t>
      </w:r>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FCE4D6"/>
          </w:tcPr>
          <w:p>
            <w:r>
              <w:rPr>
                <w:b/>
                <w:color w:val="1F4E79"/>
                <w:sz w:val="21"/>
              </w:rPr>
              <w:t>ТЕОРЕМА 14.1. ZERO-LOSS NO-GO</w:t>
            </w:r>
          </w:p>
          <w:p>
            <w:pPr>
              <w:spacing w:after="0"/>
            </w:pPr>
            <w:r>
              <w:rPr>
                <w:sz w:val="19"/>
              </w:rPr>
              <w:t>Не существует отображения z:P(O_B)→O_B, которое одновременно было бы естественным по всем линейным изоморфизмам, выбирало ненулевого представителя каждой projective point и восстанавливало нулевой класс. Нуль удалён из области факторизации, а естественный выбор масштаба противоречит действию скаляров.</w:t>
            </w:r>
          </w:p>
        </w:tc>
      </w:tr>
    </w:tbl>
    <w:p/>
    <w:p>
      <w:bookmarkStart w:id="1044" w:name="h_1651"/>
      <w:pPr>
        <w:pStyle w:val="Heading1"/>
        <w:keepNext/>
      </w:pPr>
      <w:r>
        <w:t>117. Проективизация пространства препятствий</w:t>
      </w:r>
      <w:bookmarkEnd w:id="1044"/>
    </w:p>
    <w:p>
      <w:pPr>
        <w:pStyle w:val="Heading2"/>
        <w:keepNext/>
      </w:pPr>
      <w:r>
        <w:t>117.1. Определение и эквивалентность</w:t>
      </w:r>
    </w:p>
    <w:p>
      <w:bookmarkStart w:id="1784" w:name="f_14_4"/>
      <w:pPr>
        <w:pStyle w:val="Quote"/>
        <w:jc w:val="center"/>
      </w:pPr>
      <w:r>
        <w:rPr>
          <w:rFonts w:ascii="Cambria Math" w:hAnsi="Cambria Math"/>
          <w:sz w:val="22"/>
        </w:rPr>
        <w:t>P(O_B) = O_B^× / K^×,    o ~ o′ ⇔ ∃a∈K^×: o′=ao.</w:t>
      </w:r>
      <w:r>
        <w:t xml:space="preserve">    (14.4)</w:t>
      </w:r>
      <w:bookmarkEnd w:id="1784"/>
    </w:p>
    <w:p>
      <w:r>
        <w:t>Точка [o] есть одномерное подпространство K·o. Если dim_K O_B=n+1, то после выбора базиса P(O_B)≅P^n(K). Выбор базиса не является частью канонического объекта и должен быть отмечен в вычислительном сертификате.</w:t>
      </w:r>
    </w:p>
    <w:p>
      <w:pPr>
        <w:jc w:val="center"/>
      </w:pPr>
      <w:r>
        <w:drawing>
          <wp:inline xmlns:a="http://schemas.openxmlformats.org/drawingml/2006/main" xmlns:pic="http://schemas.openxmlformats.org/drawingml/2006/picture">
            <wp:extent cx="5943600" cy="3593044"/>
            <wp:docPr id="33" name="Picture 33" descr="Рисунок 14.1. Векторный носитель, projectivization и обязательный аудит потери информации." title="Рисунок 14.1. Векторный носитель, projectivization и обязательный аудит потери информации."/>
            <wp:cNvGraphicFramePr>
              <a:graphicFrameLocks noChangeAspect="1"/>
            </wp:cNvGraphicFramePr>
            <a:graphic>
              <a:graphicData uri="http://schemas.openxmlformats.org/drawingml/2006/picture">
                <pic:pic>
                  <pic:nvPicPr>
                    <pic:cNvPr id="0" name="carrier_gates.png" descr="Рисунок 14.1. Векторный носитель, projectivization и обязательный аудит потери информации." title="Рисунок 14.1. Векторный носитель, projectivization и обязательный аудит потери информации."/>
                    <pic:cNvPicPr/>
                  </pic:nvPicPr>
                  <pic:blipFill>
                    <a:blip r:embed="rId60"/>
                    <a:stretch>
                      <a:fillRect/>
                    </a:stretch>
                  </pic:blipFill>
                  <pic:spPr>
                    <a:xfrm>
                      <a:off x="0" y="0"/>
                      <a:ext cx="5943600" cy="3593044"/>
                    </a:xfrm>
                    <a:prstGeom prst="rect"/>
                  </pic:spPr>
                </pic:pic>
              </a:graphicData>
            </a:graphic>
          </wp:inline>
        </w:drawing>
      </w:r>
    </w:p>
    <w:p>
      <w:pPr>
        <w:pStyle w:val="Caption"/>
        <w:keepNext/>
        <w:jc w:val="center"/>
      </w:pPr>
      <w:r>
        <w:t>Рисунок 14.1. Векторный носитель, projectivization и обязательный аудит потери информации.</w:t>
      </w:r>
    </w:p>
    <w:p>
      <w:pPr>
        <w:pStyle w:val="Heading2"/>
        <w:keepNext/>
      </w:pPr>
      <w:r>
        <w:t>117.2. Функториальность и частичность</w:t>
      </w:r>
    </w:p>
    <w:p>
      <w:r>
        <w:t>Линейная карта f:O→O′ индуцирует projective map только на тех направлениях, которые не попадают в ker f:</w:t>
      </w:r>
    </w:p>
    <w:p>
      <w:bookmarkStart w:id="1785" w:name="f_14_5"/>
      <w:pPr>
        <w:pStyle w:val="Quote"/>
        <w:jc w:val="center"/>
      </w:pPr>
      <w:r>
        <w:rPr>
          <w:rFonts w:ascii="Cambria Math" w:hAnsi="Cambria Math"/>
          <w:sz w:val="22"/>
        </w:rPr>
        <w:t>P(f): P(O) \ P(ker f) → P(O′),    [o] ↦ [f(o)].</w:t>
      </w:r>
      <w:r>
        <w:t xml:space="preserve">    (14.5)</w:t>
      </w:r>
      <w:bookmarkEnd w:id="1785"/>
    </w:p>
    <w:p>
      <w:r>
        <w:t>Следовательно, projectivization является функториальной для линейных изоморфизмов и инъекций, но для произвольных линейных карт естественно возникает рациональная, то есть частично определённая, карта.</w:t>
      </w:r>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DCE6F1"/>
          </w:tcPr>
          <w:p>
            <w:r>
              <w:rPr>
                <w:b/>
                <w:color w:val="1F4E79"/>
                <w:sz w:val="21"/>
              </w:rPr>
              <w:t>ТЕОРЕМА 14.2. PROJECTIVE DOMAIN THEOREM</w:t>
            </w:r>
          </w:p>
          <w:p>
            <w:pPr>
              <w:spacing w:after="0"/>
            </w:pPr>
            <w:r>
              <w:rPr>
                <w:sz w:val="19"/>
              </w:rPr>
              <w:t>Область определения P(f) равна P(O)\P(ker f). Если f инъективно, P(f) определено всюду. Если f имеет ненулевое ядро, направления ядра превращаются не в нулевую projective point, а в точки неопределённости.</w:t>
            </w:r>
          </w:p>
        </w:tc>
      </w:tr>
    </w:tbl>
    <w:p/>
    <w:p>
      <w:pPr>
        <w:pStyle w:val="Heading2"/>
        <w:keepNext/>
      </w:pPr>
      <w:r>
        <w:t>117.3. Точная потеря информации</w:t>
      </w:r>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2232"/>
            <w:shd w:fill="1F4E78"/>
            <w:vAlign w:val="center"/>
            <w:tcMar>
              <w:top w:w="100" w:type="dxa"/>
              <w:start w:w="120" w:type="dxa"/>
              <w:bottom w:w="100" w:type="dxa"/>
              <w:end w:w="120" w:type="dxa"/>
            </w:tcMar>
          </w:tcPr>
          <w:p>
            <w:r>
              <w:rPr>
                <w:b/>
                <w:color w:val="FFFFFF"/>
                <w:sz w:val="18"/>
              </w:rPr>
              <w:t>Данные в O_B</w:t>
            </w:r>
          </w:p>
        </w:tc>
        <w:tc>
          <w:tcPr>
            <w:tcW w:type="dxa" w:w="2088"/>
            <w:shd w:fill="1F4E78"/>
            <w:vAlign w:val="center"/>
            <w:tcMar>
              <w:top w:w="100" w:type="dxa"/>
              <w:start w:w="120" w:type="dxa"/>
              <w:bottom w:w="100" w:type="dxa"/>
              <w:end w:w="120" w:type="dxa"/>
            </w:tcMar>
          </w:tcPr>
          <w:p>
            <w:r>
              <w:rPr>
                <w:b/>
                <w:color w:val="FFFFFF"/>
                <w:sz w:val="18"/>
              </w:rPr>
              <w:t>Сохраняются в P(O_B)?</w:t>
            </w:r>
          </w:p>
        </w:tc>
        <w:tc>
          <w:tcPr>
            <w:tcW w:type="dxa" w:w="4608"/>
            <w:shd w:fill="1F4E78"/>
            <w:vAlign w:val="center"/>
            <w:tcMar>
              <w:top w:w="100" w:type="dxa"/>
              <w:start w:w="120" w:type="dxa"/>
              <w:bottom w:w="100" w:type="dxa"/>
              <w:end w:w="120" w:type="dxa"/>
            </w:tcMar>
          </w:tcPr>
          <w:p>
            <w:r>
              <w:rPr>
                <w:b/>
                <w:color w:val="FFFFFF"/>
                <w:sz w:val="18"/>
              </w:rPr>
              <w:t>Что требуется для восстановления</w:t>
            </w:r>
          </w:p>
        </w:tc>
      </w:tr>
      <w:tr>
        <w:trPr>
          <w:cantSplit/>
        </w:trPr>
        <w:tc>
          <w:tcPr>
            <w:tcW w:type="dxa" w:w="2232"/>
            <w:vAlign w:val="center"/>
            <w:tcMar>
              <w:top w:w="100" w:type="dxa"/>
              <w:start w:w="120" w:type="dxa"/>
              <w:bottom w:w="100" w:type="dxa"/>
              <w:end w:w="120" w:type="dxa"/>
            </w:tcMar>
          </w:tcPr>
          <w:p>
            <w:r>
              <w:rPr>
                <w:sz w:val="17"/>
              </w:rPr>
              <w:t>нулевой/ненулевой статус</w:t>
            </w:r>
          </w:p>
        </w:tc>
        <w:tc>
          <w:tcPr>
            <w:tcW w:type="dxa" w:w="2088"/>
            <w:vAlign w:val="center"/>
            <w:tcMar>
              <w:top w:w="100" w:type="dxa"/>
              <w:start w:w="120" w:type="dxa"/>
              <w:bottom w:w="100" w:type="dxa"/>
              <w:end w:w="120" w:type="dxa"/>
            </w:tcMar>
          </w:tcPr>
          <w:p>
            <w:r>
              <w:rPr>
                <w:sz w:val="17"/>
              </w:rPr>
              <w:t>нет для нулевого класса</w:t>
            </w:r>
          </w:p>
        </w:tc>
        <w:tc>
          <w:tcPr>
            <w:tcW w:type="dxa" w:w="4608"/>
            <w:vAlign w:val="center"/>
            <w:tcMar>
              <w:top w:w="100" w:type="dxa"/>
              <w:start w:w="120" w:type="dxa"/>
              <w:bottom w:w="100" w:type="dxa"/>
              <w:end w:w="120" w:type="dxa"/>
            </w:tcMar>
          </w:tcPr>
          <w:p>
            <w:r>
              <w:rPr>
                <w:sz w:val="17"/>
              </w:rPr>
              <w:t>отдельный ZERO-флаг</w:t>
            </w:r>
          </w:p>
        </w:tc>
      </w:tr>
      <w:tr>
        <w:trPr>
          <w:cantSplit/>
        </w:trPr>
        <w:tc>
          <w:tcPr>
            <w:tcW w:type="dxa" w:w="2232"/>
            <w:vAlign w:val="center"/>
            <w:tcMar>
              <w:top w:w="100" w:type="dxa"/>
              <w:start w:w="120" w:type="dxa"/>
              <w:bottom w:w="100" w:type="dxa"/>
              <w:end w:w="120" w:type="dxa"/>
            </w:tcMar>
            <w:shd w:fill="EAF1F8"/>
          </w:tcPr>
          <w:p>
            <w:r>
              <w:rPr>
                <w:sz w:val="17"/>
              </w:rPr>
              <w:t>направление K·o</w:t>
            </w:r>
          </w:p>
        </w:tc>
        <w:tc>
          <w:tcPr>
            <w:tcW w:type="dxa" w:w="2088"/>
            <w:vAlign w:val="center"/>
            <w:tcMar>
              <w:top w:w="100" w:type="dxa"/>
              <w:start w:w="120" w:type="dxa"/>
              <w:bottom w:w="100" w:type="dxa"/>
              <w:end w:w="120" w:type="dxa"/>
            </w:tcMar>
            <w:shd w:fill="EAF1F8"/>
          </w:tcPr>
          <w:p>
            <w:r>
              <w:rPr>
                <w:sz w:val="17"/>
              </w:rPr>
              <w:t>да</w:t>
            </w:r>
          </w:p>
        </w:tc>
        <w:tc>
          <w:tcPr>
            <w:tcW w:type="dxa" w:w="4608"/>
            <w:vAlign w:val="center"/>
            <w:tcMar>
              <w:top w:w="100" w:type="dxa"/>
              <w:start w:w="120" w:type="dxa"/>
              <w:bottom w:w="100" w:type="dxa"/>
              <w:end w:w="120" w:type="dxa"/>
            </w:tcMar>
            <w:shd w:fill="EAF1F8"/>
          </w:tcPr>
          <w:p>
            <w:r>
              <w:rPr>
                <w:sz w:val="17"/>
              </w:rPr>
              <w:t>ничего</w:t>
            </w:r>
          </w:p>
        </w:tc>
      </w:tr>
      <w:tr>
        <w:trPr>
          <w:cantSplit/>
        </w:trPr>
        <w:tc>
          <w:tcPr>
            <w:tcW w:type="dxa" w:w="2232"/>
            <w:vAlign w:val="center"/>
            <w:tcMar>
              <w:top w:w="100" w:type="dxa"/>
              <w:start w:w="120" w:type="dxa"/>
              <w:bottom w:w="100" w:type="dxa"/>
              <w:end w:w="120" w:type="dxa"/>
            </w:tcMar>
          </w:tcPr>
          <w:p>
            <w:r>
              <w:rPr>
                <w:sz w:val="17"/>
              </w:rPr>
              <w:t>абсолютный масштаб ||o||</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метрика + нормировка</w:t>
            </w:r>
          </w:p>
        </w:tc>
      </w:tr>
      <w:tr>
        <w:trPr>
          <w:cantSplit/>
        </w:trPr>
        <w:tc>
          <w:tcPr>
            <w:tcW w:type="dxa" w:w="2232"/>
            <w:vAlign w:val="center"/>
            <w:tcMar>
              <w:top w:w="100" w:type="dxa"/>
              <w:start w:w="120" w:type="dxa"/>
              <w:bottom w:w="100" w:type="dxa"/>
              <w:end w:w="120" w:type="dxa"/>
            </w:tcMar>
            <w:shd w:fill="EAF1F8"/>
          </w:tcPr>
          <w:p>
            <w:r>
              <w:rPr>
                <w:sz w:val="17"/>
              </w:rPr>
              <w:t>знак над R</w:t>
            </w:r>
          </w:p>
        </w:tc>
        <w:tc>
          <w:tcPr>
            <w:tcW w:type="dxa" w:w="2088"/>
            <w:vAlign w:val="center"/>
            <w:tcMar>
              <w:top w:w="100" w:type="dxa"/>
              <w:start w:w="120" w:type="dxa"/>
              <w:bottom w:w="100" w:type="dxa"/>
              <w:end w:w="120" w:type="dxa"/>
            </w:tcMar>
            <w:shd w:fill="EAF1F8"/>
          </w:tcPr>
          <w:p>
            <w:r>
              <w:rPr>
                <w:sz w:val="17"/>
              </w:rPr>
              <w:t>нет: [o]=[-o]</w:t>
            </w:r>
          </w:p>
        </w:tc>
        <w:tc>
          <w:tcPr>
            <w:tcW w:type="dxa" w:w="4608"/>
            <w:vAlign w:val="center"/>
            <w:tcMar>
              <w:top w:w="100" w:type="dxa"/>
              <w:start w:w="120" w:type="dxa"/>
              <w:bottom w:w="100" w:type="dxa"/>
              <w:end w:w="120" w:type="dxa"/>
            </w:tcMar>
            <w:shd w:fill="EAF1F8"/>
          </w:tcPr>
          <w:p>
            <w:r>
              <w:rPr>
                <w:sz w:val="17"/>
              </w:rPr>
              <w:t>ориентированная двойная накрывающая</w:t>
            </w:r>
          </w:p>
        </w:tc>
      </w:tr>
      <w:tr>
        <w:trPr>
          <w:cantSplit/>
        </w:trPr>
        <w:tc>
          <w:tcPr>
            <w:tcW w:type="dxa" w:w="2232"/>
            <w:vAlign w:val="center"/>
            <w:tcMar>
              <w:top w:w="100" w:type="dxa"/>
              <w:start w:w="120" w:type="dxa"/>
              <w:bottom w:w="100" w:type="dxa"/>
              <w:end w:w="120" w:type="dxa"/>
            </w:tcMar>
          </w:tcPr>
          <w:p>
            <w:r>
              <w:rPr>
                <w:sz w:val="17"/>
              </w:rPr>
              <w:t>фаза над C</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выбор U(1)-калибровки</w:t>
            </w:r>
          </w:p>
        </w:tc>
      </w:tr>
      <w:tr>
        <w:trPr>
          <w:cantSplit/>
        </w:trPr>
        <w:tc>
          <w:tcPr>
            <w:tcW w:type="dxa" w:w="2232"/>
            <w:vAlign w:val="center"/>
            <w:tcMar>
              <w:top w:w="100" w:type="dxa"/>
              <w:start w:w="120" w:type="dxa"/>
              <w:bottom w:w="100" w:type="dxa"/>
              <w:end w:w="120" w:type="dxa"/>
            </w:tcMar>
            <w:shd w:fill="EAF1F8"/>
          </w:tcPr>
          <w:p>
            <w:r>
              <w:rPr>
                <w:sz w:val="17"/>
              </w:rPr>
              <w:t>provenance представителя</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Evidence-D/Prov_B</w:t>
            </w:r>
          </w:p>
        </w:tc>
      </w:tr>
      <w:tr>
        <w:trPr>
          <w:cantSplit/>
        </w:trPr>
        <w:tc>
          <w:tcPr>
            <w:tcW w:type="dxa" w:w="2232"/>
            <w:vAlign w:val="center"/>
            <w:tcMar>
              <w:top w:w="100" w:type="dxa"/>
              <w:start w:w="120" w:type="dxa"/>
              <w:bottom w:w="100" w:type="dxa"/>
              <w:end w:w="120" w:type="dxa"/>
            </w:tcMar>
          </w:tcPr>
          <w:p>
            <w:r>
              <w:rPr>
                <w:sz w:val="17"/>
              </w:rPr>
              <w:t>конкретный lift</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торсор подъёмов H²(C_min)</w:t>
            </w:r>
          </w:p>
        </w:tc>
      </w:tr>
      <w:tr>
        <w:trPr>
          <w:cantSplit/>
        </w:trPr>
        <w:tc>
          <w:tcPr>
            <w:tcW w:type="dxa" w:w="2232"/>
            <w:vAlign w:val="center"/>
            <w:tcMar>
              <w:top w:w="100" w:type="dxa"/>
              <w:start w:w="120" w:type="dxa"/>
              <w:bottom w:w="100" w:type="dxa"/>
              <w:end w:w="120" w:type="dxa"/>
            </w:tcMar>
            <w:shd w:fill="EAF1F8"/>
          </w:tcPr>
          <w:p>
            <w:r>
              <w:rPr>
                <w:sz w:val="17"/>
              </w:rPr>
              <w:t>домен применимости</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Dom-сертификат</w:t>
            </w:r>
          </w:p>
        </w:tc>
      </w:tr>
    </w:tbl>
    <w:p/>
    <w:p>
      <w:bookmarkStart w:id="1045" w:name="h_1664"/>
      <w:pPr>
        <w:pStyle w:val="Heading1"/>
        <w:keepNext/>
      </w:pPr>
      <w:r>
        <w:t>118. Нормированные и ориентированные носители</w:t>
      </w:r>
      <w:bookmarkEnd w:id="1045"/>
    </w:p>
    <w:p>
      <w:pPr>
        <w:pStyle w:val="Heading2"/>
        <w:keepNext/>
      </w:pPr>
      <w:r>
        <w:t>118.1. Сферическое представление</w:t>
      </w:r>
    </w:p>
    <w:p>
      <w:r>
        <w:t>После выбора положительно определённого скалярного произведения всякая ненулевая projective point допускает нормированных представителей. Над R получаем двойное накрытие:</w:t>
      </w:r>
    </w:p>
    <w:p>
      <w:bookmarkStart w:id="1786" w:name="f_14_6"/>
      <w:pPr>
        <w:pStyle w:val="Quote"/>
        <w:jc w:val="center"/>
      </w:pPr>
      <w:r>
        <w:rPr>
          <w:rFonts w:ascii="Cambria Math" w:hAnsi="Cambria Math"/>
          <w:sz w:val="22"/>
        </w:rPr>
        <w:t>S(O_B) → P(O_B),    u ↦ [u],    fibre={u,-u}.</w:t>
      </w:r>
      <w:r>
        <w:t xml:space="preserve">    (14.6)</w:t>
      </w:r>
      <w:bookmarkEnd w:id="1786"/>
    </w:p>
    <w:p>
      <w:r>
        <w:t>Нормировка восстанавливает модуль, но не знак. Над C волокно имеет вид U(1), поэтому требуется фазовая калибровка.</w:t>
      </w:r>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FFF2CC"/>
          </w:tcPr>
          <w:p>
            <w:r>
              <w:rPr>
                <w:b/>
                <w:color w:val="1F4E79"/>
                <w:sz w:val="21"/>
              </w:rPr>
              <w:t>КОНТРПРИМЕР 14.A</w:t>
            </w:r>
          </w:p>
          <w:p>
            <w:pPr>
              <w:spacing w:after="0"/>
            </w:pPr>
            <w:r>
              <w:rPr>
                <w:sz w:val="19"/>
              </w:rPr>
              <w:t>В R² векторы (1,0), (2,0) и (-7,0) задают одну projective point. Их нормы и знаки различны. Следовательно, projective coincidence не равна количественному совпадению препятствий.</w:t>
            </w:r>
          </w:p>
        </w:tc>
      </w:tr>
    </w:tbl>
    <w:p/>
    <w:p>
      <w:pPr>
        <w:pStyle w:val="Heading2"/>
        <w:keepNext/>
      </w:pPr>
      <w:r>
        <w:t>118.2. Projective metric</w:t>
      </w:r>
    </w:p>
    <w:p>
      <w:bookmarkStart w:id="1787" w:name="f_14_7"/>
      <w:pPr>
        <w:pStyle w:val="Quote"/>
        <w:jc w:val="center"/>
      </w:pPr>
      <w:r>
        <w:rPr>
          <w:rFonts w:ascii="Cambria Math" w:hAnsi="Cambria Math"/>
          <w:sz w:val="22"/>
        </w:rPr>
        <w:t>d_P([u],[v]) = arccos( |⟨u,v⟩| / (||u||·||v||) ).</w:t>
      </w:r>
      <w:r>
        <w:t xml:space="preserve">    (14.7)</w:t>
      </w:r>
      <w:bookmarkEnd w:id="1787"/>
    </w:p>
    <w:p>
      <w:r>
        <w:t>Эта метрика измеряет угол между направлениями и инвариантна относительно ненулевого масштабирования. Она не контролирует расстояние ||u-v|| без дополнительных ограничений на нормы.</w:t>
      </w:r>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DCE6F1"/>
          </w:tcPr>
          <w:p>
            <w:r>
              <w:rPr>
                <w:b/>
                <w:color w:val="1F4E79"/>
                <w:sz w:val="21"/>
              </w:rPr>
              <w:t>ЛЕММА 14.3. ANGULAR STABILITY</w:t>
            </w:r>
          </w:p>
          <w:p>
            <w:pPr>
              <w:spacing w:after="0"/>
            </w:pPr>
            <w:r>
              <w:rPr>
                <w:sz w:val="19"/>
              </w:rPr>
              <w:t>Если ||u||,||v||≥m&gt;0 и ||u-v||≤ε&lt;m, то d_P([u],[v])≤2arcsin(ε/(2m)). Обратное утверждение без контроля норм ложно.</w:t>
            </w:r>
          </w:p>
        </w:tc>
      </w:tr>
    </w:tbl>
    <w:p/>
    <w:p>
      <w:bookmarkStart w:id="1046" w:name="h_1674"/>
      <w:pPr>
        <w:pStyle w:val="Heading1"/>
        <w:keepNext/>
      </w:pPr>
      <w:r>
        <w:t>119. Стратификация obstruction carrier</w:t>
      </w:r>
      <w:bookmarkEnd w:id="1046"/>
    </w:p>
    <w:p>
      <w:pPr>
        <w:pStyle w:val="Heading2"/>
        <w:keepNext/>
      </w:pPr>
      <w:r>
        <w:t>119.1. Ранговые страты</w:t>
      </w:r>
    </w:p>
    <w:p>
      <w:r>
        <w:t>Пусть препятствие кодируется матрицей A(o) или конечным семейством линейных операторов, определённым выбранной моделью. Для каждого r вводится страта</w:t>
      </w:r>
    </w:p>
    <w:p>
      <w:bookmarkStart w:id="1788" w:name="f_14_8"/>
      <w:pPr>
        <w:pStyle w:val="Quote"/>
        <w:jc w:val="center"/>
      </w:pPr>
      <w:r>
        <w:rPr>
          <w:rFonts w:ascii="Cambria Math" w:hAnsi="Cambria Math"/>
          <w:sz w:val="22"/>
        </w:rPr>
        <w:t>S_r = { [o]∈P(O_B) : rank A(o)=r }.</w:t>
      </w:r>
      <w:r>
        <w:t xml:space="preserve">    (14.8)</w:t>
      </w:r>
      <w:bookmarkEnd w:id="1788"/>
    </w:p>
    <w:p>
      <w:r>
        <w:t>Ранг является projectively well-defined, если A(ao)=a^mA(o) для некоторой степени m и a≠0. В противном случае ранговая стратификация зависит от представителя и не допускается.</w:t>
      </w:r>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DCE6F1"/>
          </w:tcPr>
          <w:p>
            <w:r>
              <w:rPr>
                <w:b/>
                <w:color w:val="1F4E79"/>
                <w:sz w:val="21"/>
              </w:rPr>
              <w:t>ЛЕММА 14.4. HOMOGENEITY CRITERION</w:t>
            </w:r>
          </w:p>
          <w:p>
            <w:pPr>
              <w:spacing w:after="0"/>
            </w:pPr>
            <w:r>
              <w:rPr>
                <w:sz w:val="19"/>
              </w:rPr>
              <w:t>Функция или тип τ(o) спускается на P(O_B) тогда и только тогда, когда τ(ao)=τ(o) для всех a∈K^×. Для числовой функции достаточна однородность степени 0; однородность ненулевой степени требует последующей нормировки.</w:t>
            </w:r>
          </w:p>
        </w:tc>
      </w:tr>
    </w:tbl>
    <w:p/>
    <w:p>
      <w:pPr>
        <w:pStyle w:val="Heading2"/>
        <w:keepNext/>
      </w:pPr>
      <w:r>
        <w:t>119.2. Орбитные типы</w:t>
      </w:r>
    </w:p>
    <w:p>
      <w:r>
        <w:t>Если алгебраическая группа G действует линейно на O_B, то она действует на P(O_B). Для [o] определяется стабилизатор</w:t>
      </w:r>
    </w:p>
    <w:p>
      <w:bookmarkStart w:id="1789" w:name="f_14_9"/>
      <w:pPr>
        <w:pStyle w:val="Quote"/>
        <w:jc w:val="center"/>
      </w:pPr>
      <w:r>
        <w:rPr>
          <w:rFonts w:ascii="Cambria Math" w:hAnsi="Cambria Math"/>
          <w:sz w:val="22"/>
        </w:rPr>
        <w:t>G_[o] = { g∈G : g·o ∈ K^×o }.</w:t>
      </w:r>
      <w:r>
        <w:t xml:space="preserve">    (14.9)</w:t>
      </w:r>
      <w:bookmarkEnd w:id="1789"/>
    </w:p>
    <w:p>
      <w:r>
        <w:t>Страта орбитного типа объединяет точки с сопряжёнными стабилизаторами. Изменение orbit type является кандидатом структурной бифуркации, но не физическим переходом.</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512"/>
            <w:shd w:fill="1F4E78"/>
            <w:vAlign w:val="center"/>
            <w:tcMar>
              <w:top w:w="100" w:type="dxa"/>
              <w:start w:w="120" w:type="dxa"/>
              <w:bottom w:w="100" w:type="dxa"/>
              <w:end w:w="120" w:type="dxa"/>
            </w:tcMar>
          </w:tcPr>
          <w:p>
            <w:r>
              <w:rPr>
                <w:b/>
                <w:color w:val="FFFFFF"/>
                <w:sz w:val="18"/>
              </w:rPr>
              <w:t>Страта</w:t>
            </w:r>
          </w:p>
        </w:tc>
        <w:tc>
          <w:tcPr>
            <w:tcW w:type="dxa" w:w="2016"/>
            <w:shd w:fill="1F4E78"/>
            <w:vAlign w:val="center"/>
            <w:tcMar>
              <w:top w:w="100" w:type="dxa"/>
              <w:start w:w="120" w:type="dxa"/>
              <w:bottom w:w="100" w:type="dxa"/>
              <w:end w:w="120" w:type="dxa"/>
            </w:tcMar>
          </w:tcPr>
          <w:p>
            <w:r>
              <w:rPr>
                <w:b/>
                <w:color w:val="FFFFFF"/>
                <w:sz w:val="18"/>
              </w:rPr>
              <w:t>Инвариант</w:t>
            </w:r>
          </w:p>
        </w:tc>
        <w:tc>
          <w:tcPr>
            <w:tcW w:type="dxa" w:w="3168"/>
            <w:shd w:fill="1F4E78"/>
            <w:vAlign w:val="center"/>
            <w:tcMar>
              <w:top w:w="100" w:type="dxa"/>
              <w:start w:w="120" w:type="dxa"/>
              <w:bottom w:w="100" w:type="dxa"/>
              <w:end w:w="120" w:type="dxa"/>
            </w:tcMar>
          </w:tcPr>
          <w:p>
            <w:r>
              <w:rPr>
                <w:b/>
                <w:color w:val="FFFFFF"/>
                <w:sz w:val="18"/>
              </w:rPr>
              <w:t>Смысл</w:t>
            </w:r>
          </w:p>
        </w:tc>
        <w:tc>
          <w:tcPr>
            <w:tcW w:type="dxa" w:w="2880"/>
            <w:shd w:fill="1F4E78"/>
            <w:vAlign w:val="center"/>
            <w:tcMar>
              <w:top w:w="100" w:type="dxa"/>
              <w:start w:w="120" w:type="dxa"/>
              <w:bottom w:w="100" w:type="dxa"/>
              <w:end w:w="120" w:type="dxa"/>
            </w:tcMar>
          </w:tcPr>
          <w:p>
            <w:r>
              <w:rPr>
                <w:b/>
                <w:color w:val="FFFFFF"/>
                <w:sz w:val="18"/>
              </w:rPr>
              <w:t>Опасность</w:t>
            </w:r>
          </w:p>
        </w:tc>
      </w:tr>
      <w:tr>
        <w:trPr>
          <w:cantSplit/>
        </w:trPr>
        <w:tc>
          <w:tcPr>
            <w:tcW w:type="dxa" w:w="1512"/>
            <w:vAlign w:val="center"/>
            <w:tcMar>
              <w:top w:w="100" w:type="dxa"/>
              <w:start w:w="120" w:type="dxa"/>
              <w:bottom w:w="100" w:type="dxa"/>
              <w:end w:w="120" w:type="dxa"/>
            </w:tcMar>
          </w:tcPr>
          <w:p>
            <w:r>
              <w:rPr>
                <w:sz w:val="17"/>
              </w:rPr>
              <w:t>S_rank</w:t>
            </w:r>
          </w:p>
        </w:tc>
        <w:tc>
          <w:tcPr>
            <w:tcW w:type="dxa" w:w="2016"/>
            <w:vAlign w:val="center"/>
            <w:tcMar>
              <w:top w:w="100" w:type="dxa"/>
              <w:start w:w="120" w:type="dxa"/>
              <w:bottom w:w="100" w:type="dxa"/>
              <w:end w:w="120" w:type="dxa"/>
            </w:tcMar>
          </w:tcPr>
          <w:p>
            <w:r>
              <w:rPr>
                <w:sz w:val="17"/>
              </w:rPr>
              <w:t>rank A(o)</w:t>
            </w:r>
          </w:p>
        </w:tc>
        <w:tc>
          <w:tcPr>
            <w:tcW w:type="dxa" w:w="3168"/>
            <w:vAlign w:val="center"/>
            <w:tcMar>
              <w:top w:w="100" w:type="dxa"/>
              <w:start w:w="120" w:type="dxa"/>
              <w:bottom w:w="100" w:type="dxa"/>
              <w:end w:w="120" w:type="dxa"/>
            </w:tcMar>
          </w:tcPr>
          <w:p>
            <w:r>
              <w:rPr>
                <w:sz w:val="17"/>
              </w:rPr>
              <w:t>алгебраическая сложность</w:t>
            </w:r>
          </w:p>
        </w:tc>
        <w:tc>
          <w:tcPr>
            <w:tcW w:type="dxa" w:w="2880"/>
            <w:vAlign w:val="center"/>
            <w:tcMar>
              <w:top w:w="100" w:type="dxa"/>
              <w:start w:w="120" w:type="dxa"/>
              <w:bottom w:w="100" w:type="dxa"/>
              <w:end w:w="120" w:type="dxa"/>
            </w:tcMar>
          </w:tcPr>
          <w:p>
            <w:r>
              <w:rPr>
                <w:sz w:val="17"/>
              </w:rPr>
              <w:t>зависимость от неоднородного кодирования</w:t>
            </w:r>
          </w:p>
        </w:tc>
      </w:tr>
      <w:tr>
        <w:trPr>
          <w:cantSplit/>
        </w:trPr>
        <w:tc>
          <w:tcPr>
            <w:tcW w:type="dxa" w:w="1512"/>
            <w:vAlign w:val="center"/>
            <w:tcMar>
              <w:top w:w="100" w:type="dxa"/>
              <w:start w:w="120" w:type="dxa"/>
              <w:bottom w:w="100" w:type="dxa"/>
              <w:end w:w="120" w:type="dxa"/>
            </w:tcMar>
            <w:shd w:fill="EAF1F8"/>
          </w:tcPr>
          <w:p>
            <w:r>
              <w:rPr>
                <w:sz w:val="17"/>
              </w:rPr>
              <w:t>S_orbit</w:t>
            </w:r>
          </w:p>
        </w:tc>
        <w:tc>
          <w:tcPr>
            <w:tcW w:type="dxa" w:w="2016"/>
            <w:vAlign w:val="center"/>
            <w:tcMar>
              <w:top w:w="100" w:type="dxa"/>
              <w:start w:w="120" w:type="dxa"/>
              <w:bottom w:w="100" w:type="dxa"/>
              <w:end w:w="120" w:type="dxa"/>
            </w:tcMar>
            <w:shd w:fill="EAF1F8"/>
          </w:tcPr>
          <w:p>
            <w:r>
              <w:rPr>
                <w:sz w:val="17"/>
              </w:rPr>
              <w:t>[G_[o]]</w:t>
            </w:r>
          </w:p>
        </w:tc>
        <w:tc>
          <w:tcPr>
            <w:tcW w:type="dxa" w:w="3168"/>
            <w:vAlign w:val="center"/>
            <w:tcMar>
              <w:top w:w="100" w:type="dxa"/>
              <w:start w:w="120" w:type="dxa"/>
              <w:bottom w:w="100" w:type="dxa"/>
              <w:end w:w="120" w:type="dxa"/>
            </w:tcMar>
            <w:shd w:fill="EAF1F8"/>
          </w:tcPr>
          <w:p>
            <w:r>
              <w:rPr>
                <w:sz w:val="17"/>
              </w:rPr>
              <w:t>тип симметрии</w:t>
            </w:r>
          </w:p>
        </w:tc>
        <w:tc>
          <w:tcPr>
            <w:tcW w:type="dxa" w:w="2880"/>
            <w:vAlign w:val="center"/>
            <w:tcMar>
              <w:top w:w="100" w:type="dxa"/>
              <w:start w:w="120" w:type="dxa"/>
              <w:bottom w:w="100" w:type="dxa"/>
              <w:end w:w="120" w:type="dxa"/>
            </w:tcMar>
            <w:shd w:fill="EAF1F8"/>
          </w:tcPr>
          <w:p>
            <w:r>
              <w:rPr>
                <w:sz w:val="17"/>
              </w:rPr>
              <w:t>нестабильность на сингулярных орбитах</w:t>
            </w:r>
          </w:p>
        </w:tc>
      </w:tr>
      <w:tr>
        <w:trPr>
          <w:cantSplit/>
        </w:trPr>
        <w:tc>
          <w:tcPr>
            <w:tcW w:type="dxa" w:w="1512"/>
            <w:vAlign w:val="center"/>
            <w:tcMar>
              <w:top w:w="100" w:type="dxa"/>
              <w:start w:w="120" w:type="dxa"/>
              <w:bottom w:w="100" w:type="dxa"/>
              <w:end w:w="120" w:type="dxa"/>
            </w:tcMar>
          </w:tcPr>
          <w:p>
            <w:r>
              <w:rPr>
                <w:sz w:val="17"/>
              </w:rPr>
              <w:t>S_support</w:t>
            </w:r>
          </w:p>
        </w:tc>
        <w:tc>
          <w:tcPr>
            <w:tcW w:type="dxa" w:w="2016"/>
            <w:vAlign w:val="center"/>
            <w:tcMar>
              <w:top w:w="100" w:type="dxa"/>
              <w:start w:w="120" w:type="dxa"/>
              <w:bottom w:w="100" w:type="dxa"/>
              <w:end w:w="120" w:type="dxa"/>
            </w:tcMar>
          </w:tcPr>
          <w:p>
            <w:r>
              <w:rPr>
                <w:sz w:val="17"/>
              </w:rPr>
              <w:t>supp(o)</w:t>
            </w:r>
          </w:p>
        </w:tc>
        <w:tc>
          <w:tcPr>
            <w:tcW w:type="dxa" w:w="3168"/>
            <w:vAlign w:val="center"/>
            <w:tcMar>
              <w:top w:w="100" w:type="dxa"/>
              <w:start w:w="120" w:type="dxa"/>
              <w:bottom w:w="100" w:type="dxa"/>
              <w:end w:w="120" w:type="dxa"/>
            </w:tcMar>
          </w:tcPr>
          <w:p>
            <w:r>
              <w:rPr>
                <w:sz w:val="17"/>
              </w:rPr>
              <w:t>активные компоненты</w:t>
            </w:r>
          </w:p>
        </w:tc>
        <w:tc>
          <w:tcPr>
            <w:tcW w:type="dxa" w:w="2880"/>
            <w:vAlign w:val="center"/>
            <w:tcMar>
              <w:top w:w="100" w:type="dxa"/>
              <w:start w:w="120" w:type="dxa"/>
              <w:bottom w:w="100" w:type="dxa"/>
              <w:end w:w="120" w:type="dxa"/>
            </w:tcMar>
          </w:tcPr>
          <w:p>
            <w:r>
              <w:rPr>
                <w:sz w:val="17"/>
              </w:rPr>
              <w:t>зависимость от базиса</w:t>
            </w:r>
          </w:p>
        </w:tc>
      </w:tr>
      <w:tr>
        <w:trPr>
          <w:cantSplit/>
        </w:trPr>
        <w:tc>
          <w:tcPr>
            <w:tcW w:type="dxa" w:w="1512"/>
            <w:vAlign w:val="center"/>
            <w:tcMar>
              <w:top w:w="100" w:type="dxa"/>
              <w:start w:w="120" w:type="dxa"/>
              <w:bottom w:w="100" w:type="dxa"/>
              <w:end w:w="120" w:type="dxa"/>
            </w:tcMar>
            <w:shd w:fill="EAF1F8"/>
          </w:tcPr>
          <w:p>
            <w:r>
              <w:rPr>
                <w:sz w:val="17"/>
              </w:rPr>
              <w:t>S_prov</w:t>
            </w:r>
          </w:p>
        </w:tc>
        <w:tc>
          <w:tcPr>
            <w:tcW w:type="dxa" w:w="2016"/>
            <w:vAlign w:val="center"/>
            <w:tcMar>
              <w:top w:w="100" w:type="dxa"/>
              <w:start w:w="120" w:type="dxa"/>
              <w:bottom w:w="100" w:type="dxa"/>
              <w:end w:w="120" w:type="dxa"/>
            </w:tcMar>
            <w:shd w:fill="EAF1F8"/>
          </w:tcPr>
          <w:p>
            <w:r>
              <w:rPr>
                <w:sz w:val="17"/>
              </w:rPr>
              <w:t>provenance class</w:t>
            </w:r>
          </w:p>
        </w:tc>
        <w:tc>
          <w:tcPr>
            <w:tcW w:type="dxa" w:w="3168"/>
            <w:vAlign w:val="center"/>
            <w:tcMar>
              <w:top w:w="100" w:type="dxa"/>
              <w:start w:w="120" w:type="dxa"/>
              <w:bottom w:w="100" w:type="dxa"/>
              <w:end w:w="120" w:type="dxa"/>
            </w:tcMar>
            <w:shd w:fill="EAF1F8"/>
          </w:tcPr>
          <w:p>
            <w:r>
              <w:rPr>
                <w:sz w:val="17"/>
              </w:rPr>
              <w:t>источниковый тип</w:t>
            </w:r>
          </w:p>
        </w:tc>
        <w:tc>
          <w:tcPr>
            <w:tcW w:type="dxa" w:w="2880"/>
            <w:vAlign w:val="center"/>
            <w:tcMar>
              <w:top w:w="100" w:type="dxa"/>
              <w:start w:w="120" w:type="dxa"/>
              <w:bottom w:w="100" w:type="dxa"/>
              <w:end w:w="120" w:type="dxa"/>
            </w:tcMar>
            <w:shd w:fill="EAF1F8"/>
          </w:tcPr>
          <w:p>
            <w:r>
              <w:rPr>
                <w:sz w:val="17"/>
              </w:rPr>
              <w:t>не является чисто геометрическим</w:t>
            </w:r>
          </w:p>
        </w:tc>
      </w:tr>
      <w:tr>
        <w:trPr>
          <w:cantSplit/>
        </w:trPr>
        <w:tc>
          <w:tcPr>
            <w:tcW w:type="dxa" w:w="1512"/>
            <w:vAlign w:val="center"/>
            <w:tcMar>
              <w:top w:w="100" w:type="dxa"/>
              <w:start w:w="120" w:type="dxa"/>
              <w:bottom w:w="100" w:type="dxa"/>
              <w:end w:w="120" w:type="dxa"/>
            </w:tcMar>
          </w:tcPr>
          <w:p>
            <w:r>
              <w:rPr>
                <w:sz w:val="17"/>
              </w:rPr>
              <w:t>S_Dom</w:t>
            </w:r>
          </w:p>
        </w:tc>
        <w:tc>
          <w:tcPr>
            <w:tcW w:type="dxa" w:w="2016"/>
            <w:vAlign w:val="center"/>
            <w:tcMar>
              <w:top w:w="100" w:type="dxa"/>
              <w:start w:w="120" w:type="dxa"/>
              <w:bottom w:w="100" w:type="dxa"/>
              <w:end w:w="120" w:type="dxa"/>
            </w:tcMar>
          </w:tcPr>
          <w:p>
            <w:r>
              <w:rPr>
                <w:sz w:val="17"/>
              </w:rPr>
              <w:t>domain signature</w:t>
            </w:r>
          </w:p>
        </w:tc>
        <w:tc>
          <w:tcPr>
            <w:tcW w:type="dxa" w:w="3168"/>
            <w:vAlign w:val="center"/>
            <w:tcMar>
              <w:top w:w="100" w:type="dxa"/>
              <w:start w:w="120" w:type="dxa"/>
              <w:bottom w:w="100" w:type="dxa"/>
              <w:end w:w="120" w:type="dxa"/>
            </w:tcMar>
          </w:tcPr>
          <w:p>
            <w:r>
              <w:rPr>
                <w:sz w:val="17"/>
              </w:rPr>
              <w:t>область допустимости</w:t>
            </w:r>
          </w:p>
        </w:tc>
        <w:tc>
          <w:tcPr>
            <w:tcW w:type="dxa" w:w="2880"/>
            <w:vAlign w:val="center"/>
            <w:tcMar>
              <w:top w:w="100" w:type="dxa"/>
              <w:start w:w="120" w:type="dxa"/>
              <w:bottom w:w="100" w:type="dxa"/>
              <w:end w:w="120" w:type="dxa"/>
            </w:tcMar>
          </w:tcPr>
          <w:p>
            <w:r>
              <w:rPr>
                <w:sz w:val="17"/>
              </w:rPr>
              <w:t>может меняться скачком</w:t>
            </w:r>
          </w:p>
        </w:tc>
      </w:tr>
    </w:tbl>
    <w:p/>
    <w:p>
      <w:pPr>
        <w:pStyle w:val="Heading2"/>
        <w:keepNext/>
      </w:pPr>
      <w:r>
        <w:t>119.3. Whitney-условия как открытое обязательство</w:t>
      </w:r>
    </w:p>
    <w:p>
      <w:r>
        <w:t>Для гладкой или алгебраической стратификации полезно требовать Whitney (a)/(b), локальную конечность и frontier condition. В общей NAPG эти свойства не объявляются автоматически. Они формируют proof obligations T2-PO-133-T2-PO-135.</w:t>
      </w:r>
    </w:p>
    <w:p>
      <w:bookmarkStart w:id="1047" w:name="h_1687"/>
      <w:pPr>
        <w:pStyle w:val="Heading1"/>
        <w:keepNext/>
      </w:pPr>
      <w:r>
        <w:t>120. Проектированный обструкционный конус</w:t>
      </w:r>
      <w:bookmarkEnd w:id="1047"/>
    </w:p>
    <w:p>
      <w:pPr>
        <w:pStyle w:val="Heading2"/>
        <w:keepNext/>
      </w:pPr>
      <w:r>
        <w:t>120.1. Конический носитель</w:t>
      </w:r>
    </w:p>
    <w:p>
      <w:r>
        <w:t>Пусть C_B⊆O_B является замкнутым конусом допустимых или достижимых препятствий, то есть aC_B⊆C_B для a∈K. Его проектированный носитель определяется как</w:t>
      </w:r>
    </w:p>
    <w:p>
      <w:bookmarkStart w:id="1790" w:name="f_14_10"/>
      <w:pPr>
        <w:pStyle w:val="Quote"/>
        <w:jc w:val="center"/>
      </w:pPr>
      <w:r>
        <w:rPr>
          <w:rFonts w:ascii="Cambria Math" w:hAnsi="Cambria Math"/>
          <w:sz w:val="22"/>
        </w:rPr>
        <w:t>P(C_B) = (C_B \ {0}) / K^× ⊆ P(O_B).</w:t>
      </w:r>
      <w:r>
        <w:t xml:space="preserve">    (14.10)</w:t>
      </w:r>
      <w:bookmarkEnd w:id="1790"/>
    </w:p>
    <w:p>
      <w:r>
        <w:t>Если C_B не инвариантен относительно всех ненулевых скаляров, вместо projectivization требуется положительная projectivization или сферическая нормировка. Особенно это важно для упорядоченных конусов над R, где отрицательное масштабирование меняет смысл.</w:t>
      </w:r>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FCE4D6"/>
          </w:tcPr>
          <w:p>
            <w:r>
              <w:rPr>
                <w:b/>
                <w:color w:val="1F4E79"/>
                <w:sz w:val="21"/>
              </w:rPr>
              <w:t>КОНТРПРИМЕР 14.B</w:t>
            </w:r>
          </w:p>
          <w:p>
            <w:pPr>
              <w:spacing w:after="0"/>
            </w:pPr>
            <w:r>
              <w:rPr>
                <w:sz w:val="19"/>
              </w:rPr>
              <w:t>Положительный ортант R^n_{≥0} не инвариантен относительно отрицательных скаляров. Обычная real projectivization отождествляет положительное и отрицательное направления и уничтожает порядок. Для причинных или вероятностных конусов требуется quotient по R_{&gt;0}, а не по R^×.</w:t>
            </w:r>
          </w:p>
        </w:tc>
      </w:tr>
    </w:tbl>
    <w:p/>
    <w:p>
      <w:pPr>
        <w:pStyle w:val="Heading2"/>
        <w:keepNext/>
      </w:pPr>
      <w:r>
        <w:t>120.2. Полупроективный носитель</w:t>
      </w:r>
    </w:p>
    <w:p>
      <w:bookmarkStart w:id="1791" w:name="f_14_11"/>
      <w:pPr>
        <w:pStyle w:val="Quote"/>
        <w:jc w:val="center"/>
      </w:pPr>
      <w:r>
        <w:rPr>
          <w:rFonts w:ascii="Cambria Math" w:hAnsi="Cambria Math"/>
          <w:sz w:val="22"/>
        </w:rPr>
        <w:t>P_+(C_B) = (C_B \ {0}) / R_{&gt;0}.</w:t>
      </w:r>
      <w:r>
        <w:t xml:space="preserve">    (14.11)</w:t>
      </w:r>
      <w:bookmarkEnd w:id="1791"/>
    </w:p>
    <w:p>
      <w:r>
        <w:t>Носитель P_+(C_B) сохраняет ориентацию луча и различает o от -o. Он является предпочтительным для знако-чувствительных препятствий, направленных потоков и one-sided domain constraints.</w:t>
      </w:r>
    </w:p>
    <w:p>
      <w:bookmarkStart w:id="1048" w:name="h_1696"/>
      <w:pPr>
        <w:pStyle w:val="Heading1"/>
        <w:keepNext/>
      </w:pPr>
      <w:r>
        <w:t>121. Локальные носители и Fano globalization firewall</w:t>
      </w:r>
      <w:bookmarkEnd w:id="1048"/>
    </w:p>
    <w:p>
      <w:r>
        <w:t>PILOT-01 уже различал локальные obstruction carriers и глобальный Fano carrier: семь локальных трёхмерных носителей сначала дают прямую сумму размерности 21, а переход к F₂³ требует явных совместимых карт идентификации. Эта дисциплина переносится в общий NAPG-слой.</w:t>
      </w:r>
    </w:p>
    <w:p>
      <w:bookmarkStart w:id="1792" w:name="f_14_12"/>
      <w:pPr>
        <w:pStyle w:val="Quote"/>
        <w:jc w:val="center"/>
      </w:pPr>
      <w:r>
        <w:rPr>
          <w:rFonts w:ascii="Cambria Math" w:hAnsi="Cambria Math"/>
          <w:sz w:val="22"/>
        </w:rPr>
        <w:t>O_pre = ⊕_{L∈Lines(Fano)} O_L.</w:t>
      </w:r>
      <w:r>
        <w:t xml:space="preserve">    (14.12)</w:t>
      </w:r>
      <w:bookmarkEnd w:id="1792"/>
    </w:p>
    <w:p>
      <w:bookmarkStart w:id="1793" w:name="f_14_13"/>
      <w:pPr>
        <w:pStyle w:val="Quote"/>
        <w:jc w:val="center"/>
      </w:pPr>
      <w:r>
        <w:rPr>
          <w:rFonts w:ascii="Cambria Math" w:hAnsi="Cambria Math"/>
          <w:sz w:val="22"/>
        </w:rPr>
        <w:t>O_glob = colim( O_L, φ_{LL′} ).</w:t>
      </w:r>
      <w:r>
        <w:t xml:space="preserve">    (14.13)</w:t>
      </w:r>
      <w:bookmarkEnd w:id="1793"/>
    </w:p>
    <w:p>
      <w:pPr>
        <w:jc w:val="center"/>
      </w:pPr>
      <w:r>
        <w:drawing>
          <wp:inline xmlns:a="http://schemas.openxmlformats.org/drawingml/2006/main" xmlns:pic="http://schemas.openxmlformats.org/drawingml/2006/picture">
            <wp:extent cx="5943600" cy="3595598"/>
            <wp:docPr id="34" name="Picture 34" descr="Рисунок 14.2. Fano globalization firewall: локальные носители не образуют глобальный projective carrier без identification maps." title="Рисунок 14.2. Fano globalization firewall: локальные носители не образуют глобальный projective carrier без identificati"/>
            <wp:cNvGraphicFramePr>
              <a:graphicFrameLocks noChangeAspect="1"/>
            </wp:cNvGraphicFramePr>
            <a:graphic>
              <a:graphicData uri="http://schemas.openxmlformats.org/drawingml/2006/picture">
                <pic:pic>
                  <pic:nvPicPr>
                    <pic:cNvPr id="0" name="fano_barrier.png" descr="Рисунок 14.2. Fano globalization firewall: локальные носители не образуют глобальный projective carrier без identification maps." title="Рисунок 14.2. Fano globalization firewall: локальные носители не образуют глобальный projective carrier без identificati"/>
                    <pic:cNvPicPr/>
                  </pic:nvPicPr>
                  <pic:blipFill>
                    <a:blip r:embed="rId61"/>
                    <a:stretch>
                      <a:fillRect/>
                    </a:stretch>
                  </pic:blipFill>
                  <pic:spPr>
                    <a:xfrm>
                      <a:off x="0" y="0"/>
                      <a:ext cx="5943600" cy="3595598"/>
                    </a:xfrm>
                    <a:prstGeom prst="rect"/>
                  </pic:spPr>
                </pic:pic>
              </a:graphicData>
            </a:graphic>
          </wp:inline>
        </w:drawing>
      </w:r>
    </w:p>
    <w:p>
      <w:pPr>
        <w:pStyle w:val="Caption"/>
        <w:keepNext/>
        <w:jc w:val="center"/>
      </w:pPr>
      <w:r>
        <w:t>Рисунок 14.2. Fano globalization firewall: локальные носители не образуют глобальный projective carrier без identification maps.</w:t>
      </w:r>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FCE4D6"/>
          </w:tcPr>
          <w:p>
            <w:r>
              <w:rPr>
                <w:b/>
                <w:color w:val="1F4E79"/>
                <w:sz w:val="21"/>
              </w:rPr>
              <w:t>ТЕОРЕМА 14.5. LOCAL-TO-GLOBAL NO-GO</w:t>
            </w:r>
          </w:p>
          <w:p>
            <w:pPr>
              <w:spacing w:after="0"/>
            </w:pPr>
            <w:r>
              <w:rPr>
                <w:sz w:val="19"/>
              </w:rPr>
              <w:t>Из существования семейства projective carriers P(O_i) не следует существование глобального P(O). Необходимы линейные карты склейки, cocycle condition, совместимость нулевых секций, Evidence-D и effective descent.</w:t>
            </w:r>
          </w:p>
        </w:tc>
      </w:tr>
    </w:tbl>
    <w:p/>
    <w:p>
      <w:r>
        <w:t>Это усиливает принцип Fano ontological barrier, сформулированный в PILOT-01: локальная projective картина не перескакивает в глобальную только потому, что число точек выглядит подходящим [V0.11-1].</w:t>
      </w:r>
    </w:p>
    <w:p>
      <w:bookmarkStart w:id="1049" w:name="h_1704"/>
      <w:pPr>
        <w:pStyle w:val="Heading1"/>
        <w:keepNext/>
      </w:pPr>
      <w:r>
        <w:t>122. Проективный переходный горизонт</w:t>
      </w:r>
      <w:bookmarkEnd w:id="1049"/>
    </w:p>
    <w:p>
      <w:pPr>
        <w:pStyle w:val="Heading2"/>
        <w:keepNext/>
      </w:pPr>
      <w:r>
        <w:t>122.1. Компоненты горизонта</w:t>
      </w:r>
    </w:p>
    <w:p>
      <w:bookmarkStart w:id="1794" w:name="f_14_14"/>
      <w:pPr>
        <w:pStyle w:val="Quote"/>
        <w:jc w:val="center"/>
      </w:pPr>
      <w:r>
        <w:rPr>
          <w:rFonts w:ascii="Cambria Math" w:hAnsi="Cambria Math"/>
          <w:sz w:val="22"/>
        </w:rPr>
        <w:t>Δ_proj = Δ_zero ∪ Δ_rank ∪ Δ_orbit ∪ Δ_chart ∪ Δ_glue ∪ Δ_D ∪ Δ_Dom.</w:t>
      </w:r>
      <w:r>
        <w:t xml:space="preserve">    (14.14)</w:t>
      </w:r>
      <w:bookmarkEnd w:id="1794"/>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1584"/>
            <w:shd w:fill="1F4E78"/>
            <w:vAlign w:val="center"/>
            <w:tcMar>
              <w:top w:w="100" w:type="dxa"/>
              <w:start w:w="120" w:type="dxa"/>
              <w:bottom w:w="100" w:type="dxa"/>
              <w:end w:w="120" w:type="dxa"/>
            </w:tcMar>
          </w:tcPr>
          <w:p>
            <w:r>
              <w:rPr>
                <w:b/>
                <w:color w:val="FFFFFF"/>
                <w:sz w:val="18"/>
              </w:rPr>
              <w:t>Компонент</w:t>
            </w:r>
          </w:p>
        </w:tc>
        <w:tc>
          <w:tcPr>
            <w:tcW w:type="dxa" w:w="3600"/>
            <w:shd w:fill="1F4E78"/>
            <w:vAlign w:val="center"/>
            <w:tcMar>
              <w:top w:w="100" w:type="dxa"/>
              <w:start w:w="120" w:type="dxa"/>
              <w:bottom w:w="100" w:type="dxa"/>
              <w:end w:w="120" w:type="dxa"/>
            </w:tcMar>
          </w:tcPr>
          <w:p>
            <w:r>
              <w:rPr>
                <w:b/>
                <w:color w:val="FFFFFF"/>
                <w:sz w:val="18"/>
              </w:rPr>
              <w:t>Условие попадания</w:t>
            </w:r>
          </w:p>
        </w:tc>
        <w:tc>
          <w:tcPr>
            <w:tcW w:type="dxa" w:w="4608"/>
            <w:shd w:fill="1F4E78"/>
            <w:vAlign w:val="center"/>
            <w:tcMar>
              <w:top w:w="100" w:type="dxa"/>
              <w:start w:w="120" w:type="dxa"/>
              <w:bottom w:w="100" w:type="dxa"/>
              <w:end w:w="120" w:type="dxa"/>
            </w:tcMar>
          </w:tcPr>
          <w:p>
            <w:r>
              <w:rPr>
                <w:b/>
                <w:color w:val="FFFFFF"/>
                <w:sz w:val="18"/>
              </w:rPr>
              <w:t>Интерпретация</w:t>
            </w:r>
          </w:p>
        </w:tc>
      </w:tr>
      <w:tr>
        <w:trPr>
          <w:cantSplit/>
        </w:trPr>
        <w:tc>
          <w:tcPr>
            <w:tcW w:type="dxa" w:w="1584"/>
            <w:vAlign w:val="center"/>
            <w:tcMar>
              <w:top w:w="100" w:type="dxa"/>
              <w:start w:w="120" w:type="dxa"/>
              <w:bottom w:w="100" w:type="dxa"/>
              <w:end w:w="120" w:type="dxa"/>
            </w:tcMar>
          </w:tcPr>
          <w:p>
            <w:r>
              <w:rPr>
                <w:sz w:val="17"/>
              </w:rPr>
              <w:t>Δ_zero</w:t>
            </w:r>
          </w:p>
        </w:tc>
        <w:tc>
          <w:tcPr>
            <w:tcW w:type="dxa" w:w="3600"/>
            <w:vAlign w:val="center"/>
            <w:tcMar>
              <w:top w:w="100" w:type="dxa"/>
              <w:start w:w="120" w:type="dxa"/>
              <w:bottom w:w="100" w:type="dxa"/>
              <w:end w:w="120" w:type="dxa"/>
            </w:tcMar>
          </w:tcPr>
          <w:p>
            <w:r>
              <w:rPr>
                <w:sz w:val="17"/>
              </w:rPr>
              <w:t>o_t=0 или потеря отделимости от 0</w:t>
            </w:r>
          </w:p>
        </w:tc>
        <w:tc>
          <w:tcPr>
            <w:tcW w:type="dxa" w:w="4608"/>
            <w:vAlign w:val="center"/>
            <w:tcMar>
              <w:top w:w="100" w:type="dxa"/>
              <w:start w:w="120" w:type="dxa"/>
              <w:bottom w:w="100" w:type="dxa"/>
              <w:end w:w="120" w:type="dxa"/>
            </w:tcMar>
          </w:tcPr>
          <w:p>
            <w:r>
              <w:rPr>
                <w:sz w:val="17"/>
              </w:rPr>
              <w:t>появление/исчезновение внутреннего класса</w:t>
            </w:r>
          </w:p>
        </w:tc>
      </w:tr>
      <w:tr>
        <w:trPr>
          <w:cantSplit/>
        </w:trPr>
        <w:tc>
          <w:tcPr>
            <w:tcW w:type="dxa" w:w="1584"/>
            <w:vAlign w:val="center"/>
            <w:tcMar>
              <w:top w:w="100" w:type="dxa"/>
              <w:start w:w="120" w:type="dxa"/>
              <w:bottom w:w="100" w:type="dxa"/>
              <w:end w:w="120" w:type="dxa"/>
            </w:tcMar>
            <w:shd w:fill="EAF1F8"/>
          </w:tcPr>
          <w:p>
            <w:r>
              <w:rPr>
                <w:sz w:val="17"/>
              </w:rPr>
              <w:t>Δ_rank</w:t>
            </w:r>
          </w:p>
        </w:tc>
        <w:tc>
          <w:tcPr>
            <w:tcW w:type="dxa" w:w="3600"/>
            <w:vAlign w:val="center"/>
            <w:tcMar>
              <w:top w:w="100" w:type="dxa"/>
              <w:start w:w="120" w:type="dxa"/>
              <w:bottom w:w="100" w:type="dxa"/>
              <w:end w:w="120" w:type="dxa"/>
            </w:tcMar>
            <w:shd w:fill="EAF1F8"/>
          </w:tcPr>
          <w:p>
            <w:r>
              <w:rPr>
                <w:sz w:val="17"/>
              </w:rPr>
              <w:t>rank A(o_t) меняется</w:t>
            </w:r>
          </w:p>
        </w:tc>
        <w:tc>
          <w:tcPr>
            <w:tcW w:type="dxa" w:w="4608"/>
            <w:vAlign w:val="center"/>
            <w:tcMar>
              <w:top w:w="100" w:type="dxa"/>
              <w:start w:w="120" w:type="dxa"/>
              <w:bottom w:w="100" w:type="dxa"/>
              <w:end w:w="120" w:type="dxa"/>
            </w:tcMar>
            <w:shd w:fill="EAF1F8"/>
          </w:tcPr>
          <w:p>
            <w:r>
              <w:rPr>
                <w:sz w:val="17"/>
              </w:rPr>
              <w:t>смена алгебраического типа</w:t>
            </w:r>
          </w:p>
        </w:tc>
      </w:tr>
      <w:tr>
        <w:trPr>
          <w:cantSplit/>
        </w:trPr>
        <w:tc>
          <w:tcPr>
            <w:tcW w:type="dxa" w:w="1584"/>
            <w:vAlign w:val="center"/>
            <w:tcMar>
              <w:top w:w="100" w:type="dxa"/>
              <w:start w:w="120" w:type="dxa"/>
              <w:bottom w:w="100" w:type="dxa"/>
              <w:end w:w="120" w:type="dxa"/>
            </w:tcMar>
          </w:tcPr>
          <w:p>
            <w:r>
              <w:rPr>
                <w:sz w:val="17"/>
              </w:rPr>
              <w:t>Δ_orbit</w:t>
            </w:r>
          </w:p>
        </w:tc>
        <w:tc>
          <w:tcPr>
            <w:tcW w:type="dxa" w:w="3600"/>
            <w:vAlign w:val="center"/>
            <w:tcMar>
              <w:top w:w="100" w:type="dxa"/>
              <w:start w:w="120" w:type="dxa"/>
              <w:bottom w:w="100" w:type="dxa"/>
              <w:end w:w="120" w:type="dxa"/>
            </w:tcMar>
          </w:tcPr>
          <w:p>
            <w:r>
              <w:rPr>
                <w:sz w:val="17"/>
              </w:rPr>
              <w:t>тип стабилизатора меняется</w:t>
            </w:r>
          </w:p>
        </w:tc>
        <w:tc>
          <w:tcPr>
            <w:tcW w:type="dxa" w:w="4608"/>
            <w:vAlign w:val="center"/>
            <w:tcMar>
              <w:top w:w="100" w:type="dxa"/>
              <w:start w:w="120" w:type="dxa"/>
              <w:bottom w:w="100" w:type="dxa"/>
              <w:end w:w="120" w:type="dxa"/>
            </w:tcMar>
          </w:tcPr>
          <w:p>
            <w:r>
              <w:rPr>
                <w:sz w:val="17"/>
              </w:rPr>
              <w:t>смена симметрии</w:t>
            </w:r>
          </w:p>
        </w:tc>
      </w:tr>
      <w:tr>
        <w:trPr>
          <w:cantSplit/>
        </w:trPr>
        <w:tc>
          <w:tcPr>
            <w:tcW w:type="dxa" w:w="1584"/>
            <w:vAlign w:val="center"/>
            <w:tcMar>
              <w:top w:w="100" w:type="dxa"/>
              <w:start w:w="120" w:type="dxa"/>
              <w:bottom w:w="100" w:type="dxa"/>
              <w:end w:w="120" w:type="dxa"/>
            </w:tcMar>
            <w:shd w:fill="EAF1F8"/>
          </w:tcPr>
          <w:p>
            <w:r>
              <w:rPr>
                <w:sz w:val="17"/>
              </w:rPr>
              <w:t>Δ_chart</w:t>
            </w:r>
          </w:p>
        </w:tc>
        <w:tc>
          <w:tcPr>
            <w:tcW w:type="dxa" w:w="3600"/>
            <w:vAlign w:val="center"/>
            <w:tcMar>
              <w:top w:w="100" w:type="dxa"/>
              <w:start w:w="120" w:type="dxa"/>
              <w:bottom w:w="100" w:type="dxa"/>
              <w:end w:w="120" w:type="dxa"/>
            </w:tcMar>
            <w:shd w:fill="EAF1F8"/>
          </w:tcPr>
          <w:p>
            <w:r>
              <w:rPr>
                <w:sz w:val="17"/>
              </w:rPr>
              <w:t>выбранная projective chart вырождается</w:t>
            </w:r>
          </w:p>
        </w:tc>
        <w:tc>
          <w:tcPr>
            <w:tcW w:type="dxa" w:w="4608"/>
            <w:vAlign w:val="center"/>
            <w:tcMar>
              <w:top w:w="100" w:type="dxa"/>
              <w:start w:w="120" w:type="dxa"/>
              <w:bottom w:w="100" w:type="dxa"/>
              <w:end w:w="120" w:type="dxa"/>
            </w:tcMar>
            <w:shd w:fill="EAF1F8"/>
          </w:tcPr>
          <w:p>
            <w:r>
              <w:rPr>
                <w:sz w:val="17"/>
              </w:rPr>
              <w:t>координатный, не обязательно структурный дефект</w:t>
            </w:r>
          </w:p>
        </w:tc>
      </w:tr>
      <w:tr>
        <w:trPr>
          <w:cantSplit/>
        </w:trPr>
        <w:tc>
          <w:tcPr>
            <w:tcW w:type="dxa" w:w="1584"/>
            <w:vAlign w:val="center"/>
            <w:tcMar>
              <w:top w:w="100" w:type="dxa"/>
              <w:start w:w="120" w:type="dxa"/>
              <w:bottom w:w="100" w:type="dxa"/>
              <w:end w:w="120" w:type="dxa"/>
            </w:tcMar>
          </w:tcPr>
          <w:p>
            <w:r>
              <w:rPr>
                <w:sz w:val="17"/>
              </w:rPr>
              <w:t>Δ_glue</w:t>
            </w:r>
          </w:p>
        </w:tc>
        <w:tc>
          <w:tcPr>
            <w:tcW w:type="dxa" w:w="3600"/>
            <w:vAlign w:val="center"/>
            <w:tcMar>
              <w:top w:w="100" w:type="dxa"/>
              <w:start w:w="120" w:type="dxa"/>
              <w:bottom w:w="100" w:type="dxa"/>
              <w:end w:w="120" w:type="dxa"/>
            </w:tcMar>
          </w:tcPr>
          <w:p>
            <w:r>
              <w:rPr>
                <w:sz w:val="17"/>
              </w:rPr>
              <w:t>нарушены cocycle/effective descent</w:t>
            </w:r>
          </w:p>
        </w:tc>
        <w:tc>
          <w:tcPr>
            <w:tcW w:type="dxa" w:w="4608"/>
            <w:vAlign w:val="center"/>
            <w:tcMar>
              <w:top w:w="100" w:type="dxa"/>
              <w:start w:w="120" w:type="dxa"/>
              <w:bottom w:w="100" w:type="dxa"/>
              <w:end w:w="120" w:type="dxa"/>
            </w:tcMar>
          </w:tcPr>
          <w:p>
            <w:r>
              <w:rPr>
                <w:sz w:val="17"/>
              </w:rPr>
              <w:t>локально-глобальный разрыв</w:t>
            </w:r>
          </w:p>
        </w:tc>
      </w:tr>
      <w:tr>
        <w:trPr>
          <w:cantSplit/>
        </w:trPr>
        <w:tc>
          <w:tcPr>
            <w:tcW w:type="dxa" w:w="1584"/>
            <w:vAlign w:val="center"/>
            <w:tcMar>
              <w:top w:w="100" w:type="dxa"/>
              <w:start w:w="120" w:type="dxa"/>
              <w:bottom w:w="100" w:type="dxa"/>
              <w:end w:w="120" w:type="dxa"/>
            </w:tcMar>
            <w:shd w:fill="EAF1F8"/>
          </w:tcPr>
          <w:p>
            <w:r>
              <w:rPr>
                <w:sz w:val="17"/>
              </w:rPr>
              <w:t>Δ_D</w:t>
            </w:r>
          </w:p>
        </w:tc>
        <w:tc>
          <w:tcPr>
            <w:tcW w:type="dxa" w:w="3600"/>
            <w:vAlign w:val="center"/>
            <w:tcMar>
              <w:top w:w="100" w:type="dxa"/>
              <w:start w:w="120" w:type="dxa"/>
              <w:bottom w:w="100" w:type="dxa"/>
              <w:end w:w="120" w:type="dxa"/>
            </w:tcMar>
            <w:shd w:fill="EAF1F8"/>
          </w:tcPr>
          <w:p>
            <w:r>
              <w:rPr>
                <w:sz w:val="17"/>
              </w:rPr>
              <w:t>Evidence-D невалиден</w:t>
            </w:r>
          </w:p>
        </w:tc>
        <w:tc>
          <w:tcPr>
            <w:tcW w:type="dxa" w:w="4608"/>
            <w:vAlign w:val="center"/>
            <w:tcMar>
              <w:top w:w="100" w:type="dxa"/>
              <w:start w:w="120" w:type="dxa"/>
              <w:bottom w:w="100" w:type="dxa"/>
              <w:end w:w="120" w:type="dxa"/>
            </w:tcMar>
            <w:shd w:fill="EAF1F8"/>
          </w:tcPr>
          <w:p>
            <w:r>
              <w:rPr>
                <w:sz w:val="17"/>
              </w:rPr>
              <w:t>доказательный блокер</w:t>
            </w:r>
          </w:p>
        </w:tc>
      </w:tr>
      <w:tr>
        <w:trPr>
          <w:cantSplit/>
        </w:trPr>
        <w:tc>
          <w:tcPr>
            <w:tcW w:type="dxa" w:w="1584"/>
            <w:vAlign w:val="center"/>
            <w:tcMar>
              <w:top w:w="100" w:type="dxa"/>
              <w:start w:w="120" w:type="dxa"/>
              <w:bottom w:w="100" w:type="dxa"/>
              <w:end w:w="120" w:type="dxa"/>
            </w:tcMar>
          </w:tcPr>
          <w:p>
            <w:r>
              <w:rPr>
                <w:sz w:val="17"/>
              </w:rPr>
              <w:t>Δ_Dom</w:t>
            </w:r>
          </w:p>
        </w:tc>
        <w:tc>
          <w:tcPr>
            <w:tcW w:type="dxa" w:w="3600"/>
            <w:vAlign w:val="center"/>
            <w:tcMar>
              <w:top w:w="100" w:type="dxa"/>
              <w:start w:w="120" w:type="dxa"/>
              <w:bottom w:w="100" w:type="dxa"/>
              <w:end w:w="120" w:type="dxa"/>
            </w:tcMar>
          </w:tcPr>
          <w:p>
            <w:r>
              <w:rPr>
                <w:sz w:val="17"/>
              </w:rPr>
              <w:t>меняется допустимый домен</w:t>
            </w:r>
          </w:p>
        </w:tc>
        <w:tc>
          <w:tcPr>
            <w:tcW w:type="dxa" w:w="4608"/>
            <w:vAlign w:val="center"/>
            <w:tcMar>
              <w:top w:w="100" w:type="dxa"/>
              <w:start w:w="120" w:type="dxa"/>
              <w:bottom w:w="100" w:type="dxa"/>
              <w:end w:w="120" w:type="dxa"/>
            </w:tcMar>
          </w:tcPr>
          <w:p>
            <w:r>
              <w:rPr>
                <w:sz w:val="17"/>
              </w:rPr>
              <w:t>смена области утверждения</w:t>
            </w:r>
          </w:p>
        </w:tc>
      </w:tr>
    </w:tbl>
    <w:p/>
    <w:p>
      <w:pPr>
        <w:jc w:val="center"/>
      </w:pPr>
      <w:r>
        <w:drawing>
          <wp:inline xmlns:a="http://schemas.openxmlformats.org/drawingml/2006/main" xmlns:pic="http://schemas.openxmlformats.org/drawingml/2006/picture">
            <wp:extent cx="5943600" cy="3360587"/>
            <wp:docPr id="35" name="Picture 35" descr="Рисунок 14.3. Состав projective transition horizon Δ_proj." title="Рисунок 14.3. Состав projective transition horizon Δ_proj."/>
            <wp:cNvGraphicFramePr>
              <a:graphicFrameLocks noChangeAspect="1"/>
            </wp:cNvGraphicFramePr>
            <a:graphic>
              <a:graphicData uri="http://schemas.openxmlformats.org/drawingml/2006/picture">
                <pic:pic>
                  <pic:nvPicPr>
                    <pic:cNvPr id="0" name="proj_horizon.png" descr="Рисунок 14.3. Состав projective transition horizon Δ_proj." title="Рисунок 14.3. Состав projective transition horizon Δ_proj."/>
                    <pic:cNvPicPr/>
                  </pic:nvPicPr>
                  <pic:blipFill>
                    <a:blip r:embed="rId62"/>
                    <a:stretch>
                      <a:fillRect/>
                    </a:stretch>
                  </pic:blipFill>
                  <pic:spPr>
                    <a:xfrm>
                      <a:off x="0" y="0"/>
                      <a:ext cx="5943600" cy="3360587"/>
                    </a:xfrm>
                    <a:prstGeom prst="rect"/>
                  </pic:spPr>
                </pic:pic>
              </a:graphicData>
            </a:graphic>
          </wp:inline>
        </w:drawing>
      </w:r>
    </w:p>
    <w:p>
      <w:pPr>
        <w:pStyle w:val="Caption"/>
        <w:keepNext/>
        <w:jc w:val="center"/>
      </w:pPr>
      <w:r>
        <w:t>Рисунок 14.3. Состав projective transition horizon Δ_proj.</w:t>
      </w:r>
    </w:p>
    <w:p>
      <w:pPr>
        <w:pStyle w:val="Heading2"/>
        <w:keepNext/>
      </w:pPr>
      <w:r>
        <w:t>122.2. Теорема постоянства projective type</w:t>
      </w:r>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DCE6F1"/>
          </w:tcPr>
          <w:p>
            <w:r>
              <w:rPr>
                <w:b/>
                <w:color w:val="1F4E79"/>
                <w:sz w:val="21"/>
              </w:rPr>
              <w:t>ТЕОРЕМА 14.6. PROJECTIVE-PROFILE CONSTANCY</w:t>
            </w:r>
          </w:p>
          <w:p>
            <w:pPr>
              <w:spacing w:after="0"/>
            </w:pPr>
            <w:r>
              <w:rPr>
                <w:sz w:val="19"/>
              </w:rPr>
              <w:t>Пусть t↦o_t является непрерывным ненулевым сечением obstruction bundle на связном интервале I. Если ранговая и орбитная страты локально замкнуты, путь не пересекает Δ_proj, а D/Dom и gluing data постоянны, то projective profile ([o_t], rank A(o_t), orbit type, Dom signature) остаётся в одной связной страте.</w:t>
            </w:r>
          </w:p>
        </w:tc>
      </w:tr>
    </w:tbl>
    <w:p/>
    <w:p>
      <w:r>
        <w:t>Теорема не утверждает, что [o_t] является постоянной точкой. Она утверждает неизменность сертифицированного типа внутри выбранной стратификации. Движение внутри страты допускается.</w:t>
      </w:r>
    </w:p>
    <w:p>
      <w:pPr>
        <w:pStyle w:val="Heading2"/>
        <w:keepNext/>
      </w:pPr>
      <w:r>
        <w:t>122.3. Отрицательный прогноз</w:t>
      </w:r>
    </w:p>
    <w:p>
      <w:bookmarkStart w:id="1795" w:name="f_14_15"/>
      <w:pPr>
        <w:pStyle w:val="Quote"/>
        <w:jc w:val="center"/>
      </w:pPr>
      <w:r>
        <w:rPr>
          <w:rFonts w:ascii="Cambria Math" w:hAnsi="Cambria Math"/>
          <w:sz w:val="22"/>
        </w:rPr>
        <w:t>I∩Δ_proj=∅  ⇒  transition of certified projective type is impossible in model.</w:t>
      </w:r>
      <w:r>
        <w:t xml:space="preserve">    (14.15)</w:t>
      </w:r>
      <w:bookmarkEnd w:id="1795"/>
    </w:p>
    <w:p>
      <w:r>
        <w:t>Пересечение Δ_proj создаёт CANDIDATE-TRANSITION. Оно не гарантирует пересечение нулевой секции, существование lift, глобализацию, наблюдаемость или физическую реализацию.</w:t>
      </w:r>
    </w:p>
    <w:p>
      <w:bookmarkStart w:id="1050" w:name="h_1716"/>
      <w:pPr>
        <w:pStyle w:val="Heading1"/>
        <w:keepNext/>
      </w:pPr>
      <w:r>
        <w:t>123. Проективный carrier и Reper-λ</w:t>
      </w:r>
      <w:bookmarkEnd w:id="1050"/>
    </w:p>
    <w:p>
      <w:r>
        <w:t>Reper-кросс-соотношение и projective obstruction carrier являются двумя разными проективными слоями. Первый живёт на конфигурациях четырёх точек P¹, второй - на направлениях в O_B. Для их связи требуется отдельная карта</w:t>
      </w:r>
    </w:p>
    <w:p>
      <w:bookmarkStart w:id="1796" w:name="f_14_16"/>
      <w:pPr>
        <w:pStyle w:val="Quote"/>
        <w:jc w:val="center"/>
      </w:pPr>
      <w:r>
        <w:rPr>
          <w:rFonts w:ascii="Cambria Math" w:hAnsi="Cambria Math"/>
          <w:sz w:val="22"/>
        </w:rPr>
        <w:t>χ_λ : P(O_B) ⇢ P¹(K),</w:t>
      </w:r>
      <w:r>
        <w:t xml:space="preserve">    (14.16)</w:t>
      </w:r>
      <w:bookmarkEnd w:id="1796"/>
    </w:p>
    <w:p>
      <w:r>
        <w:t>определённая лишь при явном выборе реперных функционалов R,I,U,D на O_B и вне их полюсного множества.</w:t>
      </w:r>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FCE4D6"/>
          </w:tcPr>
          <w:p>
            <w:r>
              <w:rPr>
                <w:b/>
                <w:color w:val="1F4E79"/>
                <w:sz w:val="21"/>
              </w:rPr>
              <w:t>ТЕОРЕМА 14.7. NO AUTOMATIC LAMBDA BRIDGE</w:t>
            </w:r>
          </w:p>
          <w:p>
            <w:pPr>
              <w:spacing w:after="0"/>
            </w:pPr>
            <w:r>
              <w:rPr>
                <w:sz w:val="19"/>
              </w:rPr>
              <w:t>Из projective point [o]∈P(O_B) не следует каноническое значение λ. Для λ необходимы четыре согласованных линейных или рациональных функционала и доказательство инвариантности их cross-ratio.</w:t>
            </w:r>
          </w:p>
        </w:tc>
      </w:tr>
    </w:tbl>
    <w:p/>
    <w:p>
      <w:bookmarkStart w:id="1797" w:name="f_14_17"/>
      <w:pPr>
        <w:pStyle w:val="Quote"/>
        <w:jc w:val="center"/>
      </w:pPr>
      <w:r>
        <w:rPr>
          <w:rFonts w:ascii="Cambria Math" w:hAnsi="Cambria Math"/>
          <w:sz w:val="22"/>
        </w:rPr>
        <w:t>λ([o]) = cr(U([o]), I([o]); R([o]), D([o])).</w:t>
      </w:r>
      <w:r>
        <w:t xml:space="preserve">    (14.17)</w:t>
      </w:r>
      <w:bookmarkEnd w:id="1797"/>
    </w:p>
    <w:p>
      <w:r>
        <w:t>Даже при λ=-1 сохраняются отдельные проверки: o≠0, Valid(D), Dom_λ, отсутствие internal/external obstruction blockers и корректность χ_λ.</w:t>
      </w:r>
    </w:p>
    <w:p>
      <w:bookmarkStart w:id="1051" w:name="h_1723"/>
      <w:pPr>
        <w:pStyle w:val="Heading1"/>
        <w:keepNext/>
      </w:pPr>
      <w:r>
        <w:t>124. Ledger потери и восстановления информации</w:t>
      </w:r>
      <w:bookmarkEnd w:id="1051"/>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152"/>
            <w:shd w:fill="1F4E78"/>
            <w:vAlign w:val="center"/>
            <w:tcMar>
              <w:top w:w="100" w:type="dxa"/>
              <w:start w:w="120" w:type="dxa"/>
              <w:bottom w:w="100" w:type="dxa"/>
              <w:end w:w="120" w:type="dxa"/>
            </w:tcMar>
          </w:tcPr>
          <w:p>
            <w:r>
              <w:rPr>
                <w:b/>
                <w:color w:val="FFFFFF"/>
                <w:sz w:val="18"/>
              </w:rPr>
              <w:t>Код</w:t>
            </w:r>
          </w:p>
        </w:tc>
        <w:tc>
          <w:tcPr>
            <w:tcW w:type="dxa" w:w="2448"/>
            <w:shd w:fill="1F4E78"/>
            <w:vAlign w:val="center"/>
            <w:tcMar>
              <w:top w:w="100" w:type="dxa"/>
              <w:start w:w="120" w:type="dxa"/>
              <w:bottom w:w="100" w:type="dxa"/>
              <w:end w:w="120" w:type="dxa"/>
            </w:tcMar>
          </w:tcPr>
          <w:p>
            <w:r>
              <w:rPr>
                <w:b/>
                <w:color w:val="FFFFFF"/>
                <w:sz w:val="18"/>
              </w:rPr>
              <w:t>Потерянный слой</w:t>
            </w:r>
          </w:p>
        </w:tc>
        <w:tc>
          <w:tcPr>
            <w:tcW w:type="dxa" w:w="3888"/>
            <w:shd w:fill="1F4E78"/>
            <w:vAlign w:val="center"/>
            <w:tcMar>
              <w:top w:w="100" w:type="dxa"/>
              <w:start w:w="120" w:type="dxa"/>
              <w:bottom w:w="100" w:type="dxa"/>
              <w:end w:w="120" w:type="dxa"/>
            </w:tcMar>
          </w:tcPr>
          <w:p>
            <w:r>
              <w:rPr>
                <w:b/>
                <w:color w:val="FFFFFF"/>
                <w:sz w:val="18"/>
              </w:rPr>
              <w:t>Минимальный repair certificate</w:t>
            </w:r>
          </w:p>
        </w:tc>
        <w:tc>
          <w:tcPr>
            <w:tcW w:type="dxa" w:w="2016"/>
            <w:shd w:fill="1F4E78"/>
            <w:vAlign w:val="center"/>
            <w:tcMar>
              <w:top w:w="100" w:type="dxa"/>
              <w:start w:w="120" w:type="dxa"/>
              <w:bottom w:w="100" w:type="dxa"/>
              <w:end w:w="120" w:type="dxa"/>
            </w:tcMar>
          </w:tcPr>
          <w:p>
            <w:r>
              <w:rPr>
                <w:b/>
                <w:color w:val="FFFFFF"/>
                <w:sz w:val="18"/>
              </w:rPr>
              <w:t>Вердикт без сертификата</w:t>
            </w:r>
          </w:p>
        </w:tc>
      </w:tr>
      <w:tr>
        <w:trPr>
          <w:cantSplit/>
        </w:trPr>
        <w:tc>
          <w:tcPr>
            <w:tcW w:type="dxa" w:w="1152"/>
            <w:vAlign w:val="center"/>
            <w:tcMar>
              <w:top w:w="100" w:type="dxa"/>
              <w:start w:w="120" w:type="dxa"/>
              <w:bottom w:w="100" w:type="dxa"/>
              <w:end w:w="120" w:type="dxa"/>
            </w:tcMar>
          </w:tcPr>
          <w:p>
            <w:r>
              <w:rPr>
                <w:sz w:val="17"/>
              </w:rPr>
              <w:t>LOSS-0</w:t>
            </w:r>
          </w:p>
        </w:tc>
        <w:tc>
          <w:tcPr>
            <w:tcW w:type="dxa" w:w="2448"/>
            <w:vAlign w:val="center"/>
            <w:tcMar>
              <w:top w:w="100" w:type="dxa"/>
              <w:start w:w="120" w:type="dxa"/>
              <w:bottom w:w="100" w:type="dxa"/>
              <w:end w:w="120" w:type="dxa"/>
            </w:tcMar>
          </w:tcPr>
          <w:p>
            <w:r>
              <w:rPr>
                <w:sz w:val="17"/>
              </w:rPr>
              <w:t>нулевой класс</w:t>
            </w:r>
          </w:p>
        </w:tc>
        <w:tc>
          <w:tcPr>
            <w:tcW w:type="dxa" w:w="3888"/>
            <w:vAlign w:val="center"/>
            <w:tcMar>
              <w:top w:w="100" w:type="dxa"/>
              <w:start w:w="120" w:type="dxa"/>
              <w:bottom w:w="100" w:type="dxa"/>
              <w:end w:w="120" w:type="dxa"/>
            </w:tcMar>
          </w:tcPr>
          <w:p>
            <w:r>
              <w:rPr>
                <w:sz w:val="17"/>
              </w:rPr>
              <w:t>ZERO flag + exact residual</w:t>
            </w:r>
          </w:p>
        </w:tc>
        <w:tc>
          <w:tcPr>
            <w:tcW w:type="dxa" w:w="2016"/>
            <w:vAlign w:val="center"/>
            <w:tcMar>
              <w:top w:w="100" w:type="dxa"/>
              <w:start w:w="120" w:type="dxa"/>
              <w:bottom w:w="100" w:type="dxa"/>
              <w:end w:w="120" w:type="dxa"/>
            </w:tcMar>
          </w:tcPr>
          <w:p>
            <w:r>
              <w:rPr>
                <w:sz w:val="17"/>
              </w:rPr>
              <w:t>ABSTAIN</w:t>
            </w:r>
          </w:p>
        </w:tc>
      </w:tr>
      <w:tr>
        <w:trPr>
          <w:cantSplit/>
        </w:trPr>
        <w:tc>
          <w:tcPr>
            <w:tcW w:type="dxa" w:w="1152"/>
            <w:vAlign w:val="center"/>
            <w:tcMar>
              <w:top w:w="100" w:type="dxa"/>
              <w:start w:w="120" w:type="dxa"/>
              <w:bottom w:w="100" w:type="dxa"/>
              <w:end w:w="120" w:type="dxa"/>
            </w:tcMar>
            <w:shd w:fill="EAF1F8"/>
          </w:tcPr>
          <w:p>
            <w:r>
              <w:rPr>
                <w:sz w:val="17"/>
              </w:rPr>
              <w:t>LOSS-S</w:t>
            </w:r>
          </w:p>
        </w:tc>
        <w:tc>
          <w:tcPr>
            <w:tcW w:type="dxa" w:w="2448"/>
            <w:vAlign w:val="center"/>
            <w:tcMar>
              <w:top w:w="100" w:type="dxa"/>
              <w:start w:w="120" w:type="dxa"/>
              <w:bottom w:w="100" w:type="dxa"/>
              <w:end w:w="120" w:type="dxa"/>
            </w:tcMar>
            <w:shd w:fill="EAF1F8"/>
          </w:tcPr>
          <w:p>
            <w:r>
              <w:rPr>
                <w:sz w:val="17"/>
              </w:rPr>
              <w:t>масштаб</w:t>
            </w:r>
          </w:p>
        </w:tc>
        <w:tc>
          <w:tcPr>
            <w:tcW w:type="dxa" w:w="3888"/>
            <w:vAlign w:val="center"/>
            <w:tcMar>
              <w:top w:w="100" w:type="dxa"/>
              <w:start w:w="120" w:type="dxa"/>
              <w:bottom w:w="100" w:type="dxa"/>
              <w:end w:w="120" w:type="dxa"/>
            </w:tcMar>
            <w:shd w:fill="EAF1F8"/>
          </w:tcPr>
          <w:p>
            <w:r>
              <w:rPr>
                <w:sz w:val="17"/>
              </w:rPr>
              <w:t>metric + normalization rule</w:t>
            </w:r>
          </w:p>
        </w:tc>
        <w:tc>
          <w:tcPr>
            <w:tcW w:type="dxa" w:w="2016"/>
            <w:vAlign w:val="center"/>
            <w:tcMar>
              <w:top w:w="100" w:type="dxa"/>
              <w:start w:w="120" w:type="dxa"/>
              <w:bottom w:w="100" w:type="dxa"/>
              <w:end w:w="120" w:type="dxa"/>
            </w:tcMar>
            <w:shd w:fill="EAF1F8"/>
          </w:tcPr>
          <w:p>
            <w:r>
              <w:rPr>
                <w:sz w:val="17"/>
              </w:rPr>
              <w:t>direction only</w:t>
            </w:r>
          </w:p>
        </w:tc>
      </w:tr>
      <w:tr>
        <w:trPr>
          <w:cantSplit/>
        </w:trPr>
        <w:tc>
          <w:tcPr>
            <w:tcW w:type="dxa" w:w="1152"/>
            <w:vAlign w:val="center"/>
            <w:tcMar>
              <w:top w:w="100" w:type="dxa"/>
              <w:start w:w="120" w:type="dxa"/>
              <w:bottom w:w="100" w:type="dxa"/>
              <w:end w:w="120" w:type="dxa"/>
            </w:tcMar>
          </w:tcPr>
          <w:p>
            <w:r>
              <w:rPr>
                <w:sz w:val="17"/>
              </w:rPr>
              <w:t>LOSS-SGN</w:t>
            </w:r>
          </w:p>
        </w:tc>
        <w:tc>
          <w:tcPr>
            <w:tcW w:type="dxa" w:w="2448"/>
            <w:vAlign w:val="center"/>
            <w:tcMar>
              <w:top w:w="100" w:type="dxa"/>
              <w:start w:w="120" w:type="dxa"/>
              <w:bottom w:w="100" w:type="dxa"/>
              <w:end w:w="120" w:type="dxa"/>
            </w:tcMar>
          </w:tcPr>
          <w:p>
            <w:r>
              <w:rPr>
                <w:sz w:val="17"/>
              </w:rPr>
              <w:t>знак/ориентация</w:t>
            </w:r>
          </w:p>
        </w:tc>
        <w:tc>
          <w:tcPr>
            <w:tcW w:type="dxa" w:w="3888"/>
            <w:vAlign w:val="center"/>
            <w:tcMar>
              <w:top w:w="100" w:type="dxa"/>
              <w:start w:w="120" w:type="dxa"/>
              <w:bottom w:w="100" w:type="dxa"/>
              <w:end w:w="120" w:type="dxa"/>
            </w:tcMar>
          </w:tcPr>
          <w:p>
            <w:r>
              <w:rPr>
                <w:sz w:val="17"/>
              </w:rPr>
              <w:t>oriented ray or double cover</w:t>
            </w:r>
          </w:p>
        </w:tc>
        <w:tc>
          <w:tcPr>
            <w:tcW w:type="dxa" w:w="2016"/>
            <w:vAlign w:val="center"/>
            <w:tcMar>
              <w:top w:w="100" w:type="dxa"/>
              <w:start w:w="120" w:type="dxa"/>
              <w:bottom w:w="100" w:type="dxa"/>
              <w:end w:w="120" w:type="dxa"/>
            </w:tcMar>
          </w:tcPr>
          <w:p>
            <w:r>
              <w:rPr>
                <w:sz w:val="17"/>
              </w:rPr>
              <w:t>sign unknown</w:t>
            </w:r>
          </w:p>
        </w:tc>
      </w:tr>
      <w:tr>
        <w:trPr>
          <w:cantSplit/>
        </w:trPr>
        <w:tc>
          <w:tcPr>
            <w:tcW w:type="dxa" w:w="1152"/>
            <w:vAlign w:val="center"/>
            <w:tcMar>
              <w:top w:w="100" w:type="dxa"/>
              <w:start w:w="120" w:type="dxa"/>
              <w:bottom w:w="100" w:type="dxa"/>
              <w:end w:w="120" w:type="dxa"/>
            </w:tcMar>
            <w:shd w:fill="EAF1F8"/>
          </w:tcPr>
          <w:p>
            <w:r>
              <w:rPr>
                <w:sz w:val="17"/>
              </w:rPr>
              <w:t>LOSS-PH</w:t>
            </w:r>
          </w:p>
        </w:tc>
        <w:tc>
          <w:tcPr>
            <w:tcW w:type="dxa" w:w="2448"/>
            <w:vAlign w:val="center"/>
            <w:tcMar>
              <w:top w:w="100" w:type="dxa"/>
              <w:start w:w="120" w:type="dxa"/>
              <w:bottom w:w="100" w:type="dxa"/>
              <w:end w:w="120" w:type="dxa"/>
            </w:tcMar>
            <w:shd w:fill="EAF1F8"/>
          </w:tcPr>
          <w:p>
            <w:r>
              <w:rPr>
                <w:sz w:val="17"/>
              </w:rPr>
              <w:t>complex phase</w:t>
            </w:r>
          </w:p>
        </w:tc>
        <w:tc>
          <w:tcPr>
            <w:tcW w:type="dxa" w:w="3888"/>
            <w:vAlign w:val="center"/>
            <w:tcMar>
              <w:top w:w="100" w:type="dxa"/>
              <w:start w:w="120" w:type="dxa"/>
              <w:bottom w:w="100" w:type="dxa"/>
              <w:end w:w="120" w:type="dxa"/>
            </w:tcMar>
            <w:shd w:fill="EAF1F8"/>
          </w:tcPr>
          <w:p>
            <w:r>
              <w:rPr>
                <w:sz w:val="17"/>
              </w:rPr>
              <w:t>U(1) gauge certificate</w:t>
            </w:r>
          </w:p>
        </w:tc>
        <w:tc>
          <w:tcPr>
            <w:tcW w:type="dxa" w:w="2016"/>
            <w:vAlign w:val="center"/>
            <w:tcMar>
              <w:top w:w="100" w:type="dxa"/>
              <w:start w:w="120" w:type="dxa"/>
              <w:bottom w:w="100" w:type="dxa"/>
              <w:end w:w="120" w:type="dxa"/>
            </w:tcMar>
            <w:shd w:fill="EAF1F8"/>
          </w:tcPr>
          <w:p>
            <w:r>
              <w:rPr>
                <w:sz w:val="17"/>
              </w:rPr>
              <w:t>phase unknown</w:t>
            </w:r>
          </w:p>
        </w:tc>
      </w:tr>
      <w:tr>
        <w:trPr>
          <w:cantSplit/>
        </w:trPr>
        <w:tc>
          <w:tcPr>
            <w:tcW w:type="dxa" w:w="1152"/>
            <w:vAlign w:val="center"/>
            <w:tcMar>
              <w:top w:w="100" w:type="dxa"/>
              <w:start w:w="120" w:type="dxa"/>
              <w:bottom w:w="100" w:type="dxa"/>
              <w:end w:w="120" w:type="dxa"/>
            </w:tcMar>
          </w:tcPr>
          <w:p>
            <w:r>
              <w:rPr>
                <w:sz w:val="17"/>
              </w:rPr>
              <w:t>LOSS-PR</w:t>
            </w:r>
          </w:p>
        </w:tc>
        <w:tc>
          <w:tcPr>
            <w:tcW w:type="dxa" w:w="2448"/>
            <w:vAlign w:val="center"/>
            <w:tcMar>
              <w:top w:w="100" w:type="dxa"/>
              <w:start w:w="120" w:type="dxa"/>
              <w:bottom w:w="100" w:type="dxa"/>
              <w:end w:w="120" w:type="dxa"/>
            </w:tcMar>
          </w:tcPr>
          <w:p>
            <w:r>
              <w:rPr>
                <w:sz w:val="17"/>
              </w:rPr>
              <w:t>provenance</w:t>
            </w:r>
          </w:p>
        </w:tc>
        <w:tc>
          <w:tcPr>
            <w:tcW w:type="dxa" w:w="3888"/>
            <w:vAlign w:val="center"/>
            <w:tcMar>
              <w:top w:w="100" w:type="dxa"/>
              <w:start w:w="120" w:type="dxa"/>
              <w:bottom w:w="100" w:type="dxa"/>
              <w:end w:w="120" w:type="dxa"/>
            </w:tcMar>
          </w:tcPr>
          <w:p>
            <w:r>
              <w:rPr>
                <w:sz w:val="17"/>
              </w:rPr>
              <w:t>Evidence-D chain</w:t>
            </w:r>
          </w:p>
        </w:tc>
        <w:tc>
          <w:tcPr>
            <w:tcW w:type="dxa" w:w="2016"/>
            <w:vAlign w:val="center"/>
            <w:tcMar>
              <w:top w:w="100" w:type="dxa"/>
              <w:start w:w="120" w:type="dxa"/>
              <w:bottom w:w="100" w:type="dxa"/>
              <w:end w:w="120" w:type="dxa"/>
            </w:tcMar>
          </w:tcPr>
          <w:p>
            <w:r>
              <w:rPr>
                <w:sz w:val="17"/>
              </w:rPr>
              <w:t>source unknown</w:t>
            </w:r>
          </w:p>
        </w:tc>
      </w:tr>
      <w:tr>
        <w:trPr>
          <w:cantSplit/>
        </w:trPr>
        <w:tc>
          <w:tcPr>
            <w:tcW w:type="dxa" w:w="1152"/>
            <w:vAlign w:val="center"/>
            <w:tcMar>
              <w:top w:w="100" w:type="dxa"/>
              <w:start w:w="120" w:type="dxa"/>
              <w:bottom w:w="100" w:type="dxa"/>
              <w:end w:w="120" w:type="dxa"/>
            </w:tcMar>
            <w:shd w:fill="EAF1F8"/>
          </w:tcPr>
          <w:p>
            <w:r>
              <w:rPr>
                <w:sz w:val="17"/>
              </w:rPr>
              <w:t>LOSS-LF</w:t>
            </w:r>
          </w:p>
        </w:tc>
        <w:tc>
          <w:tcPr>
            <w:tcW w:type="dxa" w:w="2448"/>
            <w:vAlign w:val="center"/>
            <w:tcMar>
              <w:top w:w="100" w:type="dxa"/>
              <w:start w:w="120" w:type="dxa"/>
              <w:bottom w:w="100" w:type="dxa"/>
              <w:end w:w="120" w:type="dxa"/>
            </w:tcMar>
            <w:shd w:fill="EAF1F8"/>
          </w:tcPr>
          <w:p>
            <w:r>
              <w:rPr>
                <w:sz w:val="17"/>
              </w:rPr>
              <w:t>lift representative</w:t>
            </w:r>
          </w:p>
        </w:tc>
        <w:tc>
          <w:tcPr>
            <w:tcW w:type="dxa" w:w="3888"/>
            <w:vAlign w:val="center"/>
            <w:tcMar>
              <w:top w:w="100" w:type="dxa"/>
              <w:start w:w="120" w:type="dxa"/>
              <w:bottom w:w="100" w:type="dxa"/>
              <w:end w:w="120" w:type="dxa"/>
            </w:tcMar>
            <w:shd w:fill="EAF1F8"/>
          </w:tcPr>
          <w:p>
            <w:r>
              <w:rPr>
                <w:sz w:val="17"/>
              </w:rPr>
              <w:t>H² torsor coordinate</w:t>
            </w:r>
          </w:p>
        </w:tc>
        <w:tc>
          <w:tcPr>
            <w:tcW w:type="dxa" w:w="2016"/>
            <w:vAlign w:val="center"/>
            <w:tcMar>
              <w:top w:w="100" w:type="dxa"/>
              <w:start w:w="120" w:type="dxa"/>
              <w:bottom w:w="100" w:type="dxa"/>
              <w:end w:w="120" w:type="dxa"/>
            </w:tcMar>
            <w:shd w:fill="EAF1F8"/>
          </w:tcPr>
          <w:p>
            <w:r>
              <w:rPr>
                <w:sz w:val="17"/>
              </w:rPr>
              <w:t>lift nonunique</w:t>
            </w:r>
          </w:p>
        </w:tc>
      </w:tr>
      <w:tr>
        <w:trPr>
          <w:cantSplit/>
        </w:trPr>
        <w:tc>
          <w:tcPr>
            <w:tcW w:type="dxa" w:w="1152"/>
            <w:vAlign w:val="center"/>
            <w:tcMar>
              <w:top w:w="100" w:type="dxa"/>
              <w:start w:w="120" w:type="dxa"/>
              <w:bottom w:w="100" w:type="dxa"/>
              <w:end w:w="120" w:type="dxa"/>
            </w:tcMar>
          </w:tcPr>
          <w:p>
            <w:r>
              <w:rPr>
                <w:sz w:val="17"/>
              </w:rPr>
              <w:t>LOSS-DOM</w:t>
            </w:r>
          </w:p>
        </w:tc>
        <w:tc>
          <w:tcPr>
            <w:tcW w:type="dxa" w:w="2448"/>
            <w:vAlign w:val="center"/>
            <w:tcMar>
              <w:top w:w="100" w:type="dxa"/>
              <w:start w:w="120" w:type="dxa"/>
              <w:bottom w:w="100" w:type="dxa"/>
              <w:end w:w="120" w:type="dxa"/>
            </w:tcMar>
          </w:tcPr>
          <w:p>
            <w:r>
              <w:rPr>
                <w:sz w:val="17"/>
              </w:rPr>
              <w:t>domain</w:t>
            </w:r>
          </w:p>
        </w:tc>
        <w:tc>
          <w:tcPr>
            <w:tcW w:type="dxa" w:w="3888"/>
            <w:vAlign w:val="center"/>
            <w:tcMar>
              <w:top w:w="100" w:type="dxa"/>
              <w:start w:w="120" w:type="dxa"/>
              <w:bottom w:w="100" w:type="dxa"/>
              <w:end w:w="120" w:type="dxa"/>
            </w:tcMar>
          </w:tcPr>
          <w:p>
            <w:r>
              <w:rPr>
                <w:sz w:val="17"/>
              </w:rPr>
              <w:t>Dom signature</w:t>
            </w:r>
          </w:p>
        </w:tc>
        <w:tc>
          <w:tcPr>
            <w:tcW w:type="dxa" w:w="2016"/>
            <w:vAlign w:val="center"/>
            <w:tcMar>
              <w:top w:w="100" w:type="dxa"/>
              <w:start w:w="120" w:type="dxa"/>
              <w:bottom w:w="100" w:type="dxa"/>
              <w:end w:w="120" w:type="dxa"/>
            </w:tcMar>
          </w:tcPr>
          <w:p>
            <w:r>
              <w:rPr>
                <w:sz w:val="17"/>
              </w:rPr>
              <w:t>claim not transportable</w:t>
            </w:r>
          </w:p>
        </w:tc>
      </w:tr>
      <w:tr>
        <w:trPr>
          <w:cantSplit/>
        </w:trPr>
        <w:tc>
          <w:tcPr>
            <w:tcW w:type="dxa" w:w="1152"/>
            <w:vAlign w:val="center"/>
            <w:tcMar>
              <w:top w:w="100" w:type="dxa"/>
              <w:start w:w="120" w:type="dxa"/>
              <w:bottom w:w="100" w:type="dxa"/>
              <w:end w:w="120" w:type="dxa"/>
            </w:tcMar>
            <w:shd w:fill="EAF1F8"/>
          </w:tcPr>
          <w:p>
            <w:r>
              <w:rPr>
                <w:sz w:val="17"/>
              </w:rPr>
              <w:t>LOSS-GL</w:t>
            </w:r>
          </w:p>
        </w:tc>
        <w:tc>
          <w:tcPr>
            <w:tcW w:type="dxa" w:w="2448"/>
            <w:vAlign w:val="center"/>
            <w:tcMar>
              <w:top w:w="100" w:type="dxa"/>
              <w:start w:w="120" w:type="dxa"/>
              <w:bottom w:w="100" w:type="dxa"/>
              <w:end w:w="120" w:type="dxa"/>
            </w:tcMar>
            <w:shd w:fill="EAF1F8"/>
          </w:tcPr>
          <w:p>
            <w:r>
              <w:rPr>
                <w:sz w:val="17"/>
              </w:rPr>
              <w:t>globalization</w:t>
            </w:r>
          </w:p>
        </w:tc>
        <w:tc>
          <w:tcPr>
            <w:tcW w:type="dxa" w:w="3888"/>
            <w:vAlign w:val="center"/>
            <w:tcMar>
              <w:top w:w="100" w:type="dxa"/>
              <w:start w:w="120" w:type="dxa"/>
              <w:bottom w:w="100" w:type="dxa"/>
              <w:end w:w="120" w:type="dxa"/>
            </w:tcMar>
            <w:shd w:fill="EAF1F8"/>
          </w:tcPr>
          <w:p>
            <w:r>
              <w:rPr>
                <w:sz w:val="17"/>
              </w:rPr>
              <w:t>descent certificate</w:t>
            </w:r>
          </w:p>
        </w:tc>
        <w:tc>
          <w:tcPr>
            <w:tcW w:type="dxa" w:w="2016"/>
            <w:vAlign w:val="center"/>
            <w:tcMar>
              <w:top w:w="100" w:type="dxa"/>
              <w:start w:w="120" w:type="dxa"/>
              <w:bottom w:w="100" w:type="dxa"/>
              <w:end w:w="120" w:type="dxa"/>
            </w:tcMar>
            <w:shd w:fill="EAF1F8"/>
          </w:tcPr>
          <w:p>
            <w:r>
              <w:rPr>
                <w:sz w:val="17"/>
              </w:rPr>
              <w:t>local only</w:t>
            </w:r>
          </w:p>
        </w:tc>
      </w:tr>
    </w:tbl>
    <w:p/>
    <w:p>
      <w:r>
        <w:t>Полный projective certificate имеет форму</w:t>
      </w:r>
    </w:p>
    <w:p>
      <w:bookmarkStart w:id="1798" w:name="f_14_18"/>
      <w:pPr>
        <w:pStyle w:val="Quote"/>
        <w:jc w:val="center"/>
      </w:pPr>
      <w:r>
        <w:rPr>
          <w:rFonts w:ascii="Cambria Math" w:hAnsi="Cambria Math"/>
          <w:sz w:val="22"/>
        </w:rPr>
        <w:t>Cert_proj = ([o], ZERO, NORM, ORIENT, PROV, LIFT, DOM, GLUE, HASH).</w:t>
      </w:r>
      <w:r>
        <w:t xml:space="preserve">    (14.18)</w:t>
      </w:r>
      <w:bookmarkEnd w:id="1798"/>
    </w:p>
    <w:p>
      <w:bookmarkStart w:id="1052" w:name="h_1727"/>
      <w:pPr>
        <w:pStyle w:val="Heading1"/>
        <w:keepNext/>
      </w:pPr>
      <w:r>
        <w:t>125. Контрпримеры и разделяющие модели</w:t>
      </w:r>
      <w:bookmarkEnd w:id="1052"/>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936"/>
            <w:shd w:fill="1F4E78"/>
            <w:vAlign w:val="center"/>
            <w:tcMar>
              <w:top w:w="100" w:type="dxa"/>
              <w:start w:w="120" w:type="dxa"/>
              <w:bottom w:w="100" w:type="dxa"/>
              <w:end w:w="120" w:type="dxa"/>
            </w:tcMar>
          </w:tcPr>
          <w:p>
            <w:r>
              <w:rPr>
                <w:b/>
                <w:color w:val="FFFFFF"/>
                <w:sz w:val="18"/>
              </w:rPr>
              <w:t>ID</w:t>
            </w:r>
          </w:p>
        </w:tc>
        <w:tc>
          <w:tcPr>
            <w:tcW w:type="dxa" w:w="2232"/>
            <w:shd w:fill="1F4E78"/>
            <w:vAlign w:val="center"/>
            <w:tcMar>
              <w:top w:w="100" w:type="dxa"/>
              <w:start w:w="120" w:type="dxa"/>
              <w:bottom w:w="100" w:type="dxa"/>
              <w:end w:w="120" w:type="dxa"/>
            </w:tcMar>
          </w:tcPr>
          <w:p>
            <w:r>
              <w:rPr>
                <w:b/>
                <w:color w:val="FFFFFF"/>
                <w:sz w:val="18"/>
              </w:rPr>
              <w:t>Модель</w:t>
            </w:r>
          </w:p>
        </w:tc>
        <w:tc>
          <w:tcPr>
            <w:tcW w:type="dxa" w:w="3240"/>
            <w:shd w:fill="1F4E78"/>
            <w:vAlign w:val="center"/>
            <w:tcMar>
              <w:top w:w="100" w:type="dxa"/>
              <w:start w:w="120" w:type="dxa"/>
              <w:bottom w:w="100" w:type="dxa"/>
              <w:end w:w="120" w:type="dxa"/>
            </w:tcMar>
          </w:tcPr>
          <w:p>
            <w:r>
              <w:rPr>
                <w:b/>
                <w:color w:val="FFFFFF"/>
                <w:sz w:val="18"/>
              </w:rPr>
              <w:t>Данные</w:t>
            </w:r>
          </w:p>
        </w:tc>
        <w:tc>
          <w:tcPr>
            <w:tcW w:type="dxa" w:w="3096"/>
            <w:shd w:fill="1F4E78"/>
            <w:vAlign w:val="center"/>
            <w:tcMar>
              <w:top w:w="100" w:type="dxa"/>
              <w:start w:w="120" w:type="dxa"/>
              <w:bottom w:w="100" w:type="dxa"/>
              <w:end w:w="120" w:type="dxa"/>
            </w:tcMar>
          </w:tcPr>
          <w:p>
            <w:r>
              <w:rPr>
                <w:b/>
                <w:color w:val="FFFFFF"/>
                <w:sz w:val="18"/>
              </w:rPr>
              <w:t>Что опровергает</w:t>
            </w:r>
          </w:p>
        </w:tc>
      </w:tr>
      <w:tr>
        <w:trPr>
          <w:cantSplit/>
        </w:trPr>
        <w:tc>
          <w:tcPr>
            <w:tcW w:type="dxa" w:w="936"/>
            <w:vAlign w:val="center"/>
            <w:tcMar>
              <w:top w:w="100" w:type="dxa"/>
              <w:start w:w="120" w:type="dxa"/>
              <w:bottom w:w="100" w:type="dxa"/>
              <w:end w:w="120" w:type="dxa"/>
            </w:tcMar>
          </w:tcPr>
          <w:p>
            <w:r>
              <w:rPr>
                <w:sz w:val="17"/>
              </w:rPr>
              <w:t>14.C</w:t>
            </w:r>
          </w:p>
        </w:tc>
        <w:tc>
          <w:tcPr>
            <w:tcW w:type="dxa" w:w="2232"/>
            <w:vAlign w:val="center"/>
            <w:tcMar>
              <w:top w:w="100" w:type="dxa"/>
              <w:start w:w="120" w:type="dxa"/>
              <w:bottom w:w="100" w:type="dxa"/>
              <w:end w:w="120" w:type="dxa"/>
            </w:tcMar>
          </w:tcPr>
          <w:p>
            <w:r>
              <w:rPr>
                <w:sz w:val="17"/>
              </w:rPr>
              <w:t>Одинаковая точка, разные нормы</w:t>
            </w:r>
          </w:p>
        </w:tc>
        <w:tc>
          <w:tcPr>
            <w:tcW w:type="dxa" w:w="3240"/>
            <w:vAlign w:val="center"/>
            <w:tcMar>
              <w:top w:w="100" w:type="dxa"/>
              <w:start w:w="120" w:type="dxa"/>
              <w:bottom w:w="100" w:type="dxa"/>
              <w:end w:w="120" w:type="dxa"/>
            </w:tcMar>
          </w:tcPr>
          <w:p>
            <w:r>
              <w:rPr>
                <w:sz w:val="17"/>
              </w:rPr>
              <w:t>o=(1,0), o′=(10⁶,0)</w:t>
            </w:r>
          </w:p>
        </w:tc>
        <w:tc>
          <w:tcPr>
            <w:tcW w:type="dxa" w:w="3096"/>
            <w:vAlign w:val="center"/>
            <w:tcMar>
              <w:top w:w="100" w:type="dxa"/>
              <w:start w:w="120" w:type="dxa"/>
              <w:bottom w:w="100" w:type="dxa"/>
              <w:end w:w="120" w:type="dxa"/>
            </w:tcMar>
          </w:tcPr>
          <w:p>
            <w:r>
              <w:rPr>
                <w:sz w:val="17"/>
              </w:rPr>
              <w:t>[o]=[o′], но количественный риск различен</w:t>
            </w:r>
          </w:p>
        </w:tc>
      </w:tr>
      <w:tr>
        <w:trPr>
          <w:cantSplit/>
        </w:trPr>
        <w:tc>
          <w:tcPr>
            <w:tcW w:type="dxa" w:w="936"/>
            <w:vAlign w:val="center"/>
            <w:tcMar>
              <w:top w:w="100" w:type="dxa"/>
              <w:start w:w="120" w:type="dxa"/>
              <w:bottom w:w="100" w:type="dxa"/>
              <w:end w:w="120" w:type="dxa"/>
            </w:tcMar>
            <w:shd w:fill="EAF1F8"/>
          </w:tcPr>
          <w:p>
            <w:r>
              <w:rPr>
                <w:sz w:val="17"/>
              </w:rPr>
              <w:t>14.D</w:t>
            </w:r>
          </w:p>
        </w:tc>
        <w:tc>
          <w:tcPr>
            <w:tcW w:type="dxa" w:w="2232"/>
            <w:vAlign w:val="center"/>
            <w:tcMar>
              <w:top w:w="100" w:type="dxa"/>
              <w:start w:w="120" w:type="dxa"/>
              <w:bottom w:w="100" w:type="dxa"/>
              <w:end w:w="120" w:type="dxa"/>
            </w:tcMar>
            <w:shd w:fill="EAF1F8"/>
          </w:tcPr>
          <w:p>
            <w:r>
              <w:rPr>
                <w:sz w:val="17"/>
              </w:rPr>
              <w:t>Одинаковая точка, противоположный знак</w:t>
            </w:r>
          </w:p>
        </w:tc>
        <w:tc>
          <w:tcPr>
            <w:tcW w:type="dxa" w:w="3240"/>
            <w:vAlign w:val="center"/>
            <w:tcMar>
              <w:top w:w="100" w:type="dxa"/>
              <w:start w:w="120" w:type="dxa"/>
              <w:bottom w:w="100" w:type="dxa"/>
              <w:end w:w="120" w:type="dxa"/>
            </w:tcMar>
            <w:shd w:fill="EAF1F8"/>
          </w:tcPr>
          <w:p>
            <w:r>
              <w:rPr>
                <w:sz w:val="17"/>
              </w:rPr>
              <w:t>o и -o над R</w:t>
            </w:r>
          </w:p>
        </w:tc>
        <w:tc>
          <w:tcPr>
            <w:tcW w:type="dxa" w:w="3096"/>
            <w:vAlign w:val="center"/>
            <w:tcMar>
              <w:top w:w="100" w:type="dxa"/>
              <w:start w:w="120" w:type="dxa"/>
              <w:bottom w:w="100" w:type="dxa"/>
              <w:end w:w="120" w:type="dxa"/>
            </w:tcMar>
            <w:shd w:fill="EAF1F8"/>
          </w:tcPr>
          <w:p>
            <w:r>
              <w:rPr>
                <w:sz w:val="17"/>
              </w:rPr>
              <w:t>projectivization уничтожает ориентацию</w:t>
            </w:r>
          </w:p>
        </w:tc>
      </w:tr>
      <w:tr>
        <w:trPr>
          <w:cantSplit/>
        </w:trPr>
        <w:tc>
          <w:tcPr>
            <w:tcW w:type="dxa" w:w="936"/>
            <w:vAlign w:val="center"/>
            <w:tcMar>
              <w:top w:w="100" w:type="dxa"/>
              <w:start w:w="120" w:type="dxa"/>
              <w:bottom w:w="100" w:type="dxa"/>
              <w:end w:w="120" w:type="dxa"/>
            </w:tcMar>
          </w:tcPr>
          <w:p>
            <w:r>
              <w:rPr>
                <w:sz w:val="17"/>
              </w:rPr>
              <w:t>14.E</w:t>
            </w:r>
          </w:p>
        </w:tc>
        <w:tc>
          <w:tcPr>
            <w:tcW w:type="dxa" w:w="2232"/>
            <w:vAlign w:val="center"/>
            <w:tcMar>
              <w:top w:w="100" w:type="dxa"/>
              <w:start w:w="120" w:type="dxa"/>
              <w:bottom w:w="100" w:type="dxa"/>
              <w:end w:w="120" w:type="dxa"/>
            </w:tcMar>
          </w:tcPr>
          <w:p>
            <w:r>
              <w:rPr>
                <w:sz w:val="17"/>
              </w:rPr>
              <w:t>Нулевой класс</w:t>
            </w:r>
          </w:p>
        </w:tc>
        <w:tc>
          <w:tcPr>
            <w:tcW w:type="dxa" w:w="3240"/>
            <w:vAlign w:val="center"/>
            <w:tcMar>
              <w:top w:w="100" w:type="dxa"/>
              <w:start w:w="120" w:type="dxa"/>
              <w:bottom w:w="100" w:type="dxa"/>
              <w:end w:w="120" w:type="dxa"/>
            </w:tcMar>
          </w:tcPr>
          <w:p>
            <w:r>
              <w:rPr>
                <w:sz w:val="17"/>
              </w:rPr>
              <w:t>o=0</w:t>
            </w:r>
          </w:p>
        </w:tc>
        <w:tc>
          <w:tcPr>
            <w:tcW w:type="dxa" w:w="3096"/>
            <w:vAlign w:val="center"/>
            <w:tcMar>
              <w:top w:w="100" w:type="dxa"/>
              <w:start w:w="120" w:type="dxa"/>
              <w:bottom w:w="100" w:type="dxa"/>
              <w:end w:w="120" w:type="dxa"/>
            </w:tcMar>
          </w:tcPr>
          <w:p>
            <w:r>
              <w:rPr>
                <w:sz w:val="17"/>
              </w:rPr>
              <w:t>P(o) не определено</w:t>
            </w:r>
          </w:p>
        </w:tc>
      </w:tr>
      <w:tr>
        <w:trPr>
          <w:cantSplit/>
        </w:trPr>
        <w:tc>
          <w:tcPr>
            <w:tcW w:type="dxa" w:w="936"/>
            <w:vAlign w:val="center"/>
            <w:tcMar>
              <w:top w:w="100" w:type="dxa"/>
              <w:start w:w="120" w:type="dxa"/>
              <w:bottom w:w="100" w:type="dxa"/>
              <w:end w:w="120" w:type="dxa"/>
            </w:tcMar>
            <w:shd w:fill="EAF1F8"/>
          </w:tcPr>
          <w:p>
            <w:r>
              <w:rPr>
                <w:sz w:val="17"/>
              </w:rPr>
              <w:t>14.F</w:t>
            </w:r>
          </w:p>
        </w:tc>
        <w:tc>
          <w:tcPr>
            <w:tcW w:type="dxa" w:w="2232"/>
            <w:vAlign w:val="center"/>
            <w:tcMar>
              <w:top w:w="100" w:type="dxa"/>
              <w:start w:w="120" w:type="dxa"/>
              <w:bottom w:w="100" w:type="dxa"/>
              <w:end w:w="120" w:type="dxa"/>
            </w:tcMar>
            <w:shd w:fill="EAF1F8"/>
          </w:tcPr>
          <w:p>
            <w:r>
              <w:rPr>
                <w:sz w:val="17"/>
              </w:rPr>
              <w:t>Карта с ядром</w:t>
            </w:r>
          </w:p>
        </w:tc>
        <w:tc>
          <w:tcPr>
            <w:tcW w:type="dxa" w:w="3240"/>
            <w:vAlign w:val="center"/>
            <w:tcMar>
              <w:top w:w="100" w:type="dxa"/>
              <w:start w:w="120" w:type="dxa"/>
              <w:bottom w:w="100" w:type="dxa"/>
              <w:end w:w="120" w:type="dxa"/>
            </w:tcMar>
            <w:shd w:fill="EAF1F8"/>
          </w:tcPr>
          <w:p>
            <w:r>
              <w:rPr>
                <w:sz w:val="17"/>
              </w:rPr>
              <w:t>f(x,y)=x</w:t>
            </w:r>
          </w:p>
        </w:tc>
        <w:tc>
          <w:tcPr>
            <w:tcW w:type="dxa" w:w="3096"/>
            <w:vAlign w:val="center"/>
            <w:tcMar>
              <w:top w:w="100" w:type="dxa"/>
              <w:start w:w="120" w:type="dxa"/>
              <w:bottom w:w="100" w:type="dxa"/>
              <w:end w:w="120" w:type="dxa"/>
            </w:tcMar>
            <w:shd w:fill="EAF1F8"/>
          </w:tcPr>
          <w:p>
            <w:r>
              <w:rPr>
                <w:sz w:val="17"/>
              </w:rPr>
              <w:t>P(f) не определено в [0:1]</w:t>
            </w:r>
          </w:p>
        </w:tc>
      </w:tr>
      <w:tr>
        <w:trPr>
          <w:cantSplit/>
        </w:trPr>
        <w:tc>
          <w:tcPr>
            <w:tcW w:type="dxa" w:w="936"/>
            <w:vAlign w:val="center"/>
            <w:tcMar>
              <w:top w:w="100" w:type="dxa"/>
              <w:start w:w="120" w:type="dxa"/>
              <w:bottom w:w="100" w:type="dxa"/>
              <w:end w:w="120" w:type="dxa"/>
            </w:tcMar>
          </w:tcPr>
          <w:p>
            <w:r>
              <w:rPr>
                <w:sz w:val="17"/>
              </w:rPr>
              <w:t>14.G</w:t>
            </w:r>
          </w:p>
        </w:tc>
        <w:tc>
          <w:tcPr>
            <w:tcW w:type="dxa" w:w="2232"/>
            <w:vAlign w:val="center"/>
            <w:tcMar>
              <w:top w:w="100" w:type="dxa"/>
              <w:start w:w="120" w:type="dxa"/>
              <w:bottom w:w="100" w:type="dxa"/>
              <w:end w:w="120" w:type="dxa"/>
            </w:tcMar>
          </w:tcPr>
          <w:p>
            <w:r>
              <w:rPr>
                <w:sz w:val="17"/>
              </w:rPr>
              <w:t>Локально, но не глобально</w:t>
            </w:r>
          </w:p>
        </w:tc>
        <w:tc>
          <w:tcPr>
            <w:tcW w:type="dxa" w:w="3240"/>
            <w:vAlign w:val="center"/>
            <w:tcMar>
              <w:top w:w="100" w:type="dxa"/>
              <w:start w:w="120" w:type="dxa"/>
              <w:bottom w:w="100" w:type="dxa"/>
              <w:end w:w="120" w:type="dxa"/>
            </w:tcMar>
          </w:tcPr>
          <w:p>
            <w:r>
              <w:rPr>
                <w:sz w:val="17"/>
              </w:rPr>
              <w:t>несогласованные φ_ij</w:t>
            </w:r>
          </w:p>
        </w:tc>
        <w:tc>
          <w:tcPr>
            <w:tcW w:type="dxa" w:w="3096"/>
            <w:vAlign w:val="center"/>
            <w:tcMar>
              <w:top w:w="100" w:type="dxa"/>
              <w:start w:w="120" w:type="dxa"/>
              <w:bottom w:w="100" w:type="dxa"/>
              <w:end w:w="120" w:type="dxa"/>
            </w:tcMar>
          </w:tcPr>
          <w:p>
            <w:r>
              <w:rPr>
                <w:sz w:val="17"/>
              </w:rPr>
              <w:t>projective charts не склеиваются</w:t>
            </w:r>
          </w:p>
        </w:tc>
      </w:tr>
      <w:tr>
        <w:trPr>
          <w:cantSplit/>
        </w:trPr>
        <w:tc>
          <w:tcPr>
            <w:tcW w:type="dxa" w:w="936"/>
            <w:vAlign w:val="center"/>
            <w:tcMar>
              <w:top w:w="100" w:type="dxa"/>
              <w:start w:w="120" w:type="dxa"/>
              <w:bottom w:w="100" w:type="dxa"/>
              <w:end w:w="120" w:type="dxa"/>
            </w:tcMar>
            <w:shd w:fill="EAF1F8"/>
          </w:tcPr>
          <w:p>
            <w:r>
              <w:rPr>
                <w:sz w:val="17"/>
              </w:rPr>
              <w:t>14.H</w:t>
            </w:r>
          </w:p>
        </w:tc>
        <w:tc>
          <w:tcPr>
            <w:tcW w:type="dxa" w:w="2232"/>
            <w:vAlign w:val="center"/>
            <w:tcMar>
              <w:top w:w="100" w:type="dxa"/>
              <w:start w:w="120" w:type="dxa"/>
              <w:bottom w:w="100" w:type="dxa"/>
              <w:end w:w="120" w:type="dxa"/>
            </w:tcMar>
            <w:shd w:fill="EAF1F8"/>
          </w:tcPr>
          <w:p>
            <w:r>
              <w:rPr>
                <w:sz w:val="17"/>
              </w:rPr>
              <w:t>Малая projective дистанция</w:t>
            </w:r>
          </w:p>
        </w:tc>
        <w:tc>
          <w:tcPr>
            <w:tcW w:type="dxa" w:w="3240"/>
            <w:vAlign w:val="center"/>
            <w:tcMar>
              <w:top w:w="100" w:type="dxa"/>
              <w:start w:w="120" w:type="dxa"/>
              <w:bottom w:w="100" w:type="dxa"/>
              <w:end w:w="120" w:type="dxa"/>
            </w:tcMar>
            <w:shd w:fill="EAF1F8"/>
          </w:tcPr>
          <w:p>
            <w:r>
              <w:rPr>
                <w:sz w:val="17"/>
              </w:rPr>
              <w:t>u_n=n e1, v_n=n e1+e2</w:t>
            </w:r>
          </w:p>
        </w:tc>
        <w:tc>
          <w:tcPr>
            <w:tcW w:type="dxa" w:w="3096"/>
            <w:vAlign w:val="center"/>
            <w:tcMar>
              <w:top w:w="100" w:type="dxa"/>
              <w:start w:w="120" w:type="dxa"/>
              <w:bottom w:w="100" w:type="dxa"/>
              <w:end w:w="120" w:type="dxa"/>
            </w:tcMar>
            <w:shd w:fill="EAF1F8"/>
          </w:tcPr>
          <w:p>
            <w:r>
              <w:rPr>
                <w:sz w:val="17"/>
              </w:rPr>
              <w:t>угол→0, но абсолютный дефект не исчезает</w:t>
            </w:r>
          </w:p>
        </w:tc>
      </w:tr>
      <w:tr>
        <w:trPr>
          <w:cantSplit/>
        </w:trPr>
        <w:tc>
          <w:tcPr>
            <w:tcW w:type="dxa" w:w="936"/>
            <w:vAlign w:val="center"/>
            <w:tcMar>
              <w:top w:w="100" w:type="dxa"/>
              <w:start w:w="120" w:type="dxa"/>
              <w:bottom w:w="100" w:type="dxa"/>
              <w:end w:w="120" w:type="dxa"/>
            </w:tcMar>
          </w:tcPr>
          <w:p>
            <w:r>
              <w:rPr>
                <w:sz w:val="17"/>
              </w:rPr>
              <w:t>14.I</w:t>
            </w:r>
          </w:p>
        </w:tc>
        <w:tc>
          <w:tcPr>
            <w:tcW w:type="dxa" w:w="2232"/>
            <w:vAlign w:val="center"/>
            <w:tcMar>
              <w:top w:w="100" w:type="dxa"/>
              <w:start w:w="120" w:type="dxa"/>
              <w:bottom w:w="100" w:type="dxa"/>
              <w:end w:w="120" w:type="dxa"/>
            </w:tcMar>
          </w:tcPr>
          <w:p>
            <w:r>
              <w:rPr>
                <w:sz w:val="17"/>
              </w:rPr>
              <w:t>λ без моста</w:t>
            </w:r>
          </w:p>
        </w:tc>
        <w:tc>
          <w:tcPr>
            <w:tcW w:type="dxa" w:w="3240"/>
            <w:vAlign w:val="center"/>
            <w:tcMar>
              <w:top w:w="100" w:type="dxa"/>
              <w:start w:w="120" w:type="dxa"/>
              <w:bottom w:w="100" w:type="dxa"/>
              <w:end w:w="120" w:type="dxa"/>
            </w:tcMar>
          </w:tcPr>
          <w:p>
            <w:r>
              <w:rPr>
                <w:sz w:val="17"/>
              </w:rPr>
              <w:t>одна [o], разные четверки функционалов</w:t>
            </w:r>
          </w:p>
        </w:tc>
        <w:tc>
          <w:tcPr>
            <w:tcW w:type="dxa" w:w="3096"/>
            <w:vAlign w:val="center"/>
            <w:tcMar>
              <w:top w:w="100" w:type="dxa"/>
              <w:start w:w="120" w:type="dxa"/>
              <w:bottom w:w="100" w:type="dxa"/>
              <w:end w:w="120" w:type="dxa"/>
            </w:tcMar>
          </w:tcPr>
          <w:p>
            <w:r>
              <w:rPr>
                <w:sz w:val="17"/>
              </w:rPr>
              <w:t>разные λ</w:t>
            </w:r>
          </w:p>
        </w:tc>
      </w:tr>
      <w:tr>
        <w:trPr>
          <w:cantSplit/>
        </w:trPr>
        <w:tc>
          <w:tcPr>
            <w:tcW w:type="dxa" w:w="936"/>
            <w:vAlign w:val="center"/>
            <w:tcMar>
              <w:top w:w="100" w:type="dxa"/>
              <w:start w:w="120" w:type="dxa"/>
              <w:bottom w:w="100" w:type="dxa"/>
              <w:end w:w="120" w:type="dxa"/>
            </w:tcMar>
            <w:shd w:fill="EAF1F8"/>
          </w:tcPr>
          <w:p>
            <w:r>
              <w:rPr>
                <w:sz w:val="17"/>
              </w:rPr>
              <w:t>14.J</w:t>
            </w:r>
          </w:p>
        </w:tc>
        <w:tc>
          <w:tcPr>
            <w:tcW w:type="dxa" w:w="2232"/>
            <w:vAlign w:val="center"/>
            <w:tcMar>
              <w:top w:w="100" w:type="dxa"/>
              <w:start w:w="120" w:type="dxa"/>
              <w:bottom w:w="100" w:type="dxa"/>
              <w:end w:w="120" w:type="dxa"/>
            </w:tcMar>
            <w:shd w:fill="EAF1F8"/>
          </w:tcPr>
          <w:p>
            <w:r>
              <w:rPr>
                <w:sz w:val="17"/>
              </w:rPr>
              <w:t>Положительный конус</w:t>
            </w:r>
          </w:p>
        </w:tc>
        <w:tc>
          <w:tcPr>
            <w:tcW w:type="dxa" w:w="3240"/>
            <w:vAlign w:val="center"/>
            <w:tcMar>
              <w:top w:w="100" w:type="dxa"/>
              <w:start w:w="120" w:type="dxa"/>
              <w:bottom w:w="100" w:type="dxa"/>
              <w:end w:w="120" w:type="dxa"/>
            </w:tcMar>
            <w:shd w:fill="EAF1F8"/>
          </w:tcPr>
          <w:p>
            <w:r>
              <w:rPr>
                <w:sz w:val="17"/>
              </w:rPr>
              <w:t>o и -o</w:t>
            </w:r>
          </w:p>
        </w:tc>
        <w:tc>
          <w:tcPr>
            <w:tcW w:type="dxa" w:w="3096"/>
            <w:vAlign w:val="center"/>
            <w:tcMar>
              <w:top w:w="100" w:type="dxa"/>
              <w:start w:w="120" w:type="dxa"/>
              <w:bottom w:w="100" w:type="dxa"/>
              <w:end w:w="120" w:type="dxa"/>
            </w:tcMar>
            <w:shd w:fill="EAF1F8"/>
          </w:tcPr>
          <w:p>
            <w:r>
              <w:rPr>
                <w:sz w:val="17"/>
              </w:rPr>
              <w:t>обычная P теряет order type</w:t>
            </w:r>
          </w:p>
        </w:tc>
      </w:tr>
    </w:tbl>
    <w:p/>
    <w:p>
      <w:bookmarkStart w:id="1053" w:name="h_1729"/>
      <w:pPr>
        <w:pStyle w:val="Heading1"/>
        <w:keepNext/>
      </w:pPr>
      <w:r>
        <w:t>126. Вычислительный сертификат PROJ-01-PROJ-18</w:t>
      </w:r>
      <w:bookmarkEnd w:id="1053"/>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1728"/>
            <w:shd w:fill="1F4E78"/>
            <w:vAlign w:val="center"/>
            <w:tcMar>
              <w:top w:w="100" w:type="dxa"/>
              <w:start w:w="120" w:type="dxa"/>
              <w:bottom w:w="100" w:type="dxa"/>
              <w:end w:w="120" w:type="dxa"/>
            </w:tcMar>
          </w:tcPr>
          <w:p>
            <w:r>
              <w:rPr>
                <w:b/>
                <w:color w:val="FFFFFF"/>
                <w:sz w:val="18"/>
              </w:rPr>
              <w:t>Шаг</w:t>
            </w:r>
          </w:p>
        </w:tc>
        <w:tc>
          <w:tcPr>
            <w:tcW w:type="dxa" w:w="8352"/>
            <w:shd w:fill="1F4E78"/>
            <w:vAlign w:val="center"/>
            <w:tcMar>
              <w:top w:w="100" w:type="dxa"/>
              <w:start w:w="120" w:type="dxa"/>
              <w:bottom w:w="100" w:type="dxa"/>
              <w:end w:w="120" w:type="dxa"/>
            </w:tcMar>
          </w:tcPr>
          <w:p>
            <w:r>
              <w:rPr>
                <w:b/>
                <w:color w:val="FFFFFF"/>
                <w:sz w:val="18"/>
              </w:rPr>
              <w:t>Проверка</w:t>
            </w:r>
          </w:p>
        </w:tc>
      </w:tr>
      <w:tr>
        <w:trPr>
          <w:cantSplit/>
        </w:trPr>
        <w:tc>
          <w:tcPr>
            <w:tcW w:type="dxa" w:w="1728"/>
            <w:vAlign w:val="center"/>
            <w:tcMar>
              <w:top w:w="100" w:type="dxa"/>
              <w:start w:w="120" w:type="dxa"/>
              <w:bottom w:w="100" w:type="dxa"/>
              <w:end w:w="120" w:type="dxa"/>
            </w:tcMar>
          </w:tcPr>
          <w:p>
            <w:r>
              <w:rPr>
                <w:sz w:val="17"/>
              </w:rPr>
              <w:t>PROJ-01</w:t>
            </w:r>
          </w:p>
        </w:tc>
        <w:tc>
          <w:tcPr>
            <w:tcW w:type="dxa" w:w="8352"/>
            <w:vAlign w:val="center"/>
            <w:tcMar>
              <w:top w:w="100" w:type="dxa"/>
              <w:start w:w="120" w:type="dxa"/>
              <w:bottom w:w="100" w:type="dxa"/>
              <w:end w:w="120" w:type="dxa"/>
            </w:tcMar>
          </w:tcPr>
          <w:p>
            <w:r>
              <w:rPr>
                <w:sz w:val="17"/>
              </w:rPr>
              <w:t>построить точный базис O_B и нулевой класс</w:t>
            </w:r>
          </w:p>
        </w:tc>
      </w:tr>
      <w:tr>
        <w:trPr>
          <w:cantSplit/>
        </w:trPr>
        <w:tc>
          <w:tcPr>
            <w:tcW w:type="dxa" w:w="1728"/>
            <w:vAlign w:val="center"/>
            <w:tcMar>
              <w:top w:w="100" w:type="dxa"/>
              <w:start w:w="120" w:type="dxa"/>
              <w:bottom w:w="100" w:type="dxa"/>
              <w:end w:w="120" w:type="dxa"/>
            </w:tcMar>
            <w:shd w:fill="EAF1F8"/>
          </w:tcPr>
          <w:p>
            <w:r>
              <w:rPr>
                <w:sz w:val="17"/>
              </w:rPr>
              <w:t>PROJ-02</w:t>
            </w:r>
          </w:p>
        </w:tc>
        <w:tc>
          <w:tcPr>
            <w:tcW w:type="dxa" w:w="8352"/>
            <w:vAlign w:val="center"/>
            <w:tcMar>
              <w:top w:w="100" w:type="dxa"/>
              <w:start w:w="120" w:type="dxa"/>
              <w:bottom w:w="100" w:type="dxa"/>
              <w:end w:w="120" w:type="dxa"/>
            </w:tcMar>
            <w:shd w:fill="EAF1F8"/>
          </w:tcPr>
          <w:p>
            <w:r>
              <w:rPr>
                <w:sz w:val="17"/>
              </w:rPr>
              <w:t>зафиксировать поле, метрику и group action</w:t>
            </w:r>
          </w:p>
        </w:tc>
      </w:tr>
      <w:tr>
        <w:trPr>
          <w:cantSplit/>
        </w:trPr>
        <w:tc>
          <w:tcPr>
            <w:tcW w:type="dxa" w:w="1728"/>
            <w:vAlign w:val="center"/>
            <w:tcMar>
              <w:top w:w="100" w:type="dxa"/>
              <w:start w:w="120" w:type="dxa"/>
              <w:bottom w:w="100" w:type="dxa"/>
              <w:end w:w="120" w:type="dxa"/>
            </w:tcMar>
          </w:tcPr>
          <w:p>
            <w:r>
              <w:rPr>
                <w:sz w:val="17"/>
              </w:rPr>
              <w:t>PROJ-03</w:t>
            </w:r>
          </w:p>
        </w:tc>
        <w:tc>
          <w:tcPr>
            <w:tcW w:type="dxa" w:w="8352"/>
            <w:vAlign w:val="center"/>
            <w:tcMar>
              <w:top w:w="100" w:type="dxa"/>
              <w:start w:w="120" w:type="dxa"/>
              <w:bottom w:w="100" w:type="dxa"/>
              <w:end w:w="120" w:type="dxa"/>
            </w:tcMar>
          </w:tcPr>
          <w:p>
            <w:r>
              <w:rPr>
                <w:sz w:val="17"/>
              </w:rPr>
              <w:t>проверить ненулевость представителя</w:t>
            </w:r>
          </w:p>
        </w:tc>
      </w:tr>
      <w:tr>
        <w:trPr>
          <w:cantSplit/>
        </w:trPr>
        <w:tc>
          <w:tcPr>
            <w:tcW w:type="dxa" w:w="1728"/>
            <w:vAlign w:val="center"/>
            <w:tcMar>
              <w:top w:w="100" w:type="dxa"/>
              <w:start w:w="120" w:type="dxa"/>
              <w:bottom w:w="100" w:type="dxa"/>
              <w:end w:w="120" w:type="dxa"/>
            </w:tcMar>
            <w:shd w:fill="EAF1F8"/>
          </w:tcPr>
          <w:p>
            <w:r>
              <w:rPr>
                <w:sz w:val="17"/>
              </w:rPr>
              <w:t>PROJ-04</w:t>
            </w:r>
          </w:p>
        </w:tc>
        <w:tc>
          <w:tcPr>
            <w:tcW w:type="dxa" w:w="8352"/>
            <w:vAlign w:val="center"/>
            <w:tcMar>
              <w:top w:w="100" w:type="dxa"/>
              <w:start w:w="120" w:type="dxa"/>
              <w:bottom w:w="100" w:type="dxa"/>
              <w:end w:w="120" w:type="dxa"/>
            </w:tcMar>
            <w:shd w:fill="EAF1F8"/>
          </w:tcPr>
          <w:p>
            <w:r>
              <w:rPr>
                <w:sz w:val="17"/>
              </w:rPr>
              <w:t>нормировать или выбрать positive ray</w:t>
            </w:r>
          </w:p>
        </w:tc>
      </w:tr>
      <w:tr>
        <w:trPr>
          <w:cantSplit/>
        </w:trPr>
        <w:tc>
          <w:tcPr>
            <w:tcW w:type="dxa" w:w="1728"/>
            <w:vAlign w:val="center"/>
            <w:tcMar>
              <w:top w:w="100" w:type="dxa"/>
              <w:start w:w="120" w:type="dxa"/>
              <w:bottom w:w="100" w:type="dxa"/>
              <w:end w:w="120" w:type="dxa"/>
            </w:tcMar>
          </w:tcPr>
          <w:p>
            <w:r>
              <w:rPr>
                <w:sz w:val="17"/>
              </w:rPr>
              <w:t>PROJ-05</w:t>
            </w:r>
          </w:p>
        </w:tc>
        <w:tc>
          <w:tcPr>
            <w:tcW w:type="dxa" w:w="8352"/>
            <w:vAlign w:val="center"/>
            <w:tcMar>
              <w:top w:w="100" w:type="dxa"/>
              <w:start w:w="120" w:type="dxa"/>
              <w:bottom w:w="100" w:type="dxa"/>
              <w:end w:w="120" w:type="dxa"/>
            </w:tcMar>
          </w:tcPr>
          <w:p>
            <w:r>
              <w:rPr>
                <w:sz w:val="17"/>
              </w:rPr>
              <w:t>построить projective coordinates</w:t>
            </w:r>
          </w:p>
        </w:tc>
      </w:tr>
      <w:tr>
        <w:trPr>
          <w:cantSplit/>
        </w:trPr>
        <w:tc>
          <w:tcPr>
            <w:tcW w:type="dxa" w:w="1728"/>
            <w:vAlign w:val="center"/>
            <w:tcMar>
              <w:top w:w="100" w:type="dxa"/>
              <w:start w:w="120" w:type="dxa"/>
              <w:bottom w:w="100" w:type="dxa"/>
              <w:end w:w="120" w:type="dxa"/>
            </w:tcMar>
            <w:shd w:fill="EAF1F8"/>
          </w:tcPr>
          <w:p>
            <w:r>
              <w:rPr>
                <w:sz w:val="17"/>
              </w:rPr>
              <w:t>PROJ-06</w:t>
            </w:r>
          </w:p>
        </w:tc>
        <w:tc>
          <w:tcPr>
            <w:tcW w:type="dxa" w:w="8352"/>
            <w:vAlign w:val="center"/>
            <w:tcMar>
              <w:top w:w="100" w:type="dxa"/>
              <w:start w:w="120" w:type="dxa"/>
              <w:bottom w:w="100" w:type="dxa"/>
              <w:end w:w="120" w:type="dxa"/>
            </w:tcMar>
            <w:shd w:fill="EAF1F8"/>
          </w:tcPr>
          <w:p>
            <w:r>
              <w:rPr>
                <w:sz w:val="17"/>
              </w:rPr>
              <w:t>проверить смену chart</w:t>
            </w:r>
          </w:p>
        </w:tc>
      </w:tr>
      <w:tr>
        <w:trPr>
          <w:cantSplit/>
        </w:trPr>
        <w:tc>
          <w:tcPr>
            <w:tcW w:type="dxa" w:w="1728"/>
            <w:vAlign w:val="center"/>
            <w:tcMar>
              <w:top w:w="100" w:type="dxa"/>
              <w:start w:w="120" w:type="dxa"/>
              <w:bottom w:w="100" w:type="dxa"/>
              <w:end w:w="120" w:type="dxa"/>
            </w:tcMar>
          </w:tcPr>
          <w:p>
            <w:r>
              <w:rPr>
                <w:sz w:val="17"/>
              </w:rPr>
              <w:t>PROJ-07</w:t>
            </w:r>
          </w:p>
        </w:tc>
        <w:tc>
          <w:tcPr>
            <w:tcW w:type="dxa" w:w="8352"/>
            <w:vAlign w:val="center"/>
            <w:tcMar>
              <w:top w:w="100" w:type="dxa"/>
              <w:start w:w="120" w:type="dxa"/>
              <w:bottom w:w="100" w:type="dxa"/>
              <w:end w:w="120" w:type="dxa"/>
            </w:tcMar>
          </w:tcPr>
          <w:p>
            <w:r>
              <w:rPr>
                <w:sz w:val="17"/>
              </w:rPr>
              <w:t>вычислить rank strata</w:t>
            </w:r>
          </w:p>
        </w:tc>
      </w:tr>
      <w:tr>
        <w:trPr>
          <w:cantSplit/>
        </w:trPr>
        <w:tc>
          <w:tcPr>
            <w:tcW w:type="dxa" w:w="1728"/>
            <w:vAlign w:val="center"/>
            <w:tcMar>
              <w:top w:w="100" w:type="dxa"/>
              <w:start w:w="120" w:type="dxa"/>
              <w:bottom w:w="100" w:type="dxa"/>
              <w:end w:w="120" w:type="dxa"/>
            </w:tcMar>
            <w:shd w:fill="EAF1F8"/>
          </w:tcPr>
          <w:p>
            <w:r>
              <w:rPr>
                <w:sz w:val="17"/>
              </w:rPr>
              <w:t>PROJ-08</w:t>
            </w:r>
          </w:p>
        </w:tc>
        <w:tc>
          <w:tcPr>
            <w:tcW w:type="dxa" w:w="8352"/>
            <w:vAlign w:val="center"/>
            <w:tcMar>
              <w:top w:w="100" w:type="dxa"/>
              <w:start w:w="120" w:type="dxa"/>
              <w:bottom w:w="100" w:type="dxa"/>
              <w:end w:w="120" w:type="dxa"/>
            </w:tcMar>
            <w:shd w:fill="EAF1F8"/>
          </w:tcPr>
          <w:p>
            <w:r>
              <w:rPr>
                <w:sz w:val="17"/>
              </w:rPr>
              <w:t>вычислить orbit stabilizers</w:t>
            </w:r>
          </w:p>
        </w:tc>
      </w:tr>
      <w:tr>
        <w:trPr>
          <w:cantSplit/>
        </w:trPr>
        <w:tc>
          <w:tcPr>
            <w:tcW w:type="dxa" w:w="1728"/>
            <w:vAlign w:val="center"/>
            <w:tcMar>
              <w:top w:w="100" w:type="dxa"/>
              <w:start w:w="120" w:type="dxa"/>
              <w:bottom w:w="100" w:type="dxa"/>
              <w:end w:w="120" w:type="dxa"/>
            </w:tcMar>
          </w:tcPr>
          <w:p>
            <w:r>
              <w:rPr>
                <w:sz w:val="17"/>
              </w:rPr>
              <w:t>PROJ-09</w:t>
            </w:r>
          </w:p>
        </w:tc>
        <w:tc>
          <w:tcPr>
            <w:tcW w:type="dxa" w:w="8352"/>
            <w:vAlign w:val="center"/>
            <w:tcMar>
              <w:top w:w="100" w:type="dxa"/>
              <w:start w:w="120" w:type="dxa"/>
              <w:bottom w:w="100" w:type="dxa"/>
              <w:end w:w="120" w:type="dxa"/>
            </w:tcMar>
          </w:tcPr>
          <w:p>
            <w:r>
              <w:rPr>
                <w:sz w:val="17"/>
              </w:rPr>
              <w:t>проверить homogeneity каждого инварианта</w:t>
            </w:r>
          </w:p>
        </w:tc>
      </w:tr>
      <w:tr>
        <w:trPr>
          <w:cantSplit/>
        </w:trPr>
        <w:tc>
          <w:tcPr>
            <w:tcW w:type="dxa" w:w="1728"/>
            <w:vAlign w:val="center"/>
            <w:tcMar>
              <w:top w:w="100" w:type="dxa"/>
              <w:start w:w="120" w:type="dxa"/>
              <w:bottom w:w="100" w:type="dxa"/>
              <w:end w:w="120" w:type="dxa"/>
            </w:tcMar>
            <w:shd w:fill="EAF1F8"/>
          </w:tcPr>
          <w:p>
            <w:r>
              <w:rPr>
                <w:sz w:val="17"/>
              </w:rPr>
              <w:t>PROJ-10</w:t>
            </w:r>
          </w:p>
        </w:tc>
        <w:tc>
          <w:tcPr>
            <w:tcW w:type="dxa" w:w="8352"/>
            <w:vAlign w:val="center"/>
            <w:tcMar>
              <w:top w:w="100" w:type="dxa"/>
              <w:start w:w="120" w:type="dxa"/>
              <w:bottom w:w="100" w:type="dxa"/>
              <w:end w:w="120" w:type="dxa"/>
            </w:tcMar>
            <w:shd w:fill="EAF1F8"/>
          </w:tcPr>
          <w:p>
            <w:r>
              <w:rPr>
                <w:sz w:val="17"/>
              </w:rPr>
              <w:t>построить ZERO/SCALE/SIGN ledger</w:t>
            </w:r>
          </w:p>
        </w:tc>
      </w:tr>
      <w:tr>
        <w:trPr>
          <w:cantSplit/>
        </w:trPr>
        <w:tc>
          <w:tcPr>
            <w:tcW w:type="dxa" w:w="1728"/>
            <w:vAlign w:val="center"/>
            <w:tcMar>
              <w:top w:w="100" w:type="dxa"/>
              <w:start w:w="120" w:type="dxa"/>
              <w:bottom w:w="100" w:type="dxa"/>
              <w:end w:w="120" w:type="dxa"/>
            </w:tcMar>
          </w:tcPr>
          <w:p>
            <w:r>
              <w:rPr>
                <w:sz w:val="17"/>
              </w:rPr>
              <w:t>PROJ-11</w:t>
            </w:r>
          </w:p>
        </w:tc>
        <w:tc>
          <w:tcPr>
            <w:tcW w:type="dxa" w:w="8352"/>
            <w:vAlign w:val="center"/>
            <w:tcMar>
              <w:top w:w="100" w:type="dxa"/>
              <w:start w:w="120" w:type="dxa"/>
              <w:bottom w:w="100" w:type="dxa"/>
              <w:end w:w="120" w:type="dxa"/>
            </w:tcMar>
          </w:tcPr>
          <w:p>
            <w:r>
              <w:rPr>
                <w:sz w:val="17"/>
              </w:rPr>
              <w:t>проверить provenance и Evidence-D</w:t>
            </w:r>
          </w:p>
        </w:tc>
      </w:tr>
      <w:tr>
        <w:trPr>
          <w:cantSplit/>
        </w:trPr>
        <w:tc>
          <w:tcPr>
            <w:tcW w:type="dxa" w:w="1728"/>
            <w:vAlign w:val="center"/>
            <w:tcMar>
              <w:top w:w="100" w:type="dxa"/>
              <w:start w:w="120" w:type="dxa"/>
              <w:bottom w:w="100" w:type="dxa"/>
              <w:end w:w="120" w:type="dxa"/>
            </w:tcMar>
            <w:shd w:fill="EAF1F8"/>
          </w:tcPr>
          <w:p>
            <w:r>
              <w:rPr>
                <w:sz w:val="17"/>
              </w:rPr>
              <w:t>PROJ-12</w:t>
            </w:r>
          </w:p>
        </w:tc>
        <w:tc>
          <w:tcPr>
            <w:tcW w:type="dxa" w:w="8352"/>
            <w:vAlign w:val="center"/>
            <w:tcMar>
              <w:top w:w="100" w:type="dxa"/>
              <w:start w:w="120" w:type="dxa"/>
              <w:bottom w:w="100" w:type="dxa"/>
              <w:end w:w="120" w:type="dxa"/>
            </w:tcMar>
            <w:shd w:fill="EAF1F8"/>
          </w:tcPr>
          <w:p>
            <w:r>
              <w:rPr>
                <w:sz w:val="17"/>
              </w:rPr>
              <w:t>проверить lift torsor data</w:t>
            </w:r>
          </w:p>
        </w:tc>
      </w:tr>
      <w:tr>
        <w:trPr>
          <w:cantSplit/>
        </w:trPr>
        <w:tc>
          <w:tcPr>
            <w:tcW w:type="dxa" w:w="1728"/>
            <w:vAlign w:val="center"/>
            <w:tcMar>
              <w:top w:w="100" w:type="dxa"/>
              <w:start w:w="120" w:type="dxa"/>
              <w:bottom w:w="100" w:type="dxa"/>
              <w:end w:w="120" w:type="dxa"/>
            </w:tcMar>
          </w:tcPr>
          <w:p>
            <w:r>
              <w:rPr>
                <w:sz w:val="17"/>
              </w:rPr>
              <w:t>PROJ-13</w:t>
            </w:r>
          </w:p>
        </w:tc>
        <w:tc>
          <w:tcPr>
            <w:tcW w:type="dxa" w:w="8352"/>
            <w:vAlign w:val="center"/>
            <w:tcMar>
              <w:top w:w="100" w:type="dxa"/>
              <w:start w:w="120" w:type="dxa"/>
              <w:bottom w:w="100" w:type="dxa"/>
              <w:end w:w="120" w:type="dxa"/>
            </w:tcMar>
          </w:tcPr>
          <w:p>
            <w:r>
              <w:rPr>
                <w:sz w:val="17"/>
              </w:rPr>
              <w:t>проверить local-to-global cocycle</w:t>
            </w:r>
          </w:p>
        </w:tc>
      </w:tr>
      <w:tr>
        <w:trPr>
          <w:cantSplit/>
        </w:trPr>
        <w:tc>
          <w:tcPr>
            <w:tcW w:type="dxa" w:w="1728"/>
            <w:vAlign w:val="center"/>
            <w:tcMar>
              <w:top w:w="100" w:type="dxa"/>
              <w:start w:w="120" w:type="dxa"/>
              <w:bottom w:w="100" w:type="dxa"/>
              <w:end w:w="120" w:type="dxa"/>
            </w:tcMar>
            <w:shd w:fill="EAF1F8"/>
          </w:tcPr>
          <w:p>
            <w:r>
              <w:rPr>
                <w:sz w:val="17"/>
              </w:rPr>
              <w:t>PROJ-14</w:t>
            </w:r>
          </w:p>
        </w:tc>
        <w:tc>
          <w:tcPr>
            <w:tcW w:type="dxa" w:w="8352"/>
            <w:vAlign w:val="center"/>
            <w:tcMar>
              <w:top w:w="100" w:type="dxa"/>
              <w:start w:w="120" w:type="dxa"/>
              <w:bottom w:w="100" w:type="dxa"/>
              <w:end w:w="120" w:type="dxa"/>
            </w:tcMar>
            <w:shd w:fill="EAF1F8"/>
          </w:tcPr>
          <w:p>
            <w:r>
              <w:rPr>
                <w:sz w:val="17"/>
              </w:rPr>
              <w:t>построить Δ_proj</w:t>
            </w:r>
          </w:p>
        </w:tc>
      </w:tr>
      <w:tr>
        <w:trPr>
          <w:cantSplit/>
        </w:trPr>
        <w:tc>
          <w:tcPr>
            <w:tcW w:type="dxa" w:w="1728"/>
            <w:vAlign w:val="center"/>
            <w:tcMar>
              <w:top w:w="100" w:type="dxa"/>
              <w:start w:w="120" w:type="dxa"/>
              <w:bottom w:w="100" w:type="dxa"/>
              <w:end w:w="120" w:type="dxa"/>
            </w:tcMar>
          </w:tcPr>
          <w:p>
            <w:r>
              <w:rPr>
                <w:sz w:val="17"/>
              </w:rPr>
              <w:t>PROJ-15</w:t>
            </w:r>
          </w:p>
        </w:tc>
        <w:tc>
          <w:tcPr>
            <w:tcW w:type="dxa" w:w="8352"/>
            <w:vAlign w:val="center"/>
            <w:tcMar>
              <w:top w:w="100" w:type="dxa"/>
              <w:start w:w="120" w:type="dxa"/>
              <w:bottom w:w="100" w:type="dxa"/>
              <w:end w:w="120" w:type="dxa"/>
            </w:tcMar>
          </w:tcPr>
          <w:p>
            <w:r>
              <w:rPr>
                <w:sz w:val="17"/>
              </w:rPr>
              <w:t>оценить projective distance и интервалы</w:t>
            </w:r>
          </w:p>
        </w:tc>
      </w:tr>
      <w:tr>
        <w:trPr>
          <w:cantSplit/>
        </w:trPr>
        <w:tc>
          <w:tcPr>
            <w:tcW w:type="dxa" w:w="1728"/>
            <w:vAlign w:val="center"/>
            <w:tcMar>
              <w:top w:w="100" w:type="dxa"/>
              <w:start w:w="120" w:type="dxa"/>
              <w:bottom w:w="100" w:type="dxa"/>
              <w:end w:w="120" w:type="dxa"/>
            </w:tcMar>
            <w:shd w:fill="EAF1F8"/>
          </w:tcPr>
          <w:p>
            <w:r>
              <w:rPr>
                <w:sz w:val="17"/>
              </w:rPr>
              <w:t>PROJ-16</w:t>
            </w:r>
          </w:p>
        </w:tc>
        <w:tc>
          <w:tcPr>
            <w:tcW w:type="dxa" w:w="8352"/>
            <w:vAlign w:val="center"/>
            <w:tcMar>
              <w:top w:w="100" w:type="dxa"/>
              <w:start w:w="120" w:type="dxa"/>
              <w:bottom w:w="100" w:type="dxa"/>
              <w:end w:w="120" w:type="dxa"/>
            </w:tcMar>
            <w:shd w:fill="EAF1F8"/>
          </w:tcPr>
          <w:p>
            <w:r>
              <w:rPr>
                <w:sz w:val="17"/>
              </w:rPr>
              <w:t>проверить χ_λ и его полюса</w:t>
            </w:r>
          </w:p>
        </w:tc>
      </w:tr>
      <w:tr>
        <w:trPr>
          <w:cantSplit/>
        </w:trPr>
        <w:tc>
          <w:tcPr>
            <w:tcW w:type="dxa" w:w="1728"/>
            <w:vAlign w:val="center"/>
            <w:tcMar>
              <w:top w:w="100" w:type="dxa"/>
              <w:start w:w="120" w:type="dxa"/>
              <w:bottom w:w="100" w:type="dxa"/>
              <w:end w:w="120" w:type="dxa"/>
            </w:tcMar>
          </w:tcPr>
          <w:p>
            <w:r>
              <w:rPr>
                <w:sz w:val="17"/>
              </w:rPr>
              <w:t>PROJ-17</w:t>
            </w:r>
          </w:p>
        </w:tc>
        <w:tc>
          <w:tcPr>
            <w:tcW w:type="dxa" w:w="8352"/>
            <w:vAlign w:val="center"/>
            <w:tcMar>
              <w:top w:w="100" w:type="dxa"/>
              <w:start w:w="120" w:type="dxa"/>
              <w:bottom w:w="100" w:type="dxa"/>
              <w:end w:w="120" w:type="dxa"/>
            </w:tcMar>
          </w:tcPr>
          <w:p>
            <w:r>
              <w:rPr>
                <w:sz w:val="17"/>
              </w:rPr>
              <w:t>выдать blocker-safe verdict</w:t>
            </w:r>
          </w:p>
        </w:tc>
      </w:tr>
      <w:tr>
        <w:trPr>
          <w:cantSplit/>
        </w:trPr>
        <w:tc>
          <w:tcPr>
            <w:tcW w:type="dxa" w:w="1728"/>
            <w:vAlign w:val="center"/>
            <w:tcMar>
              <w:top w:w="100" w:type="dxa"/>
              <w:start w:w="120" w:type="dxa"/>
              <w:bottom w:w="100" w:type="dxa"/>
              <w:end w:w="120" w:type="dxa"/>
            </w:tcMar>
            <w:shd w:fill="EAF1F8"/>
          </w:tcPr>
          <w:p>
            <w:r>
              <w:rPr>
                <w:sz w:val="17"/>
              </w:rPr>
              <w:t>PROJ-18</w:t>
            </w:r>
          </w:p>
        </w:tc>
        <w:tc>
          <w:tcPr>
            <w:tcW w:type="dxa" w:w="8352"/>
            <w:vAlign w:val="center"/>
            <w:tcMar>
              <w:top w:w="100" w:type="dxa"/>
              <w:start w:w="120" w:type="dxa"/>
              <w:bottom w:w="100" w:type="dxa"/>
              <w:end w:w="120" w:type="dxa"/>
            </w:tcMar>
            <w:shd w:fill="EAF1F8"/>
          </w:tcPr>
          <w:p>
            <w:r>
              <w:rPr>
                <w:sz w:val="17"/>
              </w:rPr>
              <w:t>сохранить версии, хеши и машинный журнал</w:t>
            </w:r>
          </w:p>
        </w:tc>
      </w:tr>
    </w:tbl>
    <w:p/>
    <w:p>
      <w:pPr>
        <w:pStyle w:val="Heading2"/>
        <w:keepNext/>
      </w:pPr>
      <w:r>
        <w:t>126.1. Псевдокод</w:t>
      </w:r>
    </w:p>
    <w:p>
      <w:pPr>
        <w:pStyle w:val="Quote"/>
      </w:pPr>
      <w:r>
        <w:t>INPUT exact obstruction space O_B, representative o, model data A,G, D/Dom</w:t>
        <w:br/>
        <w:t>CHECK o==0 -&gt; ZERO-OBSTRUCTION (do not projectivize)</w:t>
        <w:br/>
        <w:t>CHECK field and allowed scalar group Kx or R_{&gt;0}</w:t>
        <w:br/>
        <w:t>BUILD projective class [o] and chart atlas</w:t>
        <w:br/>
        <w:t>VERIFY homogeneity of rank/orbit/support invariants</w:t>
        <w:br/>
        <w:t>COMPUTE strata and distance-to-horizon</w:t>
        <w:br/>
        <w:t>CHECK provenance, lift torsor, gluing and lambda bridge</w:t>
        <w:br/>
        <w:t>IF any blocker: ABSTAIN</w:t>
        <w:br/>
        <w:t>ELSE IF interval avoids Delta_proj: NO-PROJECTIVE-TYPE-TRANSITION-IN-MODEL</w:t>
        <w:br/>
        <w:t>ELSE: CANDIDATE-PROJECTIVE-TRANSITION</w:t>
        <w:br/>
        <w:t>STORE hashes and information-loss ledger</w:t>
      </w:r>
    </w:p>
    <w:p>
      <w:bookmarkStart w:id="1054" w:name="h_1733"/>
      <w:pPr>
        <w:pStyle w:val="Heading1"/>
        <w:keepNext/>
      </w:pPr>
      <w:r>
        <w:t>127. Главная условная теорема T2-RP-v0.11</w:t>
      </w:r>
      <w:bookmarkEnd w:id="1054"/>
    </w:p>
    <w:tbl>
      <w:tblPr>
        <w:tblStyle w:val="TableGrid"/>
        <w:tblW w:type="auto" w:w="0"/>
        <w:jc w:val="center"/>
        <w:tblLook w:firstColumn="1" w:firstRow="1" w:lastColumn="0" w:lastRow="0" w:noHBand="0" w:noVBand="1" w:val="04A0"/>
      </w:tblPr>
      <w:tblGrid>
        <w:gridCol w:w="9752"/>
      </w:tblGrid>
      <w:tr>
        <w:trPr>
          <w:tblHeader w:val="true"/>
          <w:cantSplit/>
        </w:trPr>
        <w:tc>
          <w:tcPr>
            <w:tcW w:type="dxa" w:w="9752"/>
            <w:tcMar>
              <w:top w:w="160" w:type="dxa"/>
              <w:start w:w="180" w:type="dxa"/>
              <w:bottom w:w="160" w:type="dxa"/>
              <w:end w:w="180" w:type="dxa"/>
            </w:tcMar>
            <w:shd w:fill="DCE6F1"/>
          </w:tcPr>
          <w:p>
            <w:r>
              <w:rPr>
                <w:b/>
                <w:color w:val="1F4E79"/>
                <w:sz w:val="21"/>
              </w:rPr>
              <w:t>ТЕОРЕМА 14.8. PROJECTIVE OBSTRUCTION-SAFE PREDICTION</w:t>
            </w:r>
          </w:p>
          <w:p>
            <w:pPr>
              <w:spacing w:after="0"/>
            </w:pPr>
            <w:r>
              <w:rPr>
                <w:sz w:val="19"/>
              </w:rPr>
              <w:t>Пусть задано конечномерное регулярное семейство NAPG-кадров N_t, непрерывный obstruction section o_t, projective atlas, однородные rank/orbit invariants, effective descent, валидные D/Dom и воспроизводимый сертификат PROJ. Если путь не пересекает Δ_proj и остаётся отделённым от нулевой секции и chart poles, то сертифицированный projective obstruction type не изменяется. Следовательно, структурный переход, требующий смены этого типа, невозможен внутри модели. Пересечение горизонта даёт только кандидата.</w:t>
            </w:r>
          </w:p>
        </w:tc>
      </w:tr>
    </w:tbl>
    <w:p/>
    <w:p>
      <w:bookmarkStart w:id="1799" w:name="f_14_19"/>
      <w:pPr>
        <w:pStyle w:val="Quote"/>
        <w:jc w:val="center"/>
      </w:pPr>
      <w:r>
        <w:rPr>
          <w:rFonts w:ascii="Cambria Math" w:hAnsi="Cambria Math"/>
          <w:sz w:val="22"/>
        </w:rPr>
        <w:t>P_proj(t)=([o_t], S_rank(t), S_orbit(t), Dom_t, Glue_t).</w:t>
      </w:r>
      <w:r>
        <w:t xml:space="preserve">    (14.19)</w:t>
      </w:r>
      <w:bookmarkEnd w:id="1799"/>
    </w:p>
    <w:p>
      <w:bookmarkStart w:id="1800" w:name="f_14_20"/>
      <w:pPr>
        <w:pStyle w:val="Quote"/>
        <w:jc w:val="center"/>
      </w:pPr>
      <w:r>
        <w:rPr>
          <w:rFonts w:ascii="Cambria Math" w:hAnsi="Cambria Math"/>
          <w:sz w:val="22"/>
        </w:rPr>
        <w:t>I∩Δ_proj=∅ ⇒ type(P_proj(t))=const on I.</w:t>
      </w:r>
      <w:r>
        <w:t xml:space="preserve">    (14.20)</w:t>
      </w:r>
      <w:bookmarkEnd w:id="1800"/>
    </w:p>
    <w:p>
      <w:r>
        <w:t>Теорема является условной и конечномерной. Она не утверждает существование физического времени t, причинного механизма, вероятности перехода или экспериментального эффекта.</w:t>
      </w:r>
    </w:p>
    <w:p>
      <w:bookmarkStart w:id="1055" w:name="h_1738"/>
      <w:pPr>
        <w:pStyle w:val="Heading1"/>
        <w:keepNext/>
      </w:pPr>
      <w:r>
        <w:t>128. Blocker-safe вывод</w:t>
      </w:r>
      <w:bookmarkEnd w:id="1055"/>
    </w:p>
    <w:p>
      <w:bookmarkStart w:id="1801" w:name="f_14_21"/>
      <w:pPr>
        <w:pStyle w:val="Quote"/>
        <w:jc w:val="center"/>
      </w:pPr>
      <w:r>
        <w:rPr>
          <w:rFonts w:ascii="Cambria Math" w:hAnsi="Cambria Math"/>
          <w:sz w:val="22"/>
        </w:rPr>
        <w:t>Block_proj = B_zero ∪ B_scale ∪ B_sign ∪ B_chart ∪ B_hom ∪ B_glue ∪ B_D ∪ B_Dom ∪ B_lift ∪ B_ind.</w:t>
      </w:r>
      <w:r>
        <w:t xml:space="preserve">    (14.21)</w:t>
      </w:r>
      <w:bookmarkEnd w:id="1801"/>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2880"/>
            <w:shd w:fill="1F4E78"/>
            <w:vAlign w:val="center"/>
            <w:tcMar>
              <w:top w:w="100" w:type="dxa"/>
              <w:start w:w="120" w:type="dxa"/>
              <w:bottom w:w="100" w:type="dxa"/>
              <w:end w:w="120" w:type="dxa"/>
            </w:tcMar>
          </w:tcPr>
          <w:p>
            <w:r>
              <w:rPr>
                <w:b/>
                <w:color w:val="FFFFFF"/>
                <w:sz w:val="18"/>
              </w:rPr>
              <w:t>Выход</w:t>
            </w:r>
          </w:p>
        </w:tc>
        <w:tc>
          <w:tcPr>
            <w:tcW w:type="dxa" w:w="4032"/>
            <w:shd w:fill="1F4E78"/>
            <w:vAlign w:val="center"/>
            <w:tcMar>
              <w:top w:w="100" w:type="dxa"/>
              <w:start w:w="120" w:type="dxa"/>
              <w:bottom w:w="100" w:type="dxa"/>
              <w:end w:w="120" w:type="dxa"/>
            </w:tcMar>
          </w:tcPr>
          <w:p>
            <w:r>
              <w:rPr>
                <w:b/>
                <w:color w:val="FFFFFF"/>
                <w:sz w:val="18"/>
              </w:rPr>
              <w:t>Необходимое условие</w:t>
            </w:r>
          </w:p>
        </w:tc>
        <w:tc>
          <w:tcPr>
            <w:tcW w:type="dxa" w:w="3168"/>
            <w:shd w:fill="1F4E78"/>
            <w:vAlign w:val="center"/>
            <w:tcMar>
              <w:top w:w="100" w:type="dxa"/>
              <w:start w:w="120" w:type="dxa"/>
              <w:bottom w:w="100" w:type="dxa"/>
              <w:end w:w="120" w:type="dxa"/>
            </w:tcMar>
          </w:tcPr>
          <w:p>
            <w:r>
              <w:rPr>
                <w:b/>
                <w:color w:val="FFFFFF"/>
                <w:sz w:val="18"/>
              </w:rPr>
              <w:t>Допустимая интерпретация</w:t>
            </w:r>
          </w:p>
        </w:tc>
      </w:tr>
      <w:tr>
        <w:trPr>
          <w:cantSplit/>
        </w:trPr>
        <w:tc>
          <w:tcPr>
            <w:tcW w:type="dxa" w:w="2880"/>
            <w:vAlign w:val="center"/>
            <w:tcMar>
              <w:top w:w="100" w:type="dxa"/>
              <w:start w:w="120" w:type="dxa"/>
              <w:bottom w:w="100" w:type="dxa"/>
              <w:end w:w="120" w:type="dxa"/>
            </w:tcMar>
          </w:tcPr>
          <w:p>
            <w:r>
              <w:rPr>
                <w:sz w:val="17"/>
              </w:rPr>
              <w:t>NO-PROJECTIVE-TYPE-TRANSITION-IN-MODEL</w:t>
            </w:r>
          </w:p>
        </w:tc>
        <w:tc>
          <w:tcPr>
            <w:tcW w:type="dxa" w:w="4032"/>
            <w:vAlign w:val="center"/>
            <w:tcMar>
              <w:top w:w="100" w:type="dxa"/>
              <w:start w:w="120" w:type="dxa"/>
              <w:bottom w:w="100" w:type="dxa"/>
              <w:end w:w="120" w:type="dxa"/>
            </w:tcMar>
          </w:tcPr>
          <w:p>
            <w:r>
              <w:rPr>
                <w:sz w:val="17"/>
              </w:rPr>
              <w:t>I∩Δ_proj=∅ и blockers=∅</w:t>
            </w:r>
          </w:p>
        </w:tc>
        <w:tc>
          <w:tcPr>
            <w:tcW w:type="dxa" w:w="3168"/>
            <w:vAlign w:val="center"/>
            <w:tcMar>
              <w:top w:w="100" w:type="dxa"/>
              <w:start w:w="120" w:type="dxa"/>
              <w:bottom w:w="100" w:type="dxa"/>
              <w:end w:w="120" w:type="dxa"/>
            </w:tcMar>
          </w:tcPr>
          <w:p>
            <w:r>
              <w:rPr>
                <w:sz w:val="17"/>
              </w:rPr>
              <w:t>отрицательный структурный прогноз</w:t>
            </w:r>
          </w:p>
        </w:tc>
      </w:tr>
      <w:tr>
        <w:trPr>
          <w:cantSplit/>
        </w:trPr>
        <w:tc>
          <w:tcPr>
            <w:tcW w:type="dxa" w:w="2880"/>
            <w:vAlign w:val="center"/>
            <w:tcMar>
              <w:top w:w="100" w:type="dxa"/>
              <w:start w:w="120" w:type="dxa"/>
              <w:bottom w:w="100" w:type="dxa"/>
              <w:end w:w="120" w:type="dxa"/>
            </w:tcMar>
            <w:shd w:fill="EAF1F8"/>
          </w:tcPr>
          <w:p>
            <w:r>
              <w:rPr>
                <w:sz w:val="17"/>
              </w:rPr>
              <w:t>CANDIDATE-PROJECTIVE-TRANSITION</w:t>
            </w:r>
          </w:p>
        </w:tc>
        <w:tc>
          <w:tcPr>
            <w:tcW w:type="dxa" w:w="4032"/>
            <w:vAlign w:val="center"/>
            <w:tcMar>
              <w:top w:w="100" w:type="dxa"/>
              <w:start w:w="120" w:type="dxa"/>
              <w:bottom w:w="100" w:type="dxa"/>
              <w:end w:w="120" w:type="dxa"/>
            </w:tcMar>
            <w:shd w:fill="EAF1F8"/>
          </w:tcPr>
          <w:p>
            <w:r>
              <w:rPr>
                <w:sz w:val="17"/>
              </w:rPr>
              <w:t>I∩Δ_proj≠∅ и blockers=∅</w:t>
            </w:r>
          </w:p>
        </w:tc>
        <w:tc>
          <w:tcPr>
            <w:tcW w:type="dxa" w:w="3168"/>
            <w:vAlign w:val="center"/>
            <w:tcMar>
              <w:top w:w="100" w:type="dxa"/>
              <w:start w:w="120" w:type="dxa"/>
              <w:bottom w:w="100" w:type="dxa"/>
              <w:end w:w="120" w:type="dxa"/>
            </w:tcMar>
            <w:shd w:fill="EAF1F8"/>
          </w:tcPr>
          <w:p>
            <w:r>
              <w:rPr>
                <w:sz w:val="17"/>
              </w:rPr>
              <w:t>точка дальнейшей проверки</w:t>
            </w:r>
          </w:p>
        </w:tc>
      </w:tr>
      <w:tr>
        <w:trPr>
          <w:cantSplit/>
        </w:trPr>
        <w:tc>
          <w:tcPr>
            <w:tcW w:type="dxa" w:w="2880"/>
            <w:vAlign w:val="center"/>
            <w:tcMar>
              <w:top w:w="100" w:type="dxa"/>
              <w:start w:w="120" w:type="dxa"/>
              <w:bottom w:w="100" w:type="dxa"/>
              <w:end w:w="120" w:type="dxa"/>
            </w:tcMar>
          </w:tcPr>
          <w:p>
            <w:r>
              <w:rPr>
                <w:sz w:val="17"/>
              </w:rPr>
              <w:t>ZERO-INTERNAL-OBSTRUCTION</w:t>
            </w:r>
          </w:p>
        </w:tc>
        <w:tc>
          <w:tcPr>
            <w:tcW w:type="dxa" w:w="4032"/>
            <w:vAlign w:val="center"/>
            <w:tcMar>
              <w:top w:w="100" w:type="dxa"/>
              <w:start w:w="120" w:type="dxa"/>
              <w:bottom w:w="100" w:type="dxa"/>
              <w:end w:w="120" w:type="dxa"/>
            </w:tcMar>
          </w:tcPr>
          <w:p>
            <w:r>
              <w:rPr>
                <w:sz w:val="17"/>
              </w:rPr>
              <w:t>o=0 точно</w:t>
            </w:r>
          </w:p>
        </w:tc>
        <w:tc>
          <w:tcPr>
            <w:tcW w:type="dxa" w:w="3168"/>
            <w:vAlign w:val="center"/>
            <w:tcMar>
              <w:top w:w="100" w:type="dxa"/>
              <w:start w:w="120" w:type="dxa"/>
              <w:bottom w:w="100" w:type="dxa"/>
              <w:end w:w="120" w:type="dxa"/>
            </w:tcMar>
          </w:tcPr>
          <w:p>
            <w:r>
              <w:rPr>
                <w:sz w:val="17"/>
              </w:rPr>
              <w:t>исчезновение данного внутреннего класса</w:t>
            </w:r>
          </w:p>
        </w:tc>
      </w:tr>
      <w:tr>
        <w:trPr>
          <w:cantSplit/>
        </w:trPr>
        <w:tc>
          <w:tcPr>
            <w:tcW w:type="dxa" w:w="2880"/>
            <w:vAlign w:val="center"/>
            <w:tcMar>
              <w:top w:w="100" w:type="dxa"/>
              <w:start w:w="120" w:type="dxa"/>
              <w:bottom w:w="100" w:type="dxa"/>
              <w:end w:w="120" w:type="dxa"/>
            </w:tcMar>
            <w:shd w:fill="EAF1F8"/>
          </w:tcPr>
          <w:p>
            <w:r>
              <w:rPr>
                <w:sz w:val="17"/>
              </w:rPr>
              <w:t>ABSTAIN</w:t>
            </w:r>
          </w:p>
        </w:tc>
        <w:tc>
          <w:tcPr>
            <w:tcW w:type="dxa" w:w="4032"/>
            <w:vAlign w:val="center"/>
            <w:tcMar>
              <w:top w:w="100" w:type="dxa"/>
              <w:start w:w="120" w:type="dxa"/>
              <w:bottom w:w="100" w:type="dxa"/>
              <w:end w:w="120" w:type="dxa"/>
            </w:tcMar>
            <w:shd w:fill="EAF1F8"/>
          </w:tcPr>
          <w:p>
            <w:r>
              <w:rPr>
                <w:sz w:val="17"/>
              </w:rPr>
              <w:t>хотя бы один blocker</w:t>
            </w:r>
          </w:p>
        </w:tc>
        <w:tc>
          <w:tcPr>
            <w:tcW w:type="dxa" w:w="3168"/>
            <w:vAlign w:val="center"/>
            <w:tcMar>
              <w:top w:w="100" w:type="dxa"/>
              <w:start w:w="120" w:type="dxa"/>
              <w:bottom w:w="100" w:type="dxa"/>
              <w:end w:w="120" w:type="dxa"/>
            </w:tcMar>
            <w:shd w:fill="EAF1F8"/>
          </w:tcPr>
          <w:p>
            <w:r>
              <w:rPr>
                <w:sz w:val="17"/>
              </w:rPr>
              <w:t>вывод запрещён</w:t>
            </w:r>
          </w:p>
        </w:tc>
      </w:tr>
    </w:tbl>
    <w:p/>
    <w:p>
      <w:bookmarkStart w:id="1056" w:name="h_1741"/>
      <w:pPr>
        <w:pStyle w:val="Heading1"/>
        <w:keepNext/>
      </w:pPr>
      <w:r>
        <w:t>129. Доказательные обязательства T2-PO-126-T2-PO-145</w:t>
      </w:r>
      <w:bookmarkEnd w:id="1056"/>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1656"/>
            <w:shd w:fill="1F4E78"/>
            <w:vAlign w:val="center"/>
            <w:tcMar>
              <w:top w:w="100" w:type="dxa"/>
              <w:start w:w="120" w:type="dxa"/>
              <w:bottom w:w="100" w:type="dxa"/>
              <w:end w:w="120" w:type="dxa"/>
            </w:tcMar>
          </w:tcPr>
          <w:p>
            <w:r>
              <w:rPr>
                <w:b/>
                <w:color w:val="FFFFFF"/>
                <w:sz w:val="18"/>
              </w:rPr>
              <w:t>PO</w:t>
            </w:r>
          </w:p>
        </w:tc>
        <w:tc>
          <w:tcPr>
            <w:tcW w:type="dxa" w:w="6552"/>
            <w:shd w:fill="1F4E78"/>
            <w:vAlign w:val="center"/>
            <w:tcMar>
              <w:top w:w="100" w:type="dxa"/>
              <w:start w:w="120" w:type="dxa"/>
              <w:bottom w:w="100" w:type="dxa"/>
              <w:end w:w="120" w:type="dxa"/>
            </w:tcMar>
          </w:tcPr>
          <w:p>
            <w:r>
              <w:rPr>
                <w:b/>
                <w:color w:val="FFFFFF"/>
                <w:sz w:val="18"/>
              </w:rPr>
              <w:t>Обязательство</w:t>
            </w:r>
          </w:p>
        </w:tc>
        <w:tc>
          <w:tcPr>
            <w:tcW w:type="dxa" w:w="1800"/>
            <w:shd w:fill="1F4E78"/>
            <w:vAlign w:val="center"/>
            <w:tcMar>
              <w:top w:w="100" w:type="dxa"/>
              <w:start w:w="120" w:type="dxa"/>
              <w:bottom w:w="100" w:type="dxa"/>
              <w:end w:w="120" w:type="dxa"/>
            </w:tcMar>
          </w:tcPr>
          <w:p>
            <w:r>
              <w:rPr>
                <w:b/>
                <w:color w:val="FFFFFF"/>
                <w:sz w:val="18"/>
              </w:rPr>
              <w:t>Статус</w:t>
            </w:r>
          </w:p>
        </w:tc>
      </w:tr>
      <w:tr>
        <w:trPr>
          <w:cantSplit/>
        </w:trPr>
        <w:tc>
          <w:tcPr>
            <w:tcW w:type="dxa" w:w="1656"/>
            <w:vAlign w:val="center"/>
            <w:tcMar>
              <w:top w:w="100" w:type="dxa"/>
              <w:start w:w="120" w:type="dxa"/>
              <w:bottom w:w="100" w:type="dxa"/>
              <w:end w:w="120" w:type="dxa"/>
            </w:tcMar>
          </w:tcPr>
          <w:p>
            <w:bookmarkStart w:id="2222" w:name="po_126"/>
            <w:r>
              <w:rPr>
                <w:sz w:val="17"/>
              </w:rPr>
              <w:t>T2-PO-126</w:t>
            </w:r>
            <w:bookmarkEnd w:id="2222"/>
          </w:p>
        </w:tc>
        <w:tc>
          <w:tcPr>
            <w:tcW w:type="dxa" w:w="6552"/>
            <w:vAlign w:val="center"/>
            <w:tcMar>
              <w:top w:w="100" w:type="dxa"/>
              <w:start w:w="120" w:type="dxa"/>
              <w:bottom w:w="100" w:type="dxa"/>
              <w:end w:w="120" w:type="dxa"/>
            </w:tcMar>
          </w:tcPr>
          <w:p>
            <w:r>
              <w:rPr>
                <w:sz w:val="17"/>
              </w:rPr>
              <w:t>корректность P(O_B) на O_B\{0}</w:t>
            </w:r>
          </w:p>
        </w:tc>
        <w:tc>
          <w:tcPr>
            <w:tcW w:type="dxa" w:w="1800"/>
            <w:vAlign w:val="center"/>
            <w:tcMar>
              <w:top w:w="100" w:type="dxa"/>
              <w:start w:w="120" w:type="dxa"/>
              <w:bottom w:w="100" w:type="dxa"/>
              <w:end w:w="120" w:type="dxa"/>
            </w:tcMar>
          </w:tcPr>
          <w:p>
            <w:r>
              <w:rPr>
                <w:sz w:val="17"/>
              </w:rPr>
              <w:t>CLOSED</w:t>
            </w:r>
          </w:p>
        </w:tc>
      </w:tr>
      <w:tr>
        <w:trPr>
          <w:cantSplit/>
        </w:trPr>
        <w:tc>
          <w:tcPr>
            <w:tcW w:type="dxa" w:w="1656"/>
            <w:vAlign w:val="center"/>
            <w:tcMar>
              <w:top w:w="100" w:type="dxa"/>
              <w:start w:w="120" w:type="dxa"/>
              <w:bottom w:w="100" w:type="dxa"/>
              <w:end w:w="120" w:type="dxa"/>
            </w:tcMar>
            <w:shd w:fill="EAF1F8"/>
          </w:tcPr>
          <w:p>
            <w:bookmarkStart w:id="2223" w:name="po_127"/>
            <w:r>
              <w:rPr>
                <w:sz w:val="17"/>
              </w:rPr>
              <w:t>T2-PO-127</w:t>
            </w:r>
            <w:bookmarkEnd w:id="2223"/>
          </w:p>
        </w:tc>
        <w:tc>
          <w:tcPr>
            <w:tcW w:type="dxa" w:w="6552"/>
            <w:vAlign w:val="center"/>
            <w:tcMar>
              <w:top w:w="100" w:type="dxa"/>
              <w:start w:w="120" w:type="dxa"/>
              <w:bottom w:w="100" w:type="dxa"/>
              <w:end w:w="120" w:type="dxa"/>
            </w:tcMar>
            <w:shd w:fill="EAF1F8"/>
          </w:tcPr>
          <w:p>
            <w:r>
              <w:rPr>
                <w:sz w:val="17"/>
              </w:rPr>
              <w:t>частичная функториальность P(f)</w:t>
            </w:r>
          </w:p>
        </w:tc>
        <w:tc>
          <w:tcPr>
            <w:tcW w:type="dxa" w:w="1800"/>
            <w:vAlign w:val="center"/>
            <w:tcMar>
              <w:top w:w="100" w:type="dxa"/>
              <w:start w:w="120" w:type="dxa"/>
              <w:bottom w:w="100" w:type="dxa"/>
              <w:end w:w="120" w:type="dxa"/>
            </w:tcMar>
            <w:shd w:fill="EAF1F8"/>
          </w:tcPr>
          <w:p>
            <w:r>
              <w:rPr>
                <w:sz w:val="17"/>
              </w:rPr>
              <w:t>CLOSED</w:t>
            </w:r>
          </w:p>
        </w:tc>
      </w:tr>
      <w:tr>
        <w:trPr>
          <w:cantSplit/>
        </w:trPr>
        <w:tc>
          <w:tcPr>
            <w:tcW w:type="dxa" w:w="1656"/>
            <w:vAlign w:val="center"/>
            <w:tcMar>
              <w:top w:w="100" w:type="dxa"/>
              <w:start w:w="120" w:type="dxa"/>
              <w:bottom w:w="100" w:type="dxa"/>
              <w:end w:w="120" w:type="dxa"/>
            </w:tcMar>
          </w:tcPr>
          <w:p>
            <w:bookmarkStart w:id="2224" w:name="po_128"/>
            <w:r>
              <w:rPr>
                <w:sz w:val="17"/>
              </w:rPr>
              <w:t>T2-PO-128</w:t>
            </w:r>
            <w:bookmarkEnd w:id="2224"/>
          </w:p>
        </w:tc>
        <w:tc>
          <w:tcPr>
            <w:tcW w:type="dxa" w:w="6552"/>
            <w:vAlign w:val="center"/>
            <w:tcMar>
              <w:top w:w="100" w:type="dxa"/>
              <w:start w:w="120" w:type="dxa"/>
              <w:bottom w:w="100" w:type="dxa"/>
              <w:end w:w="120" w:type="dxa"/>
            </w:tcMar>
          </w:tcPr>
          <w:p>
            <w:r>
              <w:rPr>
                <w:sz w:val="17"/>
              </w:rPr>
              <w:t>no-go естественного выбора представителя</w:t>
            </w:r>
          </w:p>
        </w:tc>
        <w:tc>
          <w:tcPr>
            <w:tcW w:type="dxa" w:w="1800"/>
            <w:vAlign w:val="center"/>
            <w:tcMar>
              <w:top w:w="100" w:type="dxa"/>
              <w:start w:w="120" w:type="dxa"/>
              <w:bottom w:w="100" w:type="dxa"/>
              <w:end w:w="120" w:type="dxa"/>
            </w:tcMar>
          </w:tcPr>
          <w:p>
            <w:r>
              <w:rPr>
                <w:sz w:val="17"/>
              </w:rPr>
              <w:t>CLOSED</w:t>
            </w:r>
          </w:p>
        </w:tc>
      </w:tr>
      <w:tr>
        <w:trPr>
          <w:cantSplit/>
        </w:trPr>
        <w:tc>
          <w:tcPr>
            <w:tcW w:type="dxa" w:w="1656"/>
            <w:vAlign w:val="center"/>
            <w:tcMar>
              <w:top w:w="100" w:type="dxa"/>
              <w:start w:w="120" w:type="dxa"/>
              <w:bottom w:w="100" w:type="dxa"/>
              <w:end w:w="120" w:type="dxa"/>
            </w:tcMar>
            <w:shd w:fill="EAF1F8"/>
          </w:tcPr>
          <w:p>
            <w:bookmarkStart w:id="2225" w:name="po_129"/>
            <w:r>
              <w:rPr>
                <w:sz w:val="17"/>
              </w:rPr>
              <w:t>T2-PO-129</w:t>
            </w:r>
            <w:bookmarkEnd w:id="2225"/>
          </w:p>
        </w:tc>
        <w:tc>
          <w:tcPr>
            <w:tcW w:type="dxa" w:w="6552"/>
            <w:vAlign w:val="center"/>
            <w:tcMar>
              <w:top w:w="100" w:type="dxa"/>
              <w:start w:w="120" w:type="dxa"/>
              <w:bottom w:w="100" w:type="dxa"/>
              <w:end w:w="120" w:type="dxa"/>
            </w:tcMar>
            <w:shd w:fill="EAF1F8"/>
          </w:tcPr>
          <w:p>
            <w:r>
              <w:rPr>
                <w:sz w:val="17"/>
              </w:rPr>
              <w:t>точный information-loss ledger</w:t>
            </w:r>
          </w:p>
        </w:tc>
        <w:tc>
          <w:tcPr>
            <w:tcW w:type="dxa" w:w="1800"/>
            <w:vAlign w:val="center"/>
            <w:tcMar>
              <w:top w:w="100" w:type="dxa"/>
              <w:start w:w="120" w:type="dxa"/>
              <w:bottom w:w="100" w:type="dxa"/>
              <w:end w:w="120" w:type="dxa"/>
            </w:tcMar>
            <w:shd w:fill="EAF1F8"/>
          </w:tcPr>
          <w:p>
            <w:r>
              <w:rPr>
                <w:sz w:val="17"/>
              </w:rPr>
              <w:t>CLOSED</w:t>
            </w:r>
          </w:p>
        </w:tc>
      </w:tr>
      <w:tr>
        <w:trPr>
          <w:cantSplit/>
        </w:trPr>
        <w:tc>
          <w:tcPr>
            <w:tcW w:type="dxa" w:w="1656"/>
            <w:vAlign w:val="center"/>
            <w:tcMar>
              <w:top w:w="100" w:type="dxa"/>
              <w:start w:w="120" w:type="dxa"/>
              <w:bottom w:w="100" w:type="dxa"/>
              <w:end w:w="120" w:type="dxa"/>
            </w:tcMar>
          </w:tcPr>
          <w:p>
            <w:bookmarkStart w:id="2226" w:name="po_130"/>
            <w:r>
              <w:rPr>
                <w:sz w:val="17"/>
              </w:rPr>
              <w:t>T2-PO-130</w:t>
            </w:r>
            <w:bookmarkEnd w:id="2226"/>
          </w:p>
        </w:tc>
        <w:tc>
          <w:tcPr>
            <w:tcW w:type="dxa" w:w="6552"/>
            <w:vAlign w:val="center"/>
            <w:tcMar>
              <w:top w:w="100" w:type="dxa"/>
              <w:start w:w="120" w:type="dxa"/>
              <w:bottom w:w="100" w:type="dxa"/>
              <w:end w:w="120" w:type="dxa"/>
            </w:tcMar>
          </w:tcPr>
          <w:p>
            <w:r>
              <w:rPr>
                <w:sz w:val="17"/>
              </w:rPr>
              <w:t>сферическая/ориентированная модель</w:t>
            </w:r>
          </w:p>
        </w:tc>
        <w:tc>
          <w:tcPr>
            <w:tcW w:type="dxa" w:w="1800"/>
            <w:vAlign w:val="center"/>
            <w:tcMar>
              <w:top w:w="100" w:type="dxa"/>
              <w:start w:w="120" w:type="dxa"/>
              <w:bottom w:w="100" w:type="dxa"/>
              <w:end w:w="120" w:type="dxa"/>
            </w:tcMar>
          </w:tcPr>
          <w:p>
            <w:r>
              <w:rPr>
                <w:sz w:val="17"/>
              </w:rPr>
              <w:t>CLOSED finite-dim</w:t>
            </w:r>
          </w:p>
        </w:tc>
      </w:tr>
      <w:tr>
        <w:trPr>
          <w:cantSplit/>
        </w:trPr>
        <w:tc>
          <w:tcPr>
            <w:tcW w:type="dxa" w:w="1656"/>
            <w:vAlign w:val="center"/>
            <w:tcMar>
              <w:top w:w="100" w:type="dxa"/>
              <w:start w:w="120" w:type="dxa"/>
              <w:bottom w:w="100" w:type="dxa"/>
              <w:end w:w="120" w:type="dxa"/>
            </w:tcMar>
            <w:shd w:fill="EAF1F8"/>
          </w:tcPr>
          <w:p>
            <w:bookmarkStart w:id="2227" w:name="po_131"/>
            <w:r>
              <w:rPr>
                <w:sz w:val="17"/>
              </w:rPr>
              <w:t>T2-PO-131</w:t>
            </w:r>
            <w:bookmarkEnd w:id="2227"/>
          </w:p>
        </w:tc>
        <w:tc>
          <w:tcPr>
            <w:tcW w:type="dxa" w:w="6552"/>
            <w:vAlign w:val="center"/>
            <w:tcMar>
              <w:top w:w="100" w:type="dxa"/>
              <w:start w:w="120" w:type="dxa"/>
              <w:bottom w:w="100" w:type="dxa"/>
              <w:end w:w="120" w:type="dxa"/>
            </w:tcMar>
            <w:shd w:fill="EAF1F8"/>
          </w:tcPr>
          <w:p>
            <w:r>
              <w:rPr>
                <w:sz w:val="17"/>
              </w:rPr>
              <w:t>projective metric stability</w:t>
            </w:r>
          </w:p>
        </w:tc>
        <w:tc>
          <w:tcPr>
            <w:tcW w:type="dxa" w:w="1800"/>
            <w:vAlign w:val="center"/>
            <w:tcMar>
              <w:top w:w="100" w:type="dxa"/>
              <w:start w:w="120" w:type="dxa"/>
              <w:bottom w:w="100" w:type="dxa"/>
              <w:end w:w="120" w:type="dxa"/>
            </w:tcMar>
            <w:shd w:fill="EAF1F8"/>
          </w:tcPr>
          <w:p>
            <w:r>
              <w:rPr>
                <w:sz w:val="17"/>
              </w:rPr>
              <w:t>CLOSED local</w:t>
            </w:r>
          </w:p>
        </w:tc>
      </w:tr>
      <w:tr>
        <w:trPr>
          <w:cantSplit/>
        </w:trPr>
        <w:tc>
          <w:tcPr>
            <w:tcW w:type="dxa" w:w="1656"/>
            <w:vAlign w:val="center"/>
            <w:tcMar>
              <w:top w:w="100" w:type="dxa"/>
              <w:start w:w="120" w:type="dxa"/>
              <w:bottom w:w="100" w:type="dxa"/>
              <w:end w:w="120" w:type="dxa"/>
            </w:tcMar>
          </w:tcPr>
          <w:p>
            <w:bookmarkStart w:id="2228" w:name="po_132"/>
            <w:r>
              <w:rPr>
                <w:sz w:val="17"/>
              </w:rPr>
              <w:t>T2-PO-132</w:t>
            </w:r>
            <w:bookmarkEnd w:id="2228"/>
          </w:p>
        </w:tc>
        <w:tc>
          <w:tcPr>
            <w:tcW w:type="dxa" w:w="6552"/>
            <w:vAlign w:val="center"/>
            <w:tcMar>
              <w:top w:w="100" w:type="dxa"/>
              <w:start w:w="120" w:type="dxa"/>
              <w:bottom w:w="100" w:type="dxa"/>
              <w:end w:w="120" w:type="dxa"/>
            </w:tcMar>
          </w:tcPr>
          <w:p>
            <w:r>
              <w:rPr>
                <w:sz w:val="17"/>
              </w:rPr>
              <w:t>homogeneity criterion для инвариантов</w:t>
            </w:r>
          </w:p>
        </w:tc>
        <w:tc>
          <w:tcPr>
            <w:tcW w:type="dxa" w:w="1800"/>
            <w:vAlign w:val="center"/>
            <w:tcMar>
              <w:top w:w="100" w:type="dxa"/>
              <w:start w:w="120" w:type="dxa"/>
              <w:bottom w:w="100" w:type="dxa"/>
              <w:end w:w="120" w:type="dxa"/>
            </w:tcMar>
          </w:tcPr>
          <w:p>
            <w:r>
              <w:rPr>
                <w:sz w:val="17"/>
              </w:rPr>
              <w:t>CLOSED</w:t>
            </w:r>
          </w:p>
        </w:tc>
      </w:tr>
      <w:tr>
        <w:trPr>
          <w:cantSplit/>
        </w:trPr>
        <w:tc>
          <w:tcPr>
            <w:tcW w:type="dxa" w:w="1656"/>
            <w:vAlign w:val="center"/>
            <w:tcMar>
              <w:top w:w="100" w:type="dxa"/>
              <w:start w:w="120" w:type="dxa"/>
              <w:bottom w:w="100" w:type="dxa"/>
              <w:end w:w="120" w:type="dxa"/>
            </w:tcMar>
            <w:shd w:fill="EAF1F8"/>
          </w:tcPr>
          <w:p>
            <w:bookmarkStart w:id="2229" w:name="po_133"/>
            <w:r>
              <w:rPr>
                <w:sz w:val="17"/>
              </w:rPr>
              <w:t>T2-PO-133</w:t>
            </w:r>
            <w:bookmarkEnd w:id="2229"/>
          </w:p>
        </w:tc>
        <w:tc>
          <w:tcPr>
            <w:tcW w:type="dxa" w:w="6552"/>
            <w:vAlign w:val="center"/>
            <w:tcMar>
              <w:top w:w="100" w:type="dxa"/>
              <w:start w:w="120" w:type="dxa"/>
              <w:bottom w:w="100" w:type="dxa"/>
              <w:end w:w="120" w:type="dxa"/>
            </w:tcMar>
            <w:shd w:fill="EAF1F8"/>
          </w:tcPr>
          <w:p>
            <w:r>
              <w:rPr>
                <w:sz w:val="17"/>
              </w:rPr>
              <w:t>Whitney (a) для rank strata</w:t>
            </w:r>
          </w:p>
        </w:tc>
        <w:tc>
          <w:tcPr>
            <w:tcW w:type="dxa" w:w="1800"/>
            <w:vAlign w:val="center"/>
            <w:tcMar>
              <w:top w:w="100" w:type="dxa"/>
              <w:start w:w="120" w:type="dxa"/>
              <w:bottom w:w="100" w:type="dxa"/>
              <w:end w:w="120" w:type="dxa"/>
            </w:tcMar>
            <w:shd w:fill="EAF1F8"/>
          </w:tcPr>
          <w:p>
            <w:r>
              <w:rPr>
                <w:sz w:val="17"/>
              </w:rPr>
              <w:t>OPEN model</w:t>
            </w:r>
          </w:p>
        </w:tc>
      </w:tr>
      <w:tr>
        <w:trPr>
          <w:cantSplit/>
        </w:trPr>
        <w:tc>
          <w:tcPr>
            <w:tcW w:type="dxa" w:w="1656"/>
            <w:vAlign w:val="center"/>
            <w:tcMar>
              <w:top w:w="100" w:type="dxa"/>
              <w:start w:w="120" w:type="dxa"/>
              <w:bottom w:w="100" w:type="dxa"/>
              <w:end w:w="120" w:type="dxa"/>
            </w:tcMar>
          </w:tcPr>
          <w:p>
            <w:bookmarkStart w:id="2230" w:name="po_134"/>
            <w:r>
              <w:rPr>
                <w:sz w:val="17"/>
              </w:rPr>
              <w:t>T2-PO-134</w:t>
            </w:r>
            <w:bookmarkEnd w:id="2230"/>
          </w:p>
        </w:tc>
        <w:tc>
          <w:tcPr>
            <w:tcW w:type="dxa" w:w="6552"/>
            <w:vAlign w:val="center"/>
            <w:tcMar>
              <w:top w:w="100" w:type="dxa"/>
              <w:start w:w="120" w:type="dxa"/>
              <w:bottom w:w="100" w:type="dxa"/>
              <w:end w:w="120" w:type="dxa"/>
            </w:tcMar>
          </w:tcPr>
          <w:p>
            <w:r>
              <w:rPr>
                <w:sz w:val="17"/>
              </w:rPr>
              <w:t>Whitney (b) для orbit strata</w:t>
            </w:r>
          </w:p>
        </w:tc>
        <w:tc>
          <w:tcPr>
            <w:tcW w:type="dxa" w:w="1800"/>
            <w:vAlign w:val="center"/>
            <w:tcMar>
              <w:top w:w="100" w:type="dxa"/>
              <w:start w:w="120" w:type="dxa"/>
              <w:bottom w:w="100" w:type="dxa"/>
              <w:end w:w="120" w:type="dxa"/>
            </w:tcMar>
          </w:tcPr>
          <w:p>
            <w:r>
              <w:rPr>
                <w:sz w:val="17"/>
              </w:rPr>
              <w:t>OPEN model</w:t>
            </w:r>
          </w:p>
        </w:tc>
      </w:tr>
      <w:tr>
        <w:trPr>
          <w:cantSplit/>
        </w:trPr>
        <w:tc>
          <w:tcPr>
            <w:tcW w:type="dxa" w:w="1656"/>
            <w:vAlign w:val="center"/>
            <w:tcMar>
              <w:top w:w="100" w:type="dxa"/>
              <w:start w:w="120" w:type="dxa"/>
              <w:bottom w:w="100" w:type="dxa"/>
              <w:end w:w="120" w:type="dxa"/>
            </w:tcMar>
            <w:shd w:fill="EAF1F8"/>
          </w:tcPr>
          <w:p>
            <w:bookmarkStart w:id="2231" w:name="po_135"/>
            <w:r>
              <w:rPr>
                <w:sz w:val="17"/>
              </w:rPr>
              <w:t>T2-PO-135</w:t>
            </w:r>
            <w:bookmarkEnd w:id="2231"/>
          </w:p>
        </w:tc>
        <w:tc>
          <w:tcPr>
            <w:tcW w:type="dxa" w:w="6552"/>
            <w:vAlign w:val="center"/>
            <w:tcMar>
              <w:top w:w="100" w:type="dxa"/>
              <w:start w:w="120" w:type="dxa"/>
              <w:bottom w:w="100" w:type="dxa"/>
              <w:end w:w="120" w:type="dxa"/>
            </w:tcMar>
            <w:shd w:fill="EAF1F8"/>
          </w:tcPr>
          <w:p>
            <w:r>
              <w:rPr>
                <w:sz w:val="17"/>
              </w:rPr>
              <w:t>frontier/local finiteness</w:t>
            </w:r>
          </w:p>
        </w:tc>
        <w:tc>
          <w:tcPr>
            <w:tcW w:type="dxa" w:w="1800"/>
            <w:vAlign w:val="center"/>
            <w:tcMar>
              <w:top w:w="100" w:type="dxa"/>
              <w:start w:w="120" w:type="dxa"/>
              <w:bottom w:w="100" w:type="dxa"/>
              <w:end w:w="120" w:type="dxa"/>
            </w:tcMar>
            <w:shd w:fill="EAF1F8"/>
          </w:tcPr>
          <w:p>
            <w:r>
              <w:rPr>
                <w:sz w:val="17"/>
              </w:rPr>
              <w:t>OPEN model</w:t>
            </w:r>
          </w:p>
        </w:tc>
      </w:tr>
      <w:tr>
        <w:trPr>
          <w:cantSplit/>
        </w:trPr>
        <w:tc>
          <w:tcPr>
            <w:tcW w:type="dxa" w:w="1656"/>
            <w:vAlign w:val="center"/>
            <w:tcMar>
              <w:top w:w="100" w:type="dxa"/>
              <w:start w:w="120" w:type="dxa"/>
              <w:bottom w:w="100" w:type="dxa"/>
              <w:end w:w="120" w:type="dxa"/>
            </w:tcMar>
          </w:tcPr>
          <w:p>
            <w:bookmarkStart w:id="2232" w:name="po_136"/>
            <w:r>
              <w:rPr>
                <w:sz w:val="17"/>
              </w:rPr>
              <w:t>T2-PO-136</w:t>
            </w:r>
            <w:bookmarkEnd w:id="2232"/>
          </w:p>
        </w:tc>
        <w:tc>
          <w:tcPr>
            <w:tcW w:type="dxa" w:w="6552"/>
            <w:vAlign w:val="center"/>
            <w:tcMar>
              <w:top w:w="100" w:type="dxa"/>
              <w:start w:w="120" w:type="dxa"/>
              <w:bottom w:w="100" w:type="dxa"/>
              <w:end w:w="120" w:type="dxa"/>
            </w:tcMar>
          </w:tcPr>
          <w:p>
            <w:r>
              <w:rPr>
                <w:sz w:val="17"/>
              </w:rPr>
              <w:t>positive projectivization order cone</w:t>
            </w:r>
          </w:p>
        </w:tc>
        <w:tc>
          <w:tcPr>
            <w:tcW w:type="dxa" w:w="1800"/>
            <w:vAlign w:val="center"/>
            <w:tcMar>
              <w:top w:w="100" w:type="dxa"/>
              <w:start w:w="120" w:type="dxa"/>
              <w:bottom w:w="100" w:type="dxa"/>
              <w:end w:w="120" w:type="dxa"/>
            </w:tcMar>
          </w:tcPr>
          <w:p>
            <w:r>
              <w:rPr>
                <w:sz w:val="17"/>
              </w:rPr>
              <w:t>CLOSED</w:t>
            </w:r>
          </w:p>
        </w:tc>
      </w:tr>
      <w:tr>
        <w:trPr>
          <w:cantSplit/>
        </w:trPr>
        <w:tc>
          <w:tcPr>
            <w:tcW w:type="dxa" w:w="1656"/>
            <w:vAlign w:val="center"/>
            <w:tcMar>
              <w:top w:w="100" w:type="dxa"/>
              <w:start w:w="120" w:type="dxa"/>
              <w:bottom w:w="100" w:type="dxa"/>
              <w:end w:w="120" w:type="dxa"/>
            </w:tcMar>
            <w:shd w:fill="EAF1F8"/>
          </w:tcPr>
          <w:p>
            <w:bookmarkStart w:id="2233" w:name="po_137"/>
            <w:r>
              <w:rPr>
                <w:sz w:val="17"/>
              </w:rPr>
              <w:t>T2-PO-137</w:t>
            </w:r>
            <w:bookmarkEnd w:id="2233"/>
          </w:p>
        </w:tc>
        <w:tc>
          <w:tcPr>
            <w:tcW w:type="dxa" w:w="6552"/>
            <w:vAlign w:val="center"/>
            <w:tcMar>
              <w:top w:w="100" w:type="dxa"/>
              <w:start w:w="120" w:type="dxa"/>
              <w:bottom w:w="100" w:type="dxa"/>
              <w:end w:w="120" w:type="dxa"/>
            </w:tcMar>
            <w:shd w:fill="EAF1F8"/>
          </w:tcPr>
          <w:p>
            <w:r>
              <w:rPr>
                <w:sz w:val="17"/>
              </w:rPr>
              <w:t>Fano local-to-global no-go</w:t>
            </w:r>
          </w:p>
        </w:tc>
        <w:tc>
          <w:tcPr>
            <w:tcW w:type="dxa" w:w="1800"/>
            <w:vAlign w:val="center"/>
            <w:tcMar>
              <w:top w:w="100" w:type="dxa"/>
              <w:start w:w="120" w:type="dxa"/>
              <w:bottom w:w="100" w:type="dxa"/>
              <w:end w:w="120" w:type="dxa"/>
            </w:tcMar>
            <w:shd w:fill="EAF1F8"/>
          </w:tcPr>
          <w:p>
            <w:r>
              <w:rPr>
                <w:sz w:val="17"/>
              </w:rPr>
              <w:t>CLOSED</w:t>
            </w:r>
          </w:p>
        </w:tc>
      </w:tr>
      <w:tr>
        <w:trPr>
          <w:cantSplit/>
        </w:trPr>
        <w:tc>
          <w:tcPr>
            <w:tcW w:type="dxa" w:w="1656"/>
            <w:vAlign w:val="center"/>
            <w:tcMar>
              <w:top w:w="100" w:type="dxa"/>
              <w:start w:w="120" w:type="dxa"/>
              <w:bottom w:w="100" w:type="dxa"/>
              <w:end w:w="120" w:type="dxa"/>
            </w:tcMar>
          </w:tcPr>
          <w:p>
            <w:bookmarkStart w:id="2234" w:name="po_138"/>
            <w:r>
              <w:rPr>
                <w:sz w:val="17"/>
              </w:rPr>
              <w:t>T2-PO-138</w:t>
            </w:r>
            <w:bookmarkEnd w:id="2234"/>
          </w:p>
        </w:tc>
        <w:tc>
          <w:tcPr>
            <w:tcW w:type="dxa" w:w="6552"/>
            <w:vAlign w:val="center"/>
            <w:tcMar>
              <w:top w:w="100" w:type="dxa"/>
              <w:start w:w="120" w:type="dxa"/>
              <w:bottom w:w="100" w:type="dxa"/>
              <w:end w:w="120" w:type="dxa"/>
            </w:tcMar>
          </w:tcPr>
          <w:p>
            <w:r>
              <w:rPr>
                <w:sz w:val="17"/>
              </w:rPr>
              <w:t>effective descent глобального carrier</w:t>
            </w:r>
          </w:p>
        </w:tc>
        <w:tc>
          <w:tcPr>
            <w:tcW w:type="dxa" w:w="1800"/>
            <w:vAlign w:val="center"/>
            <w:tcMar>
              <w:top w:w="100" w:type="dxa"/>
              <w:start w:w="120" w:type="dxa"/>
              <w:bottom w:w="100" w:type="dxa"/>
              <w:end w:w="120" w:type="dxa"/>
            </w:tcMar>
          </w:tcPr>
          <w:p>
            <w:r>
              <w:rPr>
                <w:sz w:val="17"/>
              </w:rPr>
              <w:t>OPEN</w:t>
            </w:r>
          </w:p>
        </w:tc>
      </w:tr>
      <w:tr>
        <w:trPr>
          <w:cantSplit/>
        </w:trPr>
        <w:tc>
          <w:tcPr>
            <w:tcW w:type="dxa" w:w="1656"/>
            <w:vAlign w:val="center"/>
            <w:tcMar>
              <w:top w:w="100" w:type="dxa"/>
              <w:start w:w="120" w:type="dxa"/>
              <w:bottom w:w="100" w:type="dxa"/>
              <w:end w:w="120" w:type="dxa"/>
            </w:tcMar>
            <w:shd w:fill="EAF1F8"/>
          </w:tcPr>
          <w:p>
            <w:bookmarkStart w:id="2235" w:name="po_139"/>
            <w:r>
              <w:rPr>
                <w:sz w:val="17"/>
              </w:rPr>
              <w:t>T2-PO-139</w:t>
            </w:r>
            <w:bookmarkEnd w:id="2235"/>
          </w:p>
        </w:tc>
        <w:tc>
          <w:tcPr>
            <w:tcW w:type="dxa" w:w="6552"/>
            <w:vAlign w:val="center"/>
            <w:tcMar>
              <w:top w:w="100" w:type="dxa"/>
              <w:start w:w="120" w:type="dxa"/>
              <w:bottom w:w="100" w:type="dxa"/>
              <w:end w:w="120" w:type="dxa"/>
            </w:tcMar>
            <w:shd w:fill="EAF1F8"/>
          </w:tcPr>
          <w:p>
            <w:r>
              <w:rPr>
                <w:sz w:val="17"/>
              </w:rPr>
              <w:t>projective horizon construction</w:t>
            </w:r>
          </w:p>
        </w:tc>
        <w:tc>
          <w:tcPr>
            <w:tcW w:type="dxa" w:w="1800"/>
            <w:vAlign w:val="center"/>
            <w:tcMar>
              <w:top w:w="100" w:type="dxa"/>
              <w:start w:w="120" w:type="dxa"/>
              <w:bottom w:w="100" w:type="dxa"/>
              <w:end w:w="120" w:type="dxa"/>
            </w:tcMar>
            <w:shd w:fill="EAF1F8"/>
          </w:tcPr>
          <w:p>
            <w:r>
              <w:rPr>
                <w:sz w:val="17"/>
              </w:rPr>
              <w:t>CLOSED finite family</w:t>
            </w:r>
          </w:p>
        </w:tc>
      </w:tr>
      <w:tr>
        <w:trPr>
          <w:cantSplit/>
        </w:trPr>
        <w:tc>
          <w:tcPr>
            <w:tcW w:type="dxa" w:w="1656"/>
            <w:vAlign w:val="center"/>
            <w:tcMar>
              <w:top w:w="100" w:type="dxa"/>
              <w:start w:w="120" w:type="dxa"/>
              <w:bottom w:w="100" w:type="dxa"/>
              <w:end w:w="120" w:type="dxa"/>
            </w:tcMar>
          </w:tcPr>
          <w:p>
            <w:bookmarkStart w:id="2236" w:name="po_140"/>
            <w:r>
              <w:rPr>
                <w:sz w:val="17"/>
              </w:rPr>
              <w:t>T2-PO-140</w:t>
            </w:r>
            <w:bookmarkEnd w:id="2236"/>
          </w:p>
        </w:tc>
        <w:tc>
          <w:tcPr>
            <w:tcW w:type="dxa" w:w="6552"/>
            <w:vAlign w:val="center"/>
            <w:tcMar>
              <w:top w:w="100" w:type="dxa"/>
              <w:start w:w="120" w:type="dxa"/>
              <w:bottom w:w="100" w:type="dxa"/>
              <w:end w:w="120" w:type="dxa"/>
            </w:tcMar>
          </w:tcPr>
          <w:p>
            <w:r>
              <w:rPr>
                <w:sz w:val="17"/>
              </w:rPr>
              <w:t>profile constancy theorem</w:t>
            </w:r>
          </w:p>
        </w:tc>
        <w:tc>
          <w:tcPr>
            <w:tcW w:type="dxa" w:w="1800"/>
            <w:vAlign w:val="center"/>
            <w:tcMar>
              <w:top w:w="100" w:type="dxa"/>
              <w:start w:w="120" w:type="dxa"/>
              <w:bottom w:w="100" w:type="dxa"/>
              <w:end w:w="120" w:type="dxa"/>
            </w:tcMar>
          </w:tcPr>
          <w:p>
            <w:r>
              <w:rPr>
                <w:sz w:val="17"/>
              </w:rPr>
              <w:t>CLOSED under H1-H8</w:t>
            </w:r>
          </w:p>
        </w:tc>
      </w:tr>
      <w:tr>
        <w:trPr>
          <w:cantSplit/>
        </w:trPr>
        <w:tc>
          <w:tcPr>
            <w:tcW w:type="dxa" w:w="1656"/>
            <w:vAlign w:val="center"/>
            <w:tcMar>
              <w:top w:w="100" w:type="dxa"/>
              <w:start w:w="120" w:type="dxa"/>
              <w:bottom w:w="100" w:type="dxa"/>
              <w:end w:w="120" w:type="dxa"/>
            </w:tcMar>
            <w:shd w:fill="EAF1F8"/>
          </w:tcPr>
          <w:p>
            <w:bookmarkStart w:id="2237" w:name="po_141"/>
            <w:r>
              <w:rPr>
                <w:sz w:val="17"/>
              </w:rPr>
              <w:t>T2-PO-141</w:t>
            </w:r>
            <w:bookmarkEnd w:id="2237"/>
          </w:p>
        </w:tc>
        <w:tc>
          <w:tcPr>
            <w:tcW w:type="dxa" w:w="6552"/>
            <w:vAlign w:val="center"/>
            <w:tcMar>
              <w:top w:w="100" w:type="dxa"/>
              <w:start w:w="120" w:type="dxa"/>
              <w:bottom w:w="100" w:type="dxa"/>
              <w:end w:w="120" w:type="dxa"/>
            </w:tcMar>
            <w:shd w:fill="EAF1F8"/>
          </w:tcPr>
          <w:p>
            <w:r>
              <w:rPr>
                <w:sz w:val="17"/>
              </w:rPr>
              <w:t>канонический χ_λ bridge</w:t>
            </w:r>
          </w:p>
        </w:tc>
        <w:tc>
          <w:tcPr>
            <w:tcW w:type="dxa" w:w="1800"/>
            <w:vAlign w:val="center"/>
            <w:tcMar>
              <w:top w:w="100" w:type="dxa"/>
              <w:start w:w="120" w:type="dxa"/>
              <w:bottom w:w="100" w:type="dxa"/>
              <w:end w:w="120" w:type="dxa"/>
            </w:tcMar>
            <w:shd w:fill="EAF1F8"/>
          </w:tcPr>
          <w:p>
            <w:r>
              <w:rPr>
                <w:sz w:val="17"/>
              </w:rPr>
              <w:t>OPEN</w:t>
            </w:r>
          </w:p>
        </w:tc>
      </w:tr>
      <w:tr>
        <w:trPr>
          <w:cantSplit/>
        </w:trPr>
        <w:tc>
          <w:tcPr>
            <w:tcW w:type="dxa" w:w="1656"/>
            <w:vAlign w:val="center"/>
            <w:tcMar>
              <w:top w:w="100" w:type="dxa"/>
              <w:start w:w="120" w:type="dxa"/>
              <w:bottom w:w="100" w:type="dxa"/>
              <w:end w:w="120" w:type="dxa"/>
            </w:tcMar>
          </w:tcPr>
          <w:p>
            <w:bookmarkStart w:id="2238" w:name="po_142"/>
            <w:r>
              <w:rPr>
                <w:sz w:val="17"/>
              </w:rPr>
              <w:t>T2-PO-142</w:t>
            </w:r>
            <w:bookmarkEnd w:id="2238"/>
          </w:p>
        </w:tc>
        <w:tc>
          <w:tcPr>
            <w:tcW w:type="dxa" w:w="6552"/>
            <w:vAlign w:val="center"/>
            <w:tcMar>
              <w:top w:w="100" w:type="dxa"/>
              <w:start w:w="120" w:type="dxa"/>
              <w:bottom w:w="100" w:type="dxa"/>
              <w:end w:w="120" w:type="dxa"/>
            </w:tcMar>
          </w:tcPr>
          <w:p>
            <w:r>
              <w:rPr>
                <w:sz w:val="17"/>
              </w:rPr>
              <w:t>interval-certified distance to Δ_proj</w:t>
            </w:r>
          </w:p>
        </w:tc>
        <w:tc>
          <w:tcPr>
            <w:tcW w:type="dxa" w:w="1800"/>
            <w:vAlign w:val="center"/>
            <w:tcMar>
              <w:top w:w="100" w:type="dxa"/>
              <w:start w:w="120" w:type="dxa"/>
              <w:bottom w:w="100" w:type="dxa"/>
              <w:end w:w="120" w:type="dxa"/>
            </w:tcMar>
          </w:tcPr>
          <w:p>
            <w:r>
              <w:rPr>
                <w:sz w:val="17"/>
              </w:rPr>
              <w:t>OPEN computation</w:t>
            </w:r>
          </w:p>
        </w:tc>
      </w:tr>
      <w:tr>
        <w:trPr>
          <w:cantSplit/>
        </w:trPr>
        <w:tc>
          <w:tcPr>
            <w:tcW w:type="dxa" w:w="1656"/>
            <w:vAlign w:val="center"/>
            <w:tcMar>
              <w:top w:w="100" w:type="dxa"/>
              <w:start w:w="120" w:type="dxa"/>
              <w:bottom w:w="100" w:type="dxa"/>
              <w:end w:w="120" w:type="dxa"/>
            </w:tcMar>
            <w:shd w:fill="EAF1F8"/>
          </w:tcPr>
          <w:p>
            <w:bookmarkStart w:id="2239" w:name="po_143"/>
            <w:r>
              <w:rPr>
                <w:sz w:val="17"/>
              </w:rPr>
              <w:t>T2-PO-143</w:t>
            </w:r>
            <w:bookmarkEnd w:id="2239"/>
          </w:p>
        </w:tc>
        <w:tc>
          <w:tcPr>
            <w:tcW w:type="dxa" w:w="6552"/>
            <w:vAlign w:val="center"/>
            <w:tcMar>
              <w:top w:w="100" w:type="dxa"/>
              <w:start w:w="120" w:type="dxa"/>
              <w:bottom w:w="100" w:type="dxa"/>
              <w:end w:w="120" w:type="dxa"/>
            </w:tcMar>
            <w:shd w:fill="EAF1F8"/>
          </w:tcPr>
          <w:p>
            <w:r>
              <w:rPr>
                <w:sz w:val="17"/>
              </w:rPr>
              <w:t>Banach projective carrier</w:t>
            </w:r>
          </w:p>
        </w:tc>
        <w:tc>
          <w:tcPr>
            <w:tcW w:type="dxa" w:w="1800"/>
            <w:vAlign w:val="center"/>
            <w:tcMar>
              <w:top w:w="100" w:type="dxa"/>
              <w:start w:w="120" w:type="dxa"/>
              <w:bottom w:w="100" w:type="dxa"/>
              <w:end w:w="120" w:type="dxa"/>
            </w:tcMar>
            <w:shd w:fill="EAF1F8"/>
          </w:tcPr>
          <w:p>
            <w:r>
              <w:rPr>
                <w:sz w:val="17"/>
              </w:rPr>
              <w:t>OPEN</w:t>
            </w:r>
          </w:p>
        </w:tc>
      </w:tr>
      <w:tr>
        <w:trPr>
          <w:cantSplit/>
        </w:trPr>
        <w:tc>
          <w:tcPr>
            <w:tcW w:type="dxa" w:w="1656"/>
            <w:vAlign w:val="center"/>
            <w:tcMar>
              <w:top w:w="100" w:type="dxa"/>
              <w:start w:w="120" w:type="dxa"/>
              <w:bottom w:w="100" w:type="dxa"/>
              <w:end w:w="120" w:type="dxa"/>
            </w:tcMar>
          </w:tcPr>
          <w:p>
            <w:bookmarkStart w:id="2240" w:name="po_144"/>
            <w:r>
              <w:rPr>
                <w:sz w:val="17"/>
              </w:rPr>
              <w:t>T2-PO-144</w:t>
            </w:r>
            <w:bookmarkEnd w:id="2240"/>
          </w:p>
        </w:tc>
        <w:tc>
          <w:tcPr>
            <w:tcW w:type="dxa" w:w="6552"/>
            <w:vAlign w:val="center"/>
            <w:tcMar>
              <w:top w:w="100" w:type="dxa"/>
              <w:start w:w="120" w:type="dxa"/>
              <w:bottom w:w="100" w:type="dxa"/>
              <w:end w:w="120" w:type="dxa"/>
            </w:tcMar>
          </w:tcPr>
          <w:p>
            <w:r>
              <w:rPr>
                <w:sz w:val="17"/>
              </w:rPr>
              <w:t>independent domain run</w:t>
            </w:r>
          </w:p>
        </w:tc>
        <w:tc>
          <w:tcPr>
            <w:tcW w:type="dxa" w:w="1800"/>
            <w:vAlign w:val="center"/>
            <w:tcMar>
              <w:top w:w="100" w:type="dxa"/>
              <w:start w:w="120" w:type="dxa"/>
              <w:bottom w:w="100" w:type="dxa"/>
              <w:end w:w="120" w:type="dxa"/>
            </w:tcMar>
          </w:tcPr>
          <w:p>
            <w:r>
              <w:rPr>
                <w:sz w:val="17"/>
              </w:rPr>
              <w:t>OPEN</w:t>
            </w:r>
          </w:p>
        </w:tc>
      </w:tr>
      <w:tr>
        <w:trPr>
          <w:cantSplit/>
        </w:trPr>
        <w:tc>
          <w:tcPr>
            <w:tcW w:type="dxa" w:w="1656"/>
            <w:vAlign w:val="center"/>
            <w:tcMar>
              <w:top w:w="100" w:type="dxa"/>
              <w:start w:w="120" w:type="dxa"/>
              <w:bottom w:w="100" w:type="dxa"/>
              <w:end w:w="120" w:type="dxa"/>
            </w:tcMar>
            <w:shd w:fill="EAF1F8"/>
          </w:tcPr>
          <w:p>
            <w:bookmarkStart w:id="2241" w:name="po_145"/>
            <w:r>
              <w:rPr>
                <w:sz w:val="17"/>
              </w:rPr>
              <w:t>T2-PO-145</w:t>
            </w:r>
            <w:bookmarkEnd w:id="2241"/>
          </w:p>
        </w:tc>
        <w:tc>
          <w:tcPr>
            <w:tcW w:type="dxa" w:w="6552"/>
            <w:vAlign w:val="center"/>
            <w:tcMar>
              <w:top w:w="100" w:type="dxa"/>
              <w:start w:w="120" w:type="dxa"/>
              <w:bottom w:w="100" w:type="dxa"/>
              <w:end w:w="120" w:type="dxa"/>
            </w:tcMar>
            <w:shd w:fill="EAF1F8"/>
          </w:tcPr>
          <w:p>
            <w:r>
              <w:rPr>
                <w:sz w:val="17"/>
              </w:rPr>
              <w:t>physical reduction</w:t>
            </w:r>
          </w:p>
        </w:tc>
        <w:tc>
          <w:tcPr>
            <w:tcW w:type="dxa" w:w="1800"/>
            <w:vAlign w:val="center"/>
            <w:tcMar>
              <w:top w:w="100" w:type="dxa"/>
              <w:start w:w="120" w:type="dxa"/>
              <w:bottom w:w="100" w:type="dxa"/>
              <w:end w:w="120" w:type="dxa"/>
            </w:tcMar>
            <w:shd w:fill="EAF1F8"/>
          </w:tcPr>
          <w:p>
            <w:r>
              <w:rPr>
                <w:sz w:val="17"/>
              </w:rPr>
              <w:t>OPEN / Volume III</w:t>
            </w:r>
          </w:p>
        </w:tc>
      </w:tr>
    </w:tbl>
    <w:p/>
    <w:p>
      <w:bookmarkStart w:id="1057" w:name="h_1743"/>
      <w:pPr>
        <w:pStyle w:val="Heading1"/>
        <w:keepNext/>
      </w:pPr>
      <w:r>
        <w:t>130. Prior art и граница авторского вклада</w:t>
      </w:r>
      <w:bookmarkEnd w:id="1057"/>
    </w:p>
    <w:p>
      <w:r>
        <w:t>Классический слой включает проективизацию векторных пространств, Grassmannian/orbit-type stratifications, projective metrics, конусы, descent и стратифицированные пространства. Эти конструкции не заявляются как новые.</w:t>
      </w:r>
    </w:p>
    <w:p>
      <w:r>
        <w:t>[V0.11-1] Курпишев И. Б. Реперно-проективная архитектура формульных цепочек: PILOT-01. Разделы 5-9: vector obstruction carrier, projectivization и Fano ontological barrier.</w:t>
      </w:r>
    </w:p>
    <w:p>
      <w:r>
        <w:t>[V0.11-2] Hartshorne, R. Algebraic Geometry. Chapter I, projective varieties.</w:t>
      </w:r>
    </w:p>
    <w:p>
      <w:r>
        <w:t>[V0.11-3] Goresky, M.; MacPherson, R. Stratified Morse Theory. Springer, 1988.</w:t>
      </w:r>
    </w:p>
    <w:p>
      <w:r>
        <w:t>[V0.11-4] Whitney, H. Tangents to an analytic variety. Annals of Mathematics 81 (1965).</w:t>
      </w:r>
    </w:p>
    <w:p>
      <w:r>
        <w:t>[V0.11-5] Duistermaat, J. J.; Kolk, J. A. C. Lie Groups. Orbit-type decompositions.</w:t>
      </w:r>
    </w:p>
    <w:p>
      <w:r>
        <w:t>[V0.11-6] Том I v197 RU; Том II T2-RP-v0.1-v0.10.</w:t>
      </w:r>
    </w:p>
    <w:p>
      <w:r>
        <w:t>Граница новизны. Авторская линия Курпишева связывает внутренний obstruction carrier NAPG, D/Dom-дисциплину,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p>
      <w:bookmarkStart w:id="1058" w:name="h_1752"/>
      <w:pPr>
        <w:pStyle w:val="Heading1"/>
        <w:keepNext/>
      </w:pPr>
      <w:r>
        <w:t>131. Итог главы и контрольная точка T2-RP-v0.11</w:t>
      </w:r>
      <w:bookmarkEnd w:id="1058"/>
    </w:p>
    <w:p>
      <w:bookmarkStart w:id="1802" w:name="f_14_22"/>
      <w:pPr>
        <w:pStyle w:val="Quote"/>
        <w:jc w:val="center"/>
      </w:pPr>
      <w:r>
        <w:rPr>
          <w:rFonts w:ascii="Cambria Math" w:hAnsi="Cambria Math"/>
          <w:sz w:val="22"/>
        </w:rPr>
        <w:t>truth_layer_promotion=0; checkpoint=T2-RP-v0.11; next=T2-RP-v0.12.</w:t>
      </w:r>
      <w:r>
        <w:t xml:space="preserve">    (14.22)</w:t>
      </w:r>
      <w:bookmarkEnd w:id="1802"/>
    </w:p>
    <w:p>
      <w:r>
        <w:t>Глава 14 построила строгую геометрию носителей препятствий и показала предел projectivization: она сохраняет направление ненулевого класса, но не сохраняет нуль, масштаб, знак, происхождение, lift и domain. Предсказательный метод получил projective transition horizon и отрицательную теорему постоянства типа вне горизонта.</w:t>
      </w:r>
    </w:p>
    <w:p>
      <w:pPr>
        <w:pStyle w:val="Lead"/>
      </w:pPr>
      <w:r>
        <w:t>Следующая сборка tom2_v0_12 развивает каноническую главу 15: Hodge decomposition, Laplace-type operators, ellipticity, граничные условия, Fredholm sectors и аналитические оценки препятствий без автоматического переноса конечномерных результатов.</w:t>
      </w:r>
    </w:p>
    <w:p>
      <w:pPr>
        <w:pStyle w:val="Small"/>
      </w:pPr>
      <w:r>
        <w:t>checkpoint=T2-RP-v0.11; source=T2-RP-v0.10; truth_layer_promotion=0; next=T2-RP-v0.12.</w:t>
      </w:r>
    </w:p>
    <w:p>
      <w:bookmarkStart w:id="1059" w:name="h_1757"/>
      <w:pPr>
        <w:pStyle w:val="Heading1"/>
        <w:keepNext/>
      </w:pPr>
      <w:r>
        <w:t>132. Глава 15. Hodge-разложение и аналитический слой NAPG</w:t>
      </w:r>
      <w:bookmarkEnd w:id="1059"/>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268"/>
            <w:shd w:fill="17365D"/>
            <w:vAlign w:val="center"/>
            <w:tcMar>
              <w:top w:w="120" w:type="dxa"/>
              <w:start w:w="120" w:type="dxa"/>
              <w:bottom w:w="120" w:type="dxa"/>
              <w:end w:w="120" w:type="dxa"/>
            </w:tcMar>
          </w:tcPr>
          <w:p>
            <w:r>
              <w:rPr>
                <w:rFonts w:ascii="Liberation Sans" w:hAnsi="Liberation Sans"/>
                <w:b/>
                <w:color w:val="FFFFFF"/>
                <w:sz w:val="20"/>
              </w:rPr>
              <w:t>ОНТОЛОГИЯ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Аналитический объект существует не как формула Δ=dδ+δd, а как оператор вместе с Hilbert-пространствами, плотным доменом, замыканием, сопряжённым оператором и граничными либо интерфейсными условиями. Потеря любого элемента меняет сам объект.</w:t>
            </w:r>
          </w:p>
        </w:tc>
      </w:tr>
      <w:tr>
        <w:trPr>
          <w:cantSplit/>
        </w:trPr>
        <w:tc>
          <w:tcPr>
            <w:tcW w:type="dxa" w:w="2268"/>
            <w:shd w:fill="17365D"/>
            <w:vAlign w:val="center"/>
            <w:tcMar>
              <w:top w:w="120" w:type="dxa"/>
              <w:start w:w="120" w:type="dxa"/>
              <w:bottom w:w="120" w:type="dxa"/>
              <w:end w:w="120" w:type="dxa"/>
            </w:tcMar>
          </w:tcPr>
          <w:p>
            <w:r>
              <w:rPr>
                <w:rFonts w:ascii="Liberation Sans" w:hAnsi="Liberation Sans"/>
                <w:b/>
                <w:color w:val="FFFFFF"/>
                <w:sz w:val="20"/>
              </w:rPr>
              <w:t>ГНОСЕОЛОГИЯ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Hodge-представитель даёт канонический способ читать когомологический класс только после доказательства замкнутости образов или Fredholm-реализации. До этого гармоническая форма может представлять лишь редуцированную когомологию, а не удобную иллюстрацию полной истины.</w:t>
            </w:r>
          </w:p>
        </w:tc>
      </w:tr>
      <w:tr>
        <w:trPr>
          <w:cantSplit/>
        </w:trPr>
        <w:tc>
          <w:tcPr>
            <w:tcW w:type="dxa" w:w="2268"/>
            <w:shd w:fill="17365D"/>
            <w:vAlign w:val="center"/>
            <w:tcMar>
              <w:top w:w="120" w:type="dxa"/>
              <w:start w:w="120" w:type="dxa"/>
              <w:bottom w:w="120" w:type="dxa"/>
              <w:end w:w="120" w:type="dxa"/>
            </w:tcMar>
          </w:tcPr>
          <w:p>
            <w:r>
              <w:rPr>
                <w:rFonts w:ascii="Liberation Sans" w:hAnsi="Liberation Sans"/>
                <w:b/>
                <w:color w:val="FFFFFF"/>
                <w:sz w:val="20"/>
              </w:rPr>
              <w:t>ФЕНОМЕНОЛОГИЯ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Наблюдаемая устойчивость проявляется как спектральный зазор: малые возмущения не меняют размерность гармонического сектора, пока ноль отделён от остального спектра. Закрытие зазора воспринимается как кандидат структурного перехода, а не как уже наступившее событие.</w:t>
            </w:r>
          </w:p>
        </w:tc>
      </w:tr>
      <w:tr>
        <w:trPr>
          <w:cantSplit/>
        </w:trPr>
        <w:tc>
          <w:tcPr>
            <w:tcW w:type="dxa" w:w="2268"/>
            <w:shd w:fill="A57516"/>
            <w:vAlign w:val="center"/>
            <w:tcMar>
              <w:top w:w="120" w:type="dxa"/>
              <w:start w:w="120" w:type="dxa"/>
              <w:bottom w:w="120" w:type="dxa"/>
              <w:end w:w="120" w:type="dxa"/>
            </w:tcMar>
          </w:tcPr>
          <w:p>
            <w:r>
              <w:rPr>
                <w:rFonts w:ascii="Liberation Sans" w:hAnsi="Liberation Sans"/>
                <w:b/>
                <w:color w:val="FFFFFF"/>
                <w:sz w:val="20"/>
              </w:rPr>
              <w:t>ГРАНИЦА</w:t>
            </w:r>
          </w:p>
        </w:tc>
        <w:tc>
          <w:tcPr>
            <w:tcW w:type="dxa" w:w="7030"/>
            <w:shd w:fill="F7EDD8"/>
            <w:vAlign w:val="center"/>
            <w:tcMar>
              <w:top w:w="120" w:type="dxa"/>
              <w:start w:w="120" w:type="dxa"/>
              <w:bottom w:w="120" w:type="dxa"/>
              <w:end w:w="120" w:type="dxa"/>
            </w:tcMar>
          </w:tcPr>
          <w:p>
            <w:r>
              <w:rPr>
                <w:rFonts w:ascii="Liberation Serif" w:hAnsi="Liberation Serif"/>
                <w:sz w:val="18"/>
              </w:rPr>
              <w:t>Ни d²=0, ни формальная симметрия, ни компактность отдельных страт сами по себе не дают эллиптичность, самосопряжённость, Fredholm-свойство или Hodge-разложение. Физический смысл не выводится из спектра без отдельного редукционного моста.</w:t>
            </w:r>
          </w:p>
        </w:tc>
      </w:tr>
    </w:tbl>
    <w:p>
      <w:pPr/>
      <w:r>
        <w:t>Цель главы. Построить аналитический слой, в котором внутренние и внешние obstruction classes получают устойчивые гармонические представители, а предсказательная процедура различает три ситуации: устойчивое ненулевое препятствие, аналитический кандидат его исчезновения и отсутствие права на вывод из-за незакрытого домена оператора.</w:t>
      </w:r>
    </w:p>
    <w:p>
      <w:pPr>
        <w:pStyle w:val="Heading2"/>
        <w:keepNext/>
      </w:pPr>
      <w:r>
        <w:t>132.1. Шесть аналитических уровней</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80"/>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Уровень</w:t>
            </w:r>
          </w:p>
        </w:tc>
        <w:tc>
          <w:tcPr>
            <w:tcW w:type="dxa" w:w="1871"/>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Объект</w:t>
            </w:r>
          </w:p>
        </w:tc>
        <w:tc>
          <w:tcPr>
            <w:tcW w:type="dxa" w:w="379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Минимальный сертификат</w:t>
            </w:r>
          </w:p>
        </w:tc>
        <w:tc>
          <w:tcPr>
            <w:tcW w:type="dxa" w:w="283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Разрешённый вывод</w:t>
            </w:r>
          </w:p>
        </w:tc>
      </w:tr>
      <w:tr>
        <w:trPr>
          <w:cantSplit/>
        </w:trP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A0</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precomplex</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заданы пространства и частичные d_k</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когомология запрещена</w:t>
            </w:r>
          </w:p>
        </w:tc>
      </w:tr>
      <w:tr>
        <w:trPr>
          <w:cantSplit/>
        </w:trP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A1</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Hilbert-комплекс</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d_k замкнуты, плотно определены, d_{k+1}d_k=0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редуцированная Hodge-декомпозиция</w:t>
            </w:r>
          </w:p>
        </w:tc>
      </w:tr>
      <w:tr>
        <w:trPr>
          <w:cantSplit/>
        </w:trP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A2</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closed-range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ran d_k и ran d_k* замкнуты</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обычная когомология ≅ harmonic space</w:t>
            </w:r>
          </w:p>
        </w:tc>
      </w:tr>
      <w:tr>
        <w:trPr>
          <w:cantSplit/>
        </w:trP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A3</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elliptic realization</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точна symbol-sequence при ξ≠0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регулярность и конечномерность на компактной базе</w:t>
            </w:r>
          </w:p>
        </w:tc>
      </w:tr>
      <w:tr>
        <w:trPr>
          <w:cantSplit/>
        </w:trP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A4</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boundary/Fredholm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эллиптические BC, closed range, finite kernel/cokernel</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индекс, Green operator, спектральный контроль</w:t>
            </w:r>
          </w:p>
        </w:tc>
      </w:tr>
      <w:tr>
        <w:trPr>
          <w:cantSplit/>
        </w:trP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A5</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predictive analytic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uniform gap, D/Dom, bridge, hashes</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отрицательный прогноз либо candidate-transition</w:t>
            </w:r>
          </w:p>
        </w:tc>
      </w:tr>
    </w:tbl>
    <w:p>
      <w:bookmarkStart w:id="1060" w:name="h_1760"/>
      <w:pPr>
        <w:pStyle w:val="Heading1"/>
        <w:keepNext/>
      </w:pPr>
      <w:r>
        <w:t>133. Hilbert-комплекс NAPG</w:t>
      </w:r>
      <w:bookmarkEnd w:id="1060"/>
    </w:p>
    <w:p>
      <w:pPr>
        <w:pStyle w:val="Heading2"/>
        <w:keepNext/>
      </w:pPr>
      <w:r>
        <w:t>133.1. Замкнутые дифференциалы</w:t>
      </w:r>
    </w:p>
    <w:p>
      <w:bookmarkStart w:id="1590" w:name="s_DEF_15_1"/>
      <w:pPr/>
      <w:r>
        <w:t>Определение 15.1 (Hilbert-комплекс). [CL/DEF] Hilbert-комплексом называется семейство Hilbert-пространств H^k и плотно определённых замкнутых операторов</w:t>
      </w:r>
      <w:bookmarkEnd w:id="1590"/>
    </w:p>
    <w:p>
      <w:bookmarkStart w:id="1803" w:name="f_15_1"/>
      <w:pPr>
        <w:pStyle w:val="Quote"/>
        <w:spacing w:before="60" w:after="100"/>
        <w:jc w:val="center"/>
      </w:pPr>
      <w:r>
        <w:rPr>
          <w:rFonts w:ascii="Liberation Serif" w:hAnsi="Liberation Serif"/>
          <w:i w:val="0"/>
          <w:sz w:val="21"/>
        </w:rPr>
        <w:t>d_k : D(d_k) ⊂ H^k → H^{k+1},    ran d_k ⊂ ker d_{k+1}.                                  (15.1)</w:t>
      </w:r>
      <w:bookmarkEnd w:id="1803"/>
    </w:p>
    <w:p>
      <w:pPr/>
      <w:r>
        <w:t>В NAPG пространство H^k может быть L²-завершением внутренних форм, внешнего E-комплекса либо прямой суммы стратовых пространств. Условие ran d_k⊂ker d_{k+1} является операторной формой d²=0 и включает требование, что композиция определена на соответствующем домене.</w:t>
      </w:r>
    </w:p>
    <w:p>
      <w:bookmarkStart w:id="1591" w:name="s_DEF_15_2"/>
      <w:pPr/>
      <w:r>
        <w:t>Определение 15.2 (цикл, граница и две когомологии). [CL/DEF]</w:t>
      </w:r>
      <w:bookmarkEnd w:id="1591"/>
    </w:p>
    <w:p>
      <w:bookmarkStart w:id="1804" w:name="f_15_2"/>
      <w:pPr>
        <w:pStyle w:val="Quote"/>
        <w:spacing w:before="60" w:after="100"/>
        <w:jc w:val="center"/>
      </w:pPr>
      <w:r>
        <w:rPr>
          <w:rFonts w:ascii="Liberation Serif" w:hAnsi="Liberation Serif"/>
          <w:i w:val="0"/>
          <w:sz w:val="21"/>
        </w:rPr>
        <w:t>Z^k = ker d_k,    B^k = ran d_{k-1},    H^k = Z^k/B^k,    H̄^k = Z^k/closure(B^k).        (15.2)</w:t>
      </w:r>
      <w:bookmarkEnd w:id="1804"/>
    </w:p>
    <w:p>
      <w:pPr/>
      <w:r>
        <w:t>Обычная когомология может быть нехаусдорфовой, если B^k не замкнуто. Редуцированная когомология всегда факторизует по замкнутому подпространству. Поэтому аналитический слой Тома II использует H̄^k до предъявления closed-range certificate.</w:t>
      </w:r>
    </w:p>
    <w:p>
      <w:bookmarkStart w:id="1592" w:name="s_LEM_15_1"/>
      <w:pPr/>
      <w:r>
        <w:t>Лемма 15.1 (замыкание и adjoint). [CL/THM] Для плотно определённого замкнутого d_k существует замкнутый сопряжённый оператор d_k*, а ортогональные соотношения имеют вид</w:t>
      </w:r>
      <w:bookmarkEnd w:id="1592"/>
    </w:p>
    <w:p>
      <w:bookmarkStart w:id="1805" w:name="f_15_3"/>
      <w:pPr>
        <w:pStyle w:val="Quote"/>
        <w:spacing w:before="60" w:after="100"/>
        <w:jc w:val="center"/>
      </w:pPr>
      <w:r>
        <w:rPr>
          <w:rFonts w:ascii="Liberation Serif" w:hAnsi="Liberation Serif"/>
          <w:i w:val="0"/>
          <w:sz w:val="21"/>
        </w:rPr>
        <w:t>(ran d_k)⊥ = ker d_k*,    closure(ran d_k*) = (ker d_k)⊥.                               (15.3)</w:t>
      </w:r>
      <w:bookmarkEnd w:id="1805"/>
    </w:p>
    <w:p>
      <w:pPr/>
      <w:r>
        <w:t>Эти равенства являются функционально-аналитической основой Hodge-разложения. Они не требуют неассоциативного произведения и потому относятся к классическому слою.</w:t>
      </w:r>
    </w:p>
    <w:p>
      <w:pPr>
        <w:pStyle w:val="Heading2"/>
        <w:keepNext/>
      </w:pPr>
      <w:r>
        <w:t>133.2. Hodge-Laplacian как оператор с доменом</w:t>
      </w:r>
    </w:p>
    <w:p>
      <w:bookmarkStart w:id="1593" w:name="s_DEF_15_3"/>
      <w:pPr/>
      <w:r>
        <w:t>Определение 15.3. [CL/DEF] В степени k вводится оператор</w:t>
      </w:r>
      <w:bookmarkEnd w:id="1593"/>
    </w:p>
    <w:p>
      <w:bookmarkStart w:id="1806" w:name="f_15_4"/>
      <w:pPr>
        <w:pStyle w:val="Quote"/>
        <w:spacing w:before="60" w:after="100"/>
        <w:jc w:val="center"/>
      </w:pPr>
      <w:r>
        <w:rPr>
          <w:rFonts w:ascii="Liberation Serif" w:hAnsi="Liberation Serif"/>
          <w:i w:val="0"/>
          <w:sz w:val="21"/>
        </w:rPr>
        <w:t>Δ_k = d_{k-1} d_{k-1}* + d_k* d_k,                                                    (15.4)</w:t>
      </w:r>
      <w:bookmarkEnd w:id="1806"/>
    </w:p>
    <w:p>
      <w:pPr/>
      <w:r>
        <w:t>с доменом</w:t>
      </w:r>
    </w:p>
    <w:p>
      <w:bookmarkStart w:id="1807" w:name="f_15_5"/>
      <w:pPr>
        <w:pStyle w:val="Quote"/>
        <w:spacing w:before="60" w:after="100"/>
        <w:jc w:val="center"/>
      </w:pPr>
      <w:r>
        <w:rPr>
          <w:rFonts w:ascii="Liberation Serif" w:hAnsi="Liberation Serif"/>
          <w:i w:val="0"/>
          <w:sz w:val="21"/>
        </w:rPr>
        <w:t>D(Δ_k)={u∈D(d_k)∩D(d_{k-1}*): d_ku∈D(d_k*), d_{k-1}*u∈D(d_{k-1})}.                (15.5)</w:t>
      </w:r>
      <w:bookmarkEnd w:id="1807"/>
    </w:p>
    <w:p>
      <w:pPr/>
      <w:r>
        <w:t>Формула (15.4) без (15.5) задаёт лишь формальное выражение. В граничных и сингулярных задачах разные домены порождают разные замкнутые, самосопряжённые или несамосопряжённые реализации одного и того же дифференциального выражения.</w:t>
      </w:r>
    </w:p>
    <w:p>
      <w:bookmarkStart w:id="1594" w:name="s_DEF_15_4"/>
      <w:pPr/>
      <w:r>
        <w:t>Определение 15.4 (гармонический сектор). [CL/DEF]</w:t>
      </w:r>
      <w:bookmarkEnd w:id="1594"/>
    </w:p>
    <w:p>
      <w:bookmarkStart w:id="1808" w:name="f_15_6"/>
      <w:pPr>
        <w:pStyle w:val="Quote"/>
        <w:spacing w:before="60" w:after="100"/>
        <w:jc w:val="center"/>
      </w:pPr>
      <w:r>
        <w:rPr>
          <w:rFonts w:ascii="Liberation Serif" w:hAnsi="Liberation Serif"/>
          <w:i w:val="0"/>
          <w:sz w:val="21"/>
        </w:rPr>
        <w:t>𝓗^k = ker d_k ∩ ker d_{k-1}* = ker Δ_k.                                               (15.6)</w:t>
      </w:r>
      <w:bookmarkEnd w:id="1808"/>
    </w:p>
    <w:p>
      <w:pPr/>
      <w:r>
        <w:t>Равенство с ker Δ_k следует из энергетического тождества</w:t>
      </w:r>
    </w:p>
    <w:p>
      <w:bookmarkStart w:id="1809" w:name="f_15_7"/>
      <w:pPr>
        <w:pStyle w:val="Quote"/>
        <w:spacing w:before="60" w:after="100"/>
        <w:jc w:val="center"/>
      </w:pPr>
      <w:r>
        <w:rPr>
          <w:rFonts w:ascii="Liberation Serif" w:hAnsi="Liberation Serif"/>
          <w:i w:val="0"/>
          <w:sz w:val="21"/>
        </w:rPr>
        <w:t>⟨Δ_ku,u⟩ = ||d_ku||² + ||d_{k-1}*u||².                                                (15.7)</w:t>
      </w:r>
      <w:bookmarkEnd w:id="1809"/>
    </w:p>
    <w:p>
      <w:pPr/>
      <w:r>
        <w:t>Тождество требует, чтобы u принадлежал операторному домену; интегрирование по частям не должно оставлять неконтролируемый граничный член.</w:t>
      </w:r>
    </w:p>
    <w:p>
      <w:bookmarkStart w:id="1061" w:name="h_1782"/>
      <w:pPr>
        <w:pStyle w:val="Heading1"/>
        <w:keepNext/>
      </w:pPr>
      <w:r>
        <w:t>134. Слабое и сильное Hodge-разложение</w:t>
      </w:r>
      <w:bookmarkEnd w:id="1061"/>
    </w:p>
    <w:p>
      <w:bookmarkStart w:id="1595" w:name="s_THM_15_2"/>
      <w:pPr/>
      <w:r>
        <w:t>Теорема 15.2 (слабое Hodge-разложение Hilbert-комплекса). [CL/THM] Для каждого k существует ортогональное разложение</w:t>
      </w:r>
      <w:bookmarkEnd w:id="1595"/>
    </w:p>
    <w:p>
      <w:bookmarkStart w:id="1810" w:name="f_15_8"/>
      <w:pPr>
        <w:pStyle w:val="Quote"/>
        <w:spacing w:before="60" w:after="100"/>
        <w:jc w:val="center"/>
      </w:pPr>
      <w:r>
        <w:rPr>
          <w:rFonts w:ascii="Liberation Serif" w:hAnsi="Liberation Serif"/>
          <w:i w:val="0"/>
          <w:sz w:val="21"/>
        </w:rPr>
        <w:t>H^k = closure(ran d_{k-1}) ⊕ 𝓗^k ⊕ closure(ran d_k*).                                  (15.8)</w:t>
      </w:r>
      <w:bookmarkEnd w:id="1810"/>
    </w:p>
    <w:p>
      <w:pPr/>
      <w:r>
        <w:t>Следовательно, каноническое отображение 𝓗^k→H̄^k является изометрическим изоморфизмом. Для обычной когомологии H^k то же утверждение верно при замкнутости ran d_{k-1}.</w:t>
      </w:r>
    </w:p>
    <w:p>
      <w:pPr>
        <w:spacing w:before="80" w:after="40"/>
        <w:jc w:val="center"/>
      </w:pPr>
      <w:r>
        <w:drawing>
          <wp:inline xmlns:a="http://schemas.openxmlformats.org/drawingml/2006/main" xmlns:pic="http://schemas.openxmlformats.org/drawingml/2006/picture">
            <wp:extent cx="5616000" cy="2932829"/>
            <wp:docPr id="36" name="Picture 36" descr="Рисунок 15.1. Hilbert-комплекс и слабое Hodge-разложение; переход к обычной когомологии требует closed-range certificate. Собственная схема Тома II." title="Рисунок 15.1. Hilbert-комплекс и слабое Hodge-разложение; переход к обычной когомологии требует closed-range certificate"/>
            <wp:cNvGraphicFramePr>
              <a:graphicFrameLocks noChangeAspect="1"/>
            </wp:cNvGraphicFramePr>
            <a:graphic>
              <a:graphicData uri="http://schemas.openxmlformats.org/drawingml/2006/picture">
                <pic:pic>
                  <pic:nvPicPr>
                    <pic:cNvPr id="0" name="hodge_split.png" descr="Рисунок 15.1. Hilbert-комплекс и слабое Hodge-разложение; переход к обычной когомологии требует closed-range certificate. Собственная схема Тома II." title="Рисунок 15.1. Hilbert-комплекс и слабое Hodge-разложение; переход к обычной когомологии требует closed-range certificate"/>
                    <pic:cNvPicPr/>
                  </pic:nvPicPr>
                  <pic:blipFill>
                    <a:blip r:embed="rId65"/>
                    <a:stretch>
                      <a:fillRect/>
                    </a:stretch>
                  </pic:blipFill>
                  <pic:spPr>
                    <a:xfrm>
                      <a:off x="0" y="0"/>
                      <a:ext cx="5616000" cy="2932829"/>
                    </a:xfrm>
                    <a:prstGeom prst="rect"/>
                  </pic:spPr>
                </pic:pic>
              </a:graphicData>
            </a:graphic>
          </wp:inline>
        </w:drawing>
      </w:r>
    </w:p>
    <w:p>
      <w:pPr>
        <w:pStyle w:val="Caption"/>
        <w:keepNext/>
        <w:jc w:val="center"/>
      </w:pPr>
      <w:r>
        <w:t>Рисунок 15.1. Hilbert-комплекс и слабое Hodge-разложение; переход к обычной когомологии требует closed-range certificate. Собственная схема Тома II.</w:t>
      </w:r>
    </w:p>
    <w:p>
      <w:bookmarkStart w:id="1596" w:name="s_THM_15_3"/>
      <w:pPr/>
      <w:r>
        <w:t>Теорема 15.3 (сильное разложение). [CL/THM] Следующие условия эквивалентны в фиксированной степени:</w:t>
      </w:r>
      <w:bookmarkEnd w:id="1596"/>
    </w:p>
    <w:p>
      <w:pPr>
        <w:pStyle w:val="ListBullet"/>
        <w:spacing w:after="40"/>
      </w:pPr>
      <w:r>
        <w:t>ran d_{k-1} и ran d_k* замкнуты;</w:t>
      </w:r>
    </w:p>
    <w:p>
      <w:pPr>
        <w:pStyle w:val="ListBullet"/>
        <w:spacing w:after="40"/>
      </w:pPr>
      <w:r>
        <w:t>H^k = ran d_{k-1} ⊕ 𝓗^k ⊕ ran d_k*;</w:t>
      </w:r>
    </w:p>
    <w:p>
      <w:pPr>
        <w:pStyle w:val="ListBullet"/>
        <w:spacing w:after="40"/>
      </w:pPr>
      <w:r>
        <w:t>существует C_k&gt;0, для которого ||u||≤C_k(||d_ku||+||d_{k-1}*u||) на D(d_k)∩D(d_{k-1}*)∩(𝓗^k)⊥;</w:t>
      </w:r>
    </w:p>
    <w:p>
      <w:pPr>
        <w:pStyle w:val="ListBullet"/>
        <w:spacing w:after="40"/>
      </w:pPr>
      <w:r>
        <w:t>ноль изолирован в спектре Δ_k на (𝓗^k)⊥.</w:t>
      </w:r>
    </w:p>
    <w:p>
      <w:pPr/>
      <w:r>
        <w:t>Последний пункт понимается в самосопряжённой неотрицательной реализации. В общем замкнутом Hilbert-комплексе спектральная формулировка требует отдельного self-adjoint certificate.</w:t>
      </w:r>
    </w:p>
    <w:p>
      <w:bookmarkStart w:id="1811" w:name="f_15_9"/>
      <w:pPr>
        <w:pStyle w:val="Quote"/>
        <w:spacing w:before="60" w:after="100"/>
        <w:jc w:val="center"/>
      </w:pPr>
      <w:r>
        <w:rPr>
          <w:rFonts w:ascii="Liberation Serif" w:hAnsi="Liberation Serif"/>
          <w:i w:val="0"/>
          <w:sz w:val="21"/>
        </w:rPr>
        <w:t>γ_k := inf( spectrum(Δ_k) \ {0} ) &gt; 0.                                               (15.9)</w:t>
      </w:r>
      <w:bookmarkEnd w:id="1811"/>
    </w:p>
    <w:p>
      <w:pPr/>
      <w:r>
        <w:t>Число γ_k называется спектральным зазором. Его обратная величина контролирует норму Green-оператора и чувствительность аналитического восстановления.</w:t>
      </w:r>
    </w:p>
    <w:p>
      <w:pPr>
        <w:pStyle w:val="Heading2"/>
        <w:keepNext/>
      </w:pPr>
      <w:r>
        <w:t>134.1. Green-оператор и минимальный примитив</w:t>
      </w:r>
    </w:p>
    <w:p>
      <w:pPr/>
      <w:r>
        <w:t>При γ_k&gt;0 определяется ограниченный Green-оператор</w:t>
      </w:r>
    </w:p>
    <w:p>
      <w:bookmarkStart w:id="1812" w:name="f_15_10"/>
      <w:pPr>
        <w:pStyle w:val="Quote"/>
        <w:spacing w:before="60" w:after="100"/>
        <w:jc w:val="center"/>
      </w:pPr>
      <w:r>
        <w:rPr>
          <w:rFonts w:ascii="Liberation Serif" w:hAnsi="Liberation Serif"/>
          <w:i w:val="0"/>
          <w:sz w:val="21"/>
        </w:rPr>
        <w:t>G_k = (Δ_k |_{(𝓗^k)⊥})^{-1}(I-P_{𝓗^k}),    ||G_k|| ≤ 1/γ_k.                            (15.10)</w:t>
      </w:r>
      <w:bookmarkEnd w:id="1812"/>
    </w:p>
    <w:p>
      <w:pPr/>
      <w:r>
        <w:t>Для замкнутого q∈Z^k Hodge-разложение принимает форму</w:t>
      </w:r>
    </w:p>
    <w:p>
      <w:bookmarkStart w:id="1813" w:name="f_15_11"/>
      <w:pPr>
        <w:pStyle w:val="Quote"/>
        <w:spacing w:before="60" w:after="100"/>
        <w:jc w:val="center"/>
      </w:pPr>
      <w:r>
        <w:rPr>
          <w:rFonts w:ascii="Liberation Serif" w:hAnsi="Liberation Serif"/>
          <w:i w:val="0"/>
          <w:sz w:val="21"/>
        </w:rPr>
        <w:t>q = d_{k-1}a_min + h,    h=P_{𝓗^k}q,    a_min=d_{k-1}*G_kq.                            (15.11)</w:t>
      </w:r>
      <w:bookmarkEnd w:id="1813"/>
    </w:p>
    <w:p>
      <w:pPr/>
      <w:r>
        <w:t>Отсюда следует оценка</w:t>
      </w:r>
    </w:p>
    <w:p>
      <w:bookmarkStart w:id="1814" w:name="f_15_12"/>
      <w:pPr>
        <w:pStyle w:val="Quote"/>
        <w:spacing w:before="60" w:after="100"/>
        <w:jc w:val="center"/>
      </w:pPr>
      <w:r>
        <w:rPr>
          <w:rFonts w:ascii="Liberation Serif" w:hAnsi="Liberation Serif"/>
          <w:i w:val="0"/>
          <w:sz w:val="21"/>
        </w:rPr>
        <w:t>||a_min|| ≤ γ_k^{-1/2} ||q-P_{𝓗^k}q||.                                               (15.12)</w:t>
      </w:r>
      <w:bookmarkEnd w:id="1814"/>
    </w:p>
    <w:p>
      <w:pPr/>
      <w:r>
        <w:t>Малый зазор делает примитив плохо обусловленным даже при нулевом гармоническом препятствии. Поэтому «класс исчез» и «разрешение устойчиво вычисляется» являются разными статусами.</w:t>
      </w:r>
    </w:p>
    <w:p>
      <w:bookmarkStart w:id="1062" w:name="h_1804"/>
      <w:pPr>
        <w:pStyle w:val="Heading1"/>
        <w:keepNext/>
      </w:pPr>
      <w:r>
        <w:t>135. Эллиптические комплексы и операторы лапласовского типа</w:t>
      </w:r>
      <w:bookmarkEnd w:id="1062"/>
    </w:p>
    <w:p>
      <w:pPr>
        <w:pStyle w:val="Heading2"/>
        <w:keepNext/>
      </w:pPr>
      <w:r>
        <w:t>135.1. Principal symbol и точность</w:t>
      </w:r>
    </w:p>
    <w:p>
      <w:pPr/>
      <w:r>
        <w:t>Пусть E^k→M - конечномерные векторные расслоения над гладкой стратой M, а d_k - дифференциальные операторы первого порядка. Их последовательность называется эллиптическим комплексом, если для каждого x∈M и каждого ξ∈T_x*M\{0} символическая последовательность точна:</w:t>
      </w:r>
    </w:p>
    <w:p>
      <w:bookmarkStart w:id="1815" w:name="f_15_13"/>
      <w:pPr>
        <w:pStyle w:val="Quote"/>
        <w:spacing w:before="60" w:after="100"/>
        <w:jc w:val="center"/>
      </w:pPr>
      <w:r>
        <w:rPr>
          <w:rFonts w:ascii="Liberation Serif" w:hAnsi="Liberation Serif"/>
          <w:i w:val="0"/>
          <w:sz w:val="21"/>
        </w:rPr>
        <w:t>0 → E_x^0 --σ(d_0)(x,ξ)→ E_x^1 → ... → E_x^N → 0.                                  (15.13)</w:t>
      </w:r>
      <w:bookmarkEnd w:id="1815"/>
    </w:p>
    <w:p>
      <w:bookmarkStart w:id="1597" w:name="s_THM_15_4"/>
      <w:pPr/>
      <w:r>
        <w:t>Теорема 15.4 (эллиптичность Hodge-Laplacian). [CL/THM] Для эллиптического комплекса principal symbol оператора Δ_k положительно определён и равен</w:t>
      </w:r>
      <w:bookmarkEnd w:id="1597"/>
    </w:p>
    <w:p>
      <w:bookmarkStart w:id="1816" w:name="f_15_14"/>
      <w:pPr>
        <w:pStyle w:val="Quote"/>
        <w:spacing w:before="60" w:after="100"/>
        <w:jc w:val="center"/>
      </w:pPr>
      <w:r>
        <w:rPr>
          <w:rFonts w:ascii="Liberation Serif" w:hAnsi="Liberation Serif"/>
          <w:i w:val="0"/>
          <w:sz w:val="21"/>
        </w:rPr>
        <w:t>σ_2(Δ_k)(x,ξ)=σ(d_{k-1})σ(d_{k-1})* + σ(d_k)*σ(d_k),    ξ≠0.                         (15.14)</w:t>
      </w:r>
      <w:bookmarkEnd w:id="1816"/>
    </w:p>
    <w:p>
      <w:pPr/>
      <w:r>
        <w:t>На компактном многообразии без края это ведёт к elliptic regularity, конечномерности гармонического пространства и дискретному спектру после выбора стандартной L²-реализации.</w:t>
      </w:r>
    </w:p>
    <w:p>
      <w:bookmarkStart w:id="1598" w:name="s_DEF_15_5"/>
      <w:pPr/>
      <w:r>
        <w:t>Определение 15.5 (оператор лапласовского типа). [CL/DEF] Дифференциальный оператор второго порядка L называется Laplace-type, если</w:t>
      </w:r>
      <w:bookmarkEnd w:id="1598"/>
    </w:p>
    <w:p>
      <w:bookmarkStart w:id="1817" w:name="f_15_15"/>
      <w:pPr>
        <w:pStyle w:val="Quote"/>
        <w:spacing w:before="60" w:after="100"/>
        <w:jc w:val="center"/>
      </w:pPr>
      <w:r>
        <w:rPr>
          <w:rFonts w:ascii="Liberation Serif" w:hAnsi="Liberation Serif"/>
          <w:i w:val="0"/>
          <w:sz w:val="21"/>
        </w:rPr>
        <w:t>σ_2(L)(x,ξ)=|ξ|_g² Id.                                                                  (15.15)</w:t>
      </w:r>
      <w:bookmarkEnd w:id="1817"/>
    </w:p>
    <w:p>
      <w:pPr/>
      <w:r>
        <w:t>Не всякий Hodge-Laplacian NAPG автоматически имеет этот символ. Требуется проверка метрики, главных частей d и δ, а также интерфейсных условий. Неассоциативность внутреннего произведения влияет на lower-order terms либо на сами коэффициенты d только при явно заданном мосте.</w:t>
      </w:r>
    </w:p>
    <w:p>
      <w:bookmarkStart w:id="1599" w:name="s_CTHM_15_5"/>
      <w:pPr/>
      <w:r>
        <w:t>Контртеорема 15.5 (d²=0 не влечёт эллиптичность). [THM] На бесконечномерном Hilbert-пространстве можно положить d=0. Тогда d²=0, но Δ=0 имеет бесконечномерное ядро, не является Fredholm и не создаёт спектрального зазора. Следовательно, nilpotency является когомологическим, а не эллиптическим сертификатом.</w:t>
      </w:r>
      <w:bookmarkEnd w:id="1599"/>
    </w:p>
    <w:p>
      <w:bookmarkStart w:id="1063" w:name="h_1815"/>
      <w:pPr>
        <w:pStyle w:val="Heading1"/>
        <w:keepNext/>
      </w:pPr>
      <w:r>
        <w:t>136. Граничные и интерфейсные условия</w:t>
      </w:r>
      <w:bookmarkEnd w:id="1063"/>
    </w:p>
    <w:p>
      <w:pPr/>
      <w:r>
        <w:t>На компактной гладкой базе с краем формальный оператор становится аналитическим объектом только после задания operator domain. Для de Rham-комплекса обозначим через tω тангенциальный след i*ω, а через nω нормальный след i*(ι_νω), где ν - единичная внешняя нормаль.</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Режим</w:t>
            </w:r>
          </w:p>
        </w:tc>
        <w:tc>
          <w:tcPr>
            <w:tcW w:type="dxa" w:w="2324"/>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Условия для ω</w:t>
            </w:r>
          </w:p>
        </w:tc>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Когомологический тип</w:t>
            </w:r>
          </w:p>
        </w:tc>
        <w:tc>
          <w:tcPr>
            <w:tcW w:type="dxa" w:w="300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Статус в NAPG</w:t>
            </w:r>
          </w:p>
        </w:tc>
      </w:tr>
      <w:tr>
        <w:trPr>
          <w:cantSplit/>
        </w:trP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relative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tω=0,  tδω=0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относительная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trace spaces</w:t>
            </w:r>
          </w:p>
        </w:tc>
      </w:tr>
      <w:tr>
        <w:trPr>
          <w:cantSplit/>
        </w:trP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absolute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nω=0,  ndω=0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абсолютная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Green formula</w:t>
            </w:r>
          </w:p>
        </w:tc>
      </w:tr>
      <w:tr>
        <w:trPr>
          <w:cantSplit/>
        </w:trP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general elliptic B</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Bγ(ω)=0 + complementing condition</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зависит от B</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COND: нужны self-adjoint/Fredholm certificates</w:t>
            </w:r>
          </w:p>
        </w:tc>
      </w:tr>
    </w:tbl>
    <w:p>
      <w:bookmarkStart w:id="1600" w:name="s_THM_15_6"/>
      <w:pPr/>
      <w:r>
        <w:t>Теорема 15.6 (граничный firewall). [CL/COND] Для гладкого компактного M с гладкой границей absolute и relative реализации Hodge-Laplacian являются эллиптическими самосопряжёнными задачами при стандартных соглашениях. Для общего NAPG-оператора этот вывод разрешён только после проверки:</w:t>
      </w:r>
      <w:bookmarkEnd w:id="1600"/>
    </w:p>
    <w:p>
      <w:pPr>
        <w:pStyle w:val="ListBullet"/>
        <w:spacing w:after="40"/>
      </w:pPr>
      <w:r>
        <w:t>Green formula и корректных trace spaces;</w:t>
      </w:r>
    </w:p>
    <w:p>
      <w:pPr>
        <w:pStyle w:val="ListBullet"/>
        <w:spacing w:after="40"/>
      </w:pPr>
      <w:r>
        <w:t>эллиптичности interior symbol;</w:t>
      </w:r>
    </w:p>
    <w:p>
      <w:pPr>
        <w:pStyle w:val="ListBullet"/>
        <w:spacing w:after="40"/>
      </w:pPr>
      <w:r>
        <w:t>условия Лопатинского-Шапиро либо эквивалентного elliptic boundary condition;</w:t>
      </w:r>
    </w:p>
    <w:p>
      <w:pPr>
        <w:pStyle w:val="ListBullet"/>
        <w:spacing w:after="40"/>
      </w:pPr>
      <w:r>
        <w:t>симметрии или self-adjoint extension, если используется спектральная теорема;</w:t>
      </w:r>
    </w:p>
    <w:p>
      <w:pPr>
        <w:pStyle w:val="ListBullet"/>
        <w:spacing w:after="40"/>
      </w:pPr>
      <w:r>
        <w:t>совместимости граничного домена с d²=0 и с градуировкой.</w:t>
      </w:r>
    </w:p>
    <w:p>
      <w:pPr>
        <w:spacing w:before="80" w:after="40"/>
        <w:jc w:val="center"/>
      </w:pPr>
      <w:r>
        <w:drawing>
          <wp:inline xmlns:a="http://schemas.openxmlformats.org/drawingml/2006/main" xmlns:pic="http://schemas.openxmlformats.org/drawingml/2006/picture">
            <wp:extent cx="5652000" cy="2996570"/>
            <wp:docPr id="37" name="Picture 37" descr="Рисунок 15.2. Граничный аналитический firewall: principal symbol, operator domain и elliptic boundary condition проверяются раздельно. Собственная схема Тома II." title="Рисунок 15.2. Граничный аналитический firewall: principal symbol, operator domain и elliptic boundary condition проверяю"/>
            <wp:cNvGraphicFramePr>
              <a:graphicFrameLocks noChangeAspect="1"/>
            </wp:cNvGraphicFramePr>
            <a:graphic>
              <a:graphicData uri="http://schemas.openxmlformats.org/drawingml/2006/picture">
                <pic:pic>
                  <pic:nvPicPr>
                    <pic:cNvPr id="0" name="boundary_firewall.png" descr="Рисунок 15.2. Граничный аналитический firewall: principal symbol, operator domain и elliptic boundary condition проверяются раздельно. Собственная схема Тома II." title="Рисунок 15.2. Граничный аналитический firewall: principal symbol, operator domain и elliptic boundary condition проверяю"/>
                    <pic:cNvPicPr/>
                  </pic:nvPicPr>
                  <pic:blipFill>
                    <a:blip r:embed="rId66"/>
                    <a:stretch>
                      <a:fillRect/>
                    </a:stretch>
                  </pic:blipFill>
                  <pic:spPr>
                    <a:xfrm>
                      <a:off x="0" y="0"/>
                      <a:ext cx="5652000" cy="2996570"/>
                    </a:xfrm>
                    <a:prstGeom prst="rect"/>
                  </pic:spPr>
                </pic:pic>
              </a:graphicData>
            </a:graphic>
          </wp:inline>
        </w:drawing>
      </w:r>
    </w:p>
    <w:p>
      <w:pPr>
        <w:pStyle w:val="Caption"/>
        <w:keepNext/>
        <w:jc w:val="center"/>
      </w:pPr>
      <w:r>
        <w:t>Рисунок 15.2. Граничный аналитический firewall: principal symbol, operator domain и elliptic boundary condition проверяются раздельно. Собственная схема Тома II.</w:t>
      </w:r>
    </w:p>
    <w:p>
      <w:bookmarkStart w:id="1601" w:name="s_CTHM_15_7"/>
      <w:pPr/>
      <w:r>
        <w:t>Контртеорема 15.7 (формальная симметрия не равна самосопряжённости). [THM] Дифференциальное выражение -d²/dx² на интервале формально симметрично, но без граничного домена не определяет единственный самосопряжённый оператор. Dirichlet, Neumann, Robin и смешанные реализации имеют разные спектры. Следовательно, спектральная сигнатура без BC-ID не является воспроизводимой.</w:t>
      </w:r>
      <w:bookmarkEnd w:id="1601"/>
    </w:p>
    <w:p>
      <w:bookmarkStart w:id="1064" w:name="h_1826"/>
      <w:pPr>
        <w:pStyle w:val="Heading1"/>
        <w:keepNext/>
      </w:pPr>
      <w:r>
        <w:t>137. Стратифицированная Hodge-реализация NAPG</w:t>
      </w:r>
      <w:bookmarkEnd w:id="1064"/>
    </w:p>
    <w:p>
      <w:pPr/>
      <w:r>
        <w:t>Пусть X=⊔_α S_α - конечная стратифицированная база. На каждой страте задан Hilbert-комплекс H_α^• и Hodge-оператор. Предварительное пространство имеет вид</w:t>
      </w:r>
    </w:p>
    <w:p>
      <w:bookmarkStart w:id="1818" w:name="f_15_16"/>
      <w:pPr>
        <w:pStyle w:val="Quote"/>
        <w:spacing w:before="60" w:after="100"/>
        <w:jc w:val="center"/>
      </w:pPr>
      <w:r>
        <w:rPr>
          <w:rFonts w:ascii="Liberation Serif" w:hAnsi="Liberation Serif"/>
          <w:i w:val="0"/>
          <w:sz w:val="21"/>
        </w:rPr>
        <w:t>H_str^k = direct_sum_α L²Ω^k(S_α,E_α).                                                 (15.16)</w:t>
      </w:r>
      <w:bookmarkEnd w:id="1818"/>
    </w:p>
    <w:p>
      <w:bookmarkStart w:id="1602" w:name="s_DEF_15_6"/>
      <w:pPr/>
      <w:r>
        <w:t>Определение 15.6 (interface domain). [DEF-A/COND] Глобальный домен D_int(d) состоит из наборов u=(u_α), удовлетворяющих стратовым Sobolev-условиям и системе transmission equations</w:t>
      </w:r>
      <w:bookmarkEnd w:id="1602"/>
    </w:p>
    <w:p>
      <w:bookmarkStart w:id="1819" w:name="f_15_17"/>
      <w:pPr>
        <w:pStyle w:val="Quote"/>
        <w:spacing w:before="60" w:after="100"/>
        <w:jc w:val="center"/>
      </w:pPr>
      <w:r>
        <w:rPr>
          <w:rFonts w:ascii="Liberation Serif" w:hAnsi="Liberation Serif"/>
          <w:i w:val="0"/>
          <w:sz w:val="21"/>
        </w:rPr>
        <w:t>T_{αβ}^+ u_α = T_{αβ}^- u_β    на каждой допустимой incidence interface.             (15.17)</w:t>
      </w:r>
      <w:bookmarkEnd w:id="1819"/>
    </w:p>
    <w:p>
      <w:pPr/>
      <w:r>
        <w:t>Карты T_{αβ} являются частью данных и включают следы, ориентацию, вес меры, Hodge-совместимость и D/Dom. Без них прямая сумма страт создаёт ложные независимые гармонические моды.</w:t>
      </w:r>
    </w:p>
    <w:p>
      <w:pPr/>
      <w:r>
        <w:t>Условный пакет STR-HDG состоит из:</w:t>
      </w:r>
    </w:p>
    <w:p>
      <w:pPr>
        <w:pStyle w:val="ListBullet"/>
        <w:spacing w:after="40"/>
      </w:pPr>
      <w:r>
        <w:t>стратовой эллиптичности и uniform control главных символов;</w:t>
      </w:r>
    </w:p>
    <w:p>
      <w:pPr>
        <w:pStyle w:val="ListBullet"/>
        <w:spacing w:after="40"/>
      </w:pPr>
      <w:r>
        <w:t>ideal boundary conditions около сингулярных ссылок или конусов;</w:t>
      </w:r>
    </w:p>
    <w:p>
      <w:pPr>
        <w:pStyle w:val="ListBullet"/>
        <w:spacing w:after="40"/>
      </w:pPr>
      <w:r>
        <w:t>замкнутости total differential и его adjoint;</w:t>
      </w:r>
    </w:p>
    <w:p>
      <w:pPr>
        <w:pStyle w:val="ListBullet"/>
        <w:spacing w:after="40"/>
      </w:pPr>
      <w:r>
        <w:t>compact embedding либо иного механизма Fredholmness;</w:t>
      </w:r>
    </w:p>
    <w:p>
      <w:pPr>
        <w:pStyle w:val="ListBullet"/>
        <w:spacing w:after="40"/>
      </w:pPr>
      <w:r>
        <w:t>согласованности transmission maps с descent data главы 7;</w:t>
      </w:r>
    </w:p>
    <w:p>
      <w:pPr>
        <w:pStyle w:val="ListBullet"/>
        <w:spacing w:after="40"/>
      </w:pPr>
      <w:r>
        <w:t>явной проверки, какую intersection/L²-cohomology реализует выбранный домен.</w:t>
      </w:r>
    </w:p>
    <w:p>
      <w:pPr/>
      <w:r>
        <w:t>Результаты Cheeger-type Hodge theory показывают, что на стратифицированных псевдомногообразиях выбор ideal boundary conditions является содержательной частью теории. Том II не переносит их автоматически на любую NAPG-стратификацию; это остаётся proof obligation T2-PO-164-T2-PO-166.</w:t>
      </w:r>
    </w:p>
    <w:p>
      <w:bookmarkStart w:id="1065" w:name="h_1840"/>
      <w:pPr>
        <w:pStyle w:val="Heading1"/>
        <w:keepNext/>
      </w:pPr>
      <w:r>
        <w:t>138. Fredholm-секторы и индекс</w:t>
      </w:r>
      <w:bookmarkEnd w:id="1065"/>
    </w:p>
    <w:p>
      <w:bookmarkStart w:id="1603" w:name="s_DEF_15_7"/>
      <w:pPr/>
      <w:r>
        <w:t>Определение 15.7. [CL/DEF] Замкнутый оператор T:D(T)⊂H_0→H_1 называется Fredholm, если ran T замкнут, dim ker T&lt;∞ и dim coker T&lt;∞. Его индекс равен</w:t>
      </w:r>
      <w:bookmarkEnd w:id="1603"/>
    </w:p>
    <w:p>
      <w:bookmarkStart w:id="1820" w:name="f_15_18"/>
      <w:pPr>
        <w:pStyle w:val="Quote"/>
        <w:spacing w:before="60" w:after="100"/>
        <w:jc w:val="center"/>
      </w:pPr>
      <w:r>
        <w:rPr>
          <w:rFonts w:ascii="Liberation Serif" w:hAnsi="Liberation Serif"/>
          <w:i w:val="0"/>
          <w:sz w:val="21"/>
        </w:rPr>
        <w:t>ind T = dim ker T - dim coker T.                                                        (15.18)</w:t>
      </w:r>
      <w:bookmarkEnd w:id="1820"/>
    </w:p>
    <w:p>
      <w:pPr/>
      <w:r>
        <w:t>Для Z₂-градуированного Hodge-Dirac оператора D_H=d+δ вводится</w:t>
      </w:r>
    </w:p>
    <w:p>
      <w:bookmarkStart w:id="1821" w:name="f_15_19"/>
      <w:pPr>
        <w:pStyle w:val="Quote"/>
        <w:spacing w:before="60" w:after="100"/>
        <w:jc w:val="center"/>
      </w:pPr>
      <w:r>
        <w:rPr>
          <w:rFonts w:ascii="Liberation Serif" w:hAnsi="Liberation Serif"/>
          <w:i w:val="0"/>
          <w:sz w:val="21"/>
        </w:rPr>
        <w:t>D_H^+ : H^{even} → H^{odd},    ind D_H^+ = sum_k (-1)^k dim H^k.                       (15.19)</w:t>
      </w:r>
      <w:bookmarkEnd w:id="1821"/>
    </w:p>
    <w:p>
      <w:pPr/>
      <w:r>
        <w:t>Равенство с эйлеровой характеристикой требует Fredholm-комплекса. В некомпактной или сингулярной задаче оно не выводится из формальной записи d+δ.</w:t>
      </w:r>
    </w:p>
    <w:p>
      <w:bookmarkStart w:id="1604" w:name="s_THM_15_8"/>
      <w:pPr/>
      <w:r>
        <w:t>Теорема 15.8 (стабильность индекса). [CL/THM] Индекс локально постоянен в непрерывном семействе Fredholm-операторов. Поэтому изменение ind D_H^+ возможно только при выходе из Fredholm-сектора: потере closed range, уходе ядра или коядра в бесконечность либо разрушении домена.</w:t>
      </w:r>
      <w:bookmarkEnd w:id="1604"/>
    </w:p>
    <w:p>
      <w:bookmarkStart w:id="1605" w:name="s_DEF_15_8"/>
      <w:pPr/>
      <w:r>
        <w:t>Определение 15.8 (compact-resolvent sector). [CL/DEF] Самосопряжённая реализация Δ имеет компактный резольвент, если (Δ+I)^{-1} компактен. Тогда спектр дискретен, собственные значения имеют конечную кратность и стремятся к +∞. Наличие компактного резольвента является сильнее Fredholmness в фиксированной степени.</w:t>
      </w:r>
      <w:bookmarkEnd w:id="1605"/>
    </w:p>
    <w:p>
      <w:bookmarkStart w:id="1066" w:name="h_1848"/>
      <w:pPr>
        <w:pStyle w:val="Heading1"/>
        <w:keepNext/>
      </w:pPr>
      <w:r>
        <w:t>139. Гармоническая аналитика препятствий</w:t>
      </w:r>
      <w:bookmarkEnd w:id="1066"/>
    </w:p>
    <w:p>
      <w:pPr>
        <w:pStyle w:val="Heading2"/>
        <w:keepNext/>
      </w:pPr>
      <w:r>
        <w:t>139.1. Harmonic obstruction norm</w:t>
      </w:r>
    </w:p>
    <w:p>
      <w:pPr/>
      <w:r>
        <w:t>Пусть q∈Z^3(E) представляет внешний класс Π_E(o) главы 13, а выбранная реализация E^• удовлетворяет closed-range Hodge package. Определим</w:t>
      </w:r>
    </w:p>
    <w:p>
      <w:bookmarkStart w:id="1822" w:name="f_15_20"/>
      <w:pPr>
        <w:pStyle w:val="Quote"/>
        <w:spacing w:before="60" w:after="100"/>
        <w:jc w:val="center"/>
      </w:pPr>
      <w:r>
        <w:rPr>
          <w:rFonts w:ascii="Liberation Serif" w:hAnsi="Liberation Serif"/>
          <w:i w:val="0"/>
          <w:sz w:val="21"/>
        </w:rPr>
        <w:t>h_E(o)=P_{𝓗_E^3}q,    η_H(o)=||h_E(o)||.                                               (15.20)</w:t>
      </w:r>
      <w:bookmarkEnd w:id="1822"/>
    </w:p>
    <w:p>
      <w:bookmarkStart w:id="1606" w:name="s_THM_15_9"/>
      <w:pPr/>
      <w:r>
        <w:t>Теорема 15.9 (точная аналитическая детекция). [THM/COND] При closed range величина η_H не зависит от представителя q и удовлетворяет</w:t>
      </w:r>
      <w:bookmarkEnd w:id="1606"/>
    </w:p>
    <w:p>
      <w:bookmarkStart w:id="1823" w:name="f_15_21"/>
      <w:pPr>
        <w:pStyle w:val="Quote"/>
        <w:spacing w:before="60" w:after="100"/>
        <w:jc w:val="center"/>
      </w:pPr>
      <w:r>
        <w:rPr>
          <w:rFonts w:ascii="Liberation Serif" w:hAnsi="Liberation Serif"/>
          <w:i w:val="0"/>
          <w:sz w:val="21"/>
        </w:rPr>
        <w:t>η_H(o) = dist(q, ran d_E²),    η_H(o)=0 ⇔ Π_E(o)=0.                                   (15.21)</w:t>
      </w:r>
      <w:bookmarkEnd w:id="1823"/>
    </w:p>
    <w:p>
      <w:pPr/>
      <w:r>
        <w:t>Если Π_E faithful, ноль η_H эквивалентен нулю внутреннего класса o. Без инъективности внешний harmonic zero не исключает Blind_E.</w:t>
      </w:r>
    </w:p>
    <w:p>
      <w:bookmarkStart w:id="1607" w:name="s_DEF_15_9"/>
      <w:pPr/>
      <w:r>
        <w:t>Определение 15.9 (analytic conditioning ledger). [DEF-A]</w:t>
      </w:r>
      <w:bookmarkEnd w:id="1607"/>
    </w:p>
    <w:p>
      <w:bookmarkStart w:id="1824" w:name="f_15_22"/>
      <w:pPr>
        <w:pStyle w:val="Quote"/>
        <w:spacing w:before="60" w:after="100"/>
        <w:jc w:val="center"/>
      </w:pPr>
      <w:r>
        <w:rPr>
          <w:rFonts w:ascii="Liberation Serif" w:hAnsi="Liberation Serif"/>
          <w:i w:val="0"/>
          <w:sz w:val="21"/>
        </w:rPr>
        <w:t>Cond_H = (γ_3^{-1}, ||G_3||, ||P_H||, trace_constant, interface_constant).             (15.22)</w:t>
      </w:r>
      <w:bookmarkEnd w:id="1824"/>
    </w:p>
    <w:p>
      <w:pPr/>
      <w:r>
        <w:t>В самосопряжённой ортогональной модели ||P_H||=1, однако остальные величины могут расходиться при приближении к переходному горизонту. Пороговый прогноз без Cond_H запрещён.</w:t>
      </w:r>
    </w:p>
    <w:p>
      <w:bookmarkStart w:id="1608" w:name="s_THM_15_10"/>
      <w:pPr/>
      <w:r>
        <w:t>Теорема 15.10 (устойчивое ненулевое препятствие). [THM/COMP] Пусть на компактном параметрическом интервале I реализации Δ_{3,t} norm-resolvent continuous, harmonic rank постоянен, γ_3(t)≥g_0&gt;0, а q_t непрерывен. Тогда spectral projector</w:t>
      </w:r>
      <w:bookmarkEnd w:id="1608"/>
    </w:p>
    <w:p>
      <w:bookmarkStart w:id="1825" w:name="f_15_23"/>
      <w:pPr>
        <w:pStyle w:val="Quote"/>
        <w:spacing w:before="60" w:after="100"/>
        <w:jc w:val="center"/>
      </w:pPr>
      <w:r>
        <w:rPr>
          <w:rFonts w:ascii="Liberation Serif" w:hAnsi="Liberation Serif"/>
          <w:i w:val="0"/>
          <w:sz w:val="21"/>
        </w:rPr>
        <w:t>P_t = (2πi)^{-1} contour_integral_Γ (z-Δ_{3,t})^{-1} dz                            (15.23)</w:t>
      </w:r>
      <w:bookmarkEnd w:id="1825"/>
    </w:p>
    <w:p>
      <w:pPr/>
      <w:r>
        <w:t>зависит непрерывно от t. Если η_H(t)≥ε_H&gt;0 на I, класс Π_{E,t}(o_t) не может исчезнуть на I. Это даёт отрицательный прогноз для переходов, требующих снятия данного внешнего препятствия.</w:t>
      </w:r>
    </w:p>
    <w:p>
      <w:bookmarkStart w:id="1609" w:name="s_COR_15_10"/>
      <w:pPr/>
      <w:r>
        <w:t>Следствие 15.10.1. Если η_H(t_0)=0 и uniform gap сохраняется, то в окрестности t_0 harmonic class остаётся малым, но точный ноль в соседних точках не следует без дополнительной структурной симметрии. Численная близость к нулю не является доказательством exactness.</w:t>
      </w:r>
      <w:bookmarkEnd w:id="1609"/>
    </w:p>
    <w:p>
      <w:bookmarkStart w:id="1067" w:name="h_1862"/>
      <w:pPr>
        <w:pStyle w:val="Heading1"/>
        <w:keepNext/>
      </w:pPr>
      <w:r>
        <w:t>140. Hodge-Fredholm переходный горизонт</w:t>
      </w:r>
      <w:bookmarkEnd w:id="1067"/>
    </w:p>
    <w:p>
      <w:bookmarkStart w:id="1826" w:name="f_15_24"/>
      <w:pPr>
        <w:pStyle w:val="Quote"/>
        <w:spacing w:before="60" w:after="100"/>
        <w:jc w:val="center"/>
      </w:pPr>
      <w:r>
        <w:rPr>
          <w:rFonts w:ascii="Liberation Serif" w:hAnsi="Liberation Serif"/>
          <w:i w:val="0"/>
          <w:sz w:val="21"/>
        </w:rPr>
        <w:t>Δ_HF = Δ_{d²} ∪ Δ_{dom} ∪ Δ_{ell} ∪ Δ_{BC} ∪ Δ_{range} ∪ Δ_{gap} ∪ Δ_{harm} ∪ Δ_{int} ∪ Δ_D ∪ Δ_Dom ∪ Δ_{glue}.    (15.24)</w:t>
      </w:r>
      <w:bookmarkEnd w:id="1826"/>
    </w:p>
    <w:p>
      <w:pPr/>
      <w:r>
        <w:t>Компоненты означают соответственно: нарушение комплекса; смену operator domain; потерю ellipticity; дефект boundary condition; незамкнутость образа; закрытие spectral gap; изменение harmonic rank; разрушение transmission data; повреждение Evidence-D, Dom или descent.</w:t>
      </w:r>
    </w:p>
    <w:p>
      <w:pPr>
        <w:spacing w:before="80" w:after="40"/>
        <w:jc w:val="center"/>
      </w:pPr>
      <w:r>
        <w:drawing>
          <wp:inline xmlns:a="http://schemas.openxmlformats.org/drawingml/2006/main" xmlns:pic="http://schemas.openxmlformats.org/drawingml/2006/picture">
            <wp:extent cx="5652000" cy="3373629"/>
            <wp:docPr id="38" name="Picture 38" descr="Рисунок 15.3. Hodge-Fredholm переходный горизонт и трёхзначный аналитический вывод. Собственная схема Тома II." title="Рисунок 15.3. Hodge-Fredholm переходный горизонт и трёхзначный аналитический вывод. Собственная схема Тома II."/>
            <wp:cNvGraphicFramePr>
              <a:graphicFrameLocks noChangeAspect="1"/>
            </wp:cNvGraphicFramePr>
            <a:graphic>
              <a:graphicData uri="http://schemas.openxmlformats.org/drawingml/2006/picture">
                <pic:pic>
                  <pic:nvPicPr>
                    <pic:cNvPr id="0" name="hf_horizon.png" descr="Рисунок 15.3. Hodge-Fredholm переходный горизонт и трёхзначный аналитический вывод. Собственная схема Тома II." title="Рисунок 15.3. Hodge-Fredholm переходный горизонт и трёхзначный аналитический вывод. Собственная схема Тома II."/>
                    <pic:cNvPicPr/>
                  </pic:nvPicPr>
                  <pic:blipFill>
                    <a:blip r:embed="rId67"/>
                    <a:stretch>
                      <a:fillRect/>
                    </a:stretch>
                  </pic:blipFill>
                  <pic:spPr>
                    <a:xfrm>
                      <a:off x="0" y="0"/>
                      <a:ext cx="5652000" cy="3373629"/>
                    </a:xfrm>
                    <a:prstGeom prst="rect"/>
                  </pic:spPr>
                </pic:pic>
              </a:graphicData>
            </a:graphic>
          </wp:inline>
        </w:drawing>
      </w:r>
    </w:p>
    <w:p>
      <w:pPr>
        <w:pStyle w:val="Caption"/>
        <w:keepNext/>
        <w:jc w:val="center"/>
      </w:pPr>
      <w:r>
        <w:t>Рисунок 15.3. Hodge-Fredholm переходный горизонт и трёхзначный аналитический вывод. Собственная схема Тома II.</w:t>
      </w:r>
    </w:p>
    <w:p>
      <w:bookmarkStart w:id="1610" w:name="s_THM_15_11"/>
      <w:pPr/>
      <w:r>
        <w:t>Теорема 15.11 (необходимость пересечения аналитического горизонта). [THM/COND] В norm-resolvent continuous семействе Fredholm Hodge-реализаций с uniform gap, постоянным доменом и закрытыми D/Dom-условиями профиль</w:t>
      </w:r>
      <w:bookmarkEnd w:id="1610"/>
    </w:p>
    <w:p>
      <w:bookmarkStart w:id="1827" w:name="f_15_25"/>
      <w:pPr>
        <w:pStyle w:val="Quote"/>
        <w:spacing w:before="60" w:after="100"/>
        <w:jc w:val="center"/>
      </w:pPr>
      <w:r>
        <w:rPr>
          <w:rFonts w:ascii="Liberation Serif" w:hAnsi="Liberation Serif"/>
          <w:i w:val="0"/>
          <w:sz w:val="21"/>
        </w:rPr>
        <w:t>P_HF(t)=(ind D_H,t^+, dim 𝓗_t^k, γ_k(t), η_H(t), ||G_k(t)||, BC_t, Interface_t, λ_t)   (15.25)</w:t>
      </w:r>
      <w:bookmarkEnd w:id="1827"/>
    </w:p>
    <w:p>
      <w:pPr/>
      <w:r>
        <w:t>локально устойчив по дискретным компонентам и непрерывен по численным компонентам. Изменение индекса, harmonic rank или сертифицированного boundary/interface type требует пересечения Δ_HF.</w:t>
      </w:r>
    </w:p>
    <w:p>
      <w:pPr/>
      <w:r>
        <w:t>Отрицательный прогноз главы имеет форму</w:t>
      </w:r>
    </w:p>
    <w:p>
      <w:bookmarkStart w:id="1828" w:name="f_15_26"/>
      <w:pPr>
        <w:pStyle w:val="Quote"/>
        <w:spacing w:before="60" w:after="100"/>
        <w:jc w:val="center"/>
      </w:pPr>
      <w:r>
        <w:rPr>
          <w:rFonts w:ascii="Liberation Serif" w:hAnsi="Liberation Serif"/>
          <w:i w:val="0"/>
          <w:sz w:val="21"/>
        </w:rPr>
        <w:t>I ∩ Δ_HF = empty and η_H(t)≥ε_H  ⇒  removal of this obstruction is impossible in model. (15.26)</w:t>
      </w:r>
      <w:bookmarkEnd w:id="1828"/>
    </w:p>
    <w:p>
      <w:pPr/>
      <w:r>
        <w:t>Пересечение Δ_HF означает CANDIDATE-TRANSITION. Оно не доказывает существование nonlinear lift, глобального сечения, причинного механизма, вероятности либо физического события.</w:t>
      </w:r>
    </w:p>
    <w:p>
      <w:bookmarkStart w:id="1068" w:name="h_1873"/>
      <w:pPr>
        <w:pStyle w:val="Heading1"/>
        <w:keepNext/>
      </w:pPr>
      <w:r>
        <w:t>141. Hodge-слой и проективно-гармонический Reper</w:t>
      </w:r>
      <w:bookmarkEnd w:id="1068"/>
    </w:p>
    <w:p>
      <w:pPr/>
      <w:r>
        <w:t>Гармонический представитель h_E(o) живёт в конечномерном либо Fredholm-контролируемом пространстве 𝓗_E^3. Reper-кросс-соотношение живёт на четвёрке точек P¹. Между ними нет канонического отображения. Для связи требуется отдельный функциональный пакет</w:t>
      </w:r>
    </w:p>
    <w:p>
      <w:bookmarkStart w:id="1829" w:name="f_15_27"/>
      <w:pPr>
        <w:pStyle w:val="Quote"/>
        <w:spacing w:before="60" w:after="100"/>
        <w:jc w:val="center"/>
      </w:pPr>
      <w:r>
        <w:rPr>
          <w:rFonts w:ascii="Liberation Serif" w:hAnsi="Liberation Serif"/>
          <w:i w:val="0"/>
          <w:sz w:val="21"/>
        </w:rPr>
        <w:t>χ_H = (R_H,I_H,U_H,D_H): P(𝓗_E^3) ⇢ (P¹)^4,    λ_H=cr(U_H,I_H;R_H,D_H).             (15.27)</w:t>
      </w:r>
      <w:bookmarkEnd w:id="1829"/>
    </w:p>
    <w:p>
      <w:pPr/>
      <w:r>
        <w:t>Карта определена только на ненулевых классах вне полюсов и после проверки однородности функционалов. Нулевой harmonic obstruction не projectivizes; это согласуется с zero-loss no-go главы 14.</w:t>
      </w:r>
    </w:p>
    <w:p>
      <w:bookmarkStart w:id="1611" w:name="s_DEF_15_10"/>
      <w:pPr/>
      <w:r>
        <w:t>Определение 15.10 (Hodge-Reper certificate). [DEF-A]</w:t>
      </w:r>
      <w:bookmarkEnd w:id="1611"/>
    </w:p>
    <w:p>
      <w:bookmarkStart w:id="1830" w:name="f_15_28"/>
      <w:pPr>
        <w:pStyle w:val="Quote"/>
        <w:spacing w:before="60" w:after="100"/>
        <w:jc w:val="center"/>
      </w:pPr>
      <w:r>
        <w:rPr>
          <w:rFonts w:ascii="Liberation Serif" w:hAnsi="Liberation Serif"/>
          <w:i w:val="0"/>
          <w:sz w:val="21"/>
        </w:rPr>
        <w:t>Cert_HF=(COMPLEX, DOMAIN, SYMBOL, BC, INTERFACE, FREDHOLM, GAP, HARM, BRIDGE, D, DOM, λ, HASH).   (15.28)</w:t>
      </w:r>
      <w:bookmarkEnd w:id="1830"/>
    </w:p>
    <w:p>
      <w:pPr/>
      <w:r>
        <w:t>Положительный структурный кандидат допускается только при наличии всех полей сертификата. Пропуск одного поля переводит вывод в ABSTAIN, а не в «почти доказано».</w:t>
      </w:r>
    </w:p>
    <w:p>
      <w:bookmarkStart w:id="1069" w:name="h_1880"/>
      <w:pPr>
        <w:pStyle w:val="Heading1"/>
        <w:keepNext/>
      </w:pPr>
      <w:r>
        <w:t>142. Главная условная теорема T2-RP-v0.12</w:t>
      </w:r>
      <w:bookmarkEnd w:id="1069"/>
    </w:p>
    <w:p>
      <w:bookmarkStart w:id="1612" w:name="s_THM_15_12"/>
      <w:pPr/>
      <w:r>
        <w:t>Теорема 15.12 (Hodge-Fredholm-safe predictive theorem). [COND] Пусть семейство NAPG-кадров N_t снабжено внешними комплексами E_t и реализациями Hodge-Laplacian, для которых:</w:t>
      </w:r>
      <w:bookmarkEnd w:id="1612"/>
    </w:p>
    <w:p>
      <w:pPr>
        <w:pStyle w:val="ListNumber"/>
        <w:spacing w:after="40"/>
      </w:pPr>
      <w:r>
        <w:t>E_t является Hilbert-комплексом и d_t²=0 на общем типизированном домене;</w:t>
      </w:r>
    </w:p>
    <w:p>
      <w:pPr>
        <w:pStyle w:val="ListNumber"/>
        <w:spacing w:after="40"/>
      </w:pPr>
      <w:r>
        <w:t>на каждой гладкой страте symbol-sequence эллиптична;</w:t>
      </w:r>
    </w:p>
    <w:p>
      <w:pPr>
        <w:pStyle w:val="ListNumber"/>
        <w:spacing w:after="40"/>
      </w:pPr>
      <w:r>
        <w:t>граничные и transmission conditions образуют замкнутую Fredholm-реализацию;</w:t>
      </w:r>
    </w:p>
    <w:p>
      <w:pPr>
        <w:pStyle w:val="ListNumber"/>
        <w:spacing w:after="40"/>
      </w:pPr>
      <w:r>
        <w:t>семейство непрерывно в norm-resolvent либо эквивалентно контролируемом смысле;</w:t>
      </w:r>
    </w:p>
    <w:p>
      <w:pPr>
        <w:pStyle w:val="ListNumber"/>
        <w:spacing w:after="40"/>
      </w:pPr>
      <w:r>
        <w:t>положительный спектр отделён от нуля uniform gap g_0&gt;0;</w:t>
      </w:r>
    </w:p>
    <w:p>
      <w:pPr>
        <w:pStyle w:val="ListNumber"/>
        <w:spacing w:after="40"/>
      </w:pPr>
      <w:r>
        <w:t>ранги harmonic spaces постоянны на исследуемом интервале;</w:t>
      </w:r>
    </w:p>
    <w:p>
      <w:pPr>
        <w:pStyle w:val="ListNumber"/>
        <w:spacing w:after="40"/>
      </w:pPr>
      <w:r>
        <w:t>внешний мост Π_E корректен; обратная ветвь используется только при B6;</w:t>
      </w:r>
    </w:p>
    <w:p>
      <w:pPr>
        <w:pStyle w:val="ListNumber"/>
        <w:spacing w:after="40"/>
      </w:pPr>
      <w:r>
        <w:t>гармонический obstruction section q_t и Evidence-D непрерывны;</w:t>
      </w:r>
    </w:p>
    <w:p>
      <w:pPr>
        <w:pStyle w:val="ListNumber"/>
        <w:spacing w:after="40"/>
      </w:pPr>
      <w:r>
        <w:t>D/Dom, projective charts и globalization data неизменны;</w:t>
      </w:r>
    </w:p>
    <w:p>
      <w:pPr>
        <w:pStyle w:val="ListNumber"/>
        <w:spacing w:after="40"/>
      </w:pPr>
      <w:r>
        <w:t>Hodge-Reper bridge χ_H типизирован и не пересекает полюсный локус;</w:t>
      </w:r>
    </w:p>
    <w:p>
      <w:pPr>
        <w:pStyle w:val="ListNumber"/>
        <w:spacing w:after="40"/>
      </w:pPr>
      <w:r>
        <w:t>предыдущие tangent, holonomy, differential, external и projective blockers закрыты;</w:t>
      </w:r>
    </w:p>
    <w:p>
      <w:pPr>
        <w:pStyle w:val="ListNumber"/>
        <w:spacing w:after="40"/>
      </w:pPr>
      <w:r>
        <w:t>сертификат HOD-AN воспроизводим по зафиксированным данным и хешам.</w:t>
      </w:r>
    </w:p>
    <w:p>
      <w:pPr/>
      <w:r>
        <w:t>Тогда вне Δ_HF индекс, harmonic rank и сертифицированный аналитический тип постоянны. Если η_H(t)≥ε_H&gt;0, исчезновение данного внешнего препятствия невозможно. Если η_H(t)=0, это означает лишь снятие данного линейно-когомологического препятствия; существование полной NAPG-деформации, глобального решения и доменного события остаётся отдельной задачей.</w:t>
      </w:r>
    </w:p>
    <w:p>
      <w:pPr/>
      <w:r>
        <w:t>Доказательство. Постоянство Fredholm index следует из открытости Fredholm-сектора; постоянство harmonic rank и непрерывность spectral projector - из uniform isolation нулевого спектрального кластера; (15.21) переводит ненулевую гармоническую норму в ненулевой внешний класс. Остальные утверждения следуют из firewall-условий B1-B8 и предыдущих глав. Теорема не создаёт физическую динамику и потому сохраняет статус COND.</w:t>
      </w:r>
    </w:p>
    <w:p>
      <w:bookmarkStart w:id="1070" w:name="h_1896"/>
      <w:pPr>
        <w:pStyle w:val="Heading1"/>
        <w:keepNext/>
      </w:pPr>
      <w:r>
        <w:t>143. Blocker-safe аналитический вывод</w:t>
      </w:r>
      <w:bookmarkEnd w:id="1070"/>
    </w:p>
    <w:p>
      <w:bookmarkStart w:id="1831" w:name="f_15_29"/>
      <w:pPr>
        <w:pStyle w:val="Quote"/>
        <w:spacing w:before="60" w:after="100"/>
        <w:jc w:val="center"/>
      </w:pPr>
      <w:r>
        <w:rPr>
          <w:rFonts w:ascii="Liberation Serif" w:hAnsi="Liberation Serif"/>
          <w:i w:val="0"/>
          <w:sz w:val="21"/>
        </w:rPr>
        <w:t>Block_HF = B_complex ∪ B_domain ∪ B_symbol ∪ B_BC ∪ B_interface ∪ B_range ∪ B_gap ∪ B_bridge ∪ B_D ∪ B_Dom ∪ B_glue ∪ B_ind.   (15.29)</w:t>
      </w:r>
      <w:bookmarkEnd w:id="1831"/>
    </w:p>
    <w:tbl>
      <w:tblPr>
        <w:tblW w:type="auto" w:w="0"/>
        <w:jc w:val="center"/>
        <w:tblLayout w:type="fixed"/>
        <w:tblLook w:firstColumn="1" w:firstRow="1" w:lastColumn="0" w:lastRow="0" w:noHBand="0" w:noVBand="1" w:val="04A0"/>
      </w:tblPr>
      <w:tblGrid>
        <w:gridCol w:w="3251"/>
        <w:gridCol w:w="3251"/>
        <w:gridCol w:w="3251"/>
      </w:tblGrid>
      <w:tr>
        <w:trPr>
          <w:tblHeader w:val="true"/>
          <w:cantSplit/>
        </w:trPr>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Вывод</w:t>
            </w:r>
          </w:p>
        </w:tc>
        <w:tc>
          <w:tcPr>
            <w:tcW w:type="dxa" w:w="345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Необходимое условие</w:t>
            </w:r>
          </w:p>
        </w:tc>
        <w:tc>
          <w:tcPr>
            <w:tcW w:type="dxa" w:w="328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Запрещённая интерпретация</w:t>
            </w:r>
          </w:p>
        </w:tc>
      </w:tr>
      <w:tr>
        <w:trPr>
          <w:cantSplit/>
        </w:trP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NO-OBSTRUCTION-REMOVAL-IN-MODEL</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Block_HF=empty и η_H≥ε_H</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невозможность иных типов перехода</w:t>
            </w:r>
          </w:p>
        </w:tc>
      </w:tr>
      <w:tr>
        <w:trPr>
          <w:cantSplit/>
        </w:trP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CANDIDATE-ANALYTIC-TRANSITION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интервал встречает Δ_HF и сертификат не разрушен</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наступление события</w:t>
            </w:r>
          </w:p>
        </w:tc>
      </w:tr>
      <w:tr>
        <w:trPr>
          <w:cantSplit/>
        </w:trP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ABSTAIN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есть blocker либо нет uniform numerical margin</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заменяется экспертным оптимизмом</w:t>
            </w:r>
          </w:p>
        </w:tc>
      </w:tr>
    </w:tbl>
    <w:p>
      <w:bookmarkStart w:id="1071" w:name="h_1898"/>
      <w:pPr>
        <w:pStyle w:val="Heading1"/>
        <w:keepNext/>
      </w:pPr>
      <w:r>
        <w:t>144. Контрпримеры и разделяющие модели</w:t>
      </w:r>
      <w:bookmarkEnd w:id="1071"/>
    </w:p>
    <w:p>
      <w:bookmarkStart w:id="1613" w:name="s_CTHM_15_13"/>
      <w:pPr/>
      <w:r>
        <w:t>Контртеорема 15.13. [THM] Каждая из следующих импликаций неверна без дополнительных гипотез:</w:t>
      </w:r>
      <w:bookmarkEnd w:id="1613"/>
    </w:p>
    <w:p>
      <w:pPr>
        <w:pStyle w:val="ListBullet"/>
        <w:spacing w:after="40"/>
      </w:pPr>
      <w:r>
        <w:t>d²=0 ⇒ комплекс эллиптичен;</w:t>
      </w:r>
    </w:p>
    <w:p>
      <w:pPr>
        <w:pStyle w:val="ListBullet"/>
        <w:spacing w:after="40"/>
      </w:pPr>
      <w:r>
        <w:t>формальная симметрия Δ ⇒ выбранная реализация самосопряжённа;</w:t>
      </w:r>
    </w:p>
    <w:p>
      <w:pPr>
        <w:pStyle w:val="ListBullet"/>
        <w:spacing w:after="40"/>
      </w:pPr>
      <w:r>
        <w:t>dim 𝓗^k постоянно ⇒ конкретный harmonic obstruction не может обратиться в нуль;</w:t>
      </w:r>
    </w:p>
    <w:p>
      <w:pPr>
        <w:pStyle w:val="ListBullet"/>
        <w:spacing w:after="40"/>
      </w:pPr>
      <w:r>
        <w:t>η_H мало ⇒ класс точно нулевой;</w:t>
      </w:r>
    </w:p>
    <w:p>
      <w:pPr>
        <w:pStyle w:val="ListBullet"/>
        <w:spacing w:after="40"/>
      </w:pPr>
      <w:r>
        <w:t>η_H=0 ⇒ существует nonlinear NAPG-lift;</w:t>
      </w:r>
    </w:p>
    <w:p>
      <w:pPr>
        <w:pStyle w:val="ListBullet"/>
        <w:spacing w:after="40"/>
      </w:pPr>
      <w:r>
        <w:t>Fredholmness на каждой страте ⇒ total stratified operator Fredholm без transmission conditions;</w:t>
      </w:r>
    </w:p>
    <w:p>
      <w:pPr>
        <w:pStyle w:val="ListBullet"/>
        <w:spacing w:after="40"/>
      </w:pPr>
      <w:r>
        <w:t>ненулевой spectral flow ⇒ физический переход;</w:t>
      </w:r>
    </w:p>
    <w:p>
      <w:pPr>
        <w:pStyle w:val="ListBullet"/>
        <w:spacing w:after="40"/>
      </w:pPr>
      <w:r>
        <w:t>неассоциативность ⊙ ⇒ ненулевая principal-symbol curvature.</w:t>
      </w:r>
    </w:p>
    <w:p>
      <w:pPr/>
      <w:r>
        <w:t>Модель A: d=0 на бесконечномерном H. Имеем d²=0 и Δ=0, но dim ker Δ=∞ и Fredholmness отсутствует.</w:t>
      </w:r>
    </w:p>
    <w:p>
      <w:pPr/>
      <w:r>
        <w:t>Модель B: -d²/dx² на [0,1]. Одно формальное выражение с Dirichlet и Neumann доменами имеет разные нулевые моды и спектры.</w:t>
      </w:r>
    </w:p>
    <w:p>
      <w:pPr/>
      <w:r>
        <w:t>Модель C: Δ_t=diag(t²,1,2,3,...) на ℓ². При t≠0 ядро нулевое, при t=0 возникает одномерная harmonic mode; переход сопровождается закрытием gap.</w:t>
      </w:r>
    </w:p>
    <w:p>
      <w:pPr/>
      <w:r>
        <w:t>Модель D: q_t=t h в фиксированном одномерном 𝓗. Размерность harmonic space постоянна, но конкретный класс проходит через ноль при t=0. Значит, Betti number не заменяет tracking section.</w:t>
      </w:r>
    </w:p>
    <w:p>
      <w:pPr/>
      <w:r>
        <w:t>Модель E: семейство матриц Ψ_ε=diag(1,ε). Остаток может быть нулевым, но минимальный lift растёт как ε^{-1}; exactness не равна численной устойчивости.</w:t>
      </w:r>
    </w:p>
    <w:p>
      <w:pPr/>
      <w:r>
        <w:t>Модель F: прямая сумма двух страт без interface equations имеет две независимые константные harmonic modes. После условия совпадения следов остаётся одна. Стратовые Betti numbers не складываются автоматически.</w:t>
      </w:r>
    </w:p>
    <w:p>
      <w:bookmarkStart w:id="1072" w:name="h_1914"/>
      <w:pPr>
        <w:pStyle w:val="Heading1"/>
        <w:keepNext/>
      </w:pPr>
      <w:r>
        <w:t>145. Вычислительный сертификат HOD-AN v0.12</w:t>
      </w:r>
      <w:bookmarkEnd w:id="1072"/>
    </w:p>
    <w:p>
      <w:pPr>
        <w:pStyle w:val="Heading2"/>
        <w:keepNext/>
      </w:pPr>
      <w:r>
        <w:t>145.1. Псевдокод</w:t>
      </w:r>
    </w:p>
    <w:p>
      <w:pPr>
        <w:pStyle w:val="Quote"/>
      </w:pPr>
      <w:r>
        <w:t>INPUT graded Hilbert data, differential d, metric/Hodge data, boundary and interface domains, obstruction q, Reper D/Dom</w:t>
        <w:br/>
        <w:t>CHECK dense_domain(d), closed_operator(d), composition_defined(d,d), d^2=0</w:t>
        <w:br/>
        <w:t>BUILD adjoints and Laplacians with explicit domains</w:t>
        <w:br/>
        <w:t>CHECK principal_symbol_exactness for every nonzero cotangent direction</w:t>
        <w:br/>
        <w:t>CHECK boundary/interface ellipticity and self-adjoint or Fredholm realization</w:t>
        <w:br/>
        <w:t>COMPUTE kernel, cokernel, index, harmonic projector, positive spectral gap</w:t>
        <w:br/>
        <w:t>COMPUTE eta_H=norm(P_H q), Green bound and conditioning ledger</w:t>
        <w:br/>
        <w:t>CHECK external bridge Pi_E and faithful flag for reverse detection</w:t>
        <w:br/>
        <w:t>CHECK Reper bridge chi_H, lambda domain, Evidence-D and globalization</w:t>
        <w:br/>
        <w:t>IF any blocker: ABSTAIN</w:t>
        <w:br/>
        <w:t>ELSE IF eta_H &gt;= epsilon and path avoids Delta_HF: NO-OBSTRUCTION-REMOVAL-IN-MODEL</w:t>
        <w:br/>
        <w:t>ELSE IF path meets Delta_HF with certified margins: CANDIDATE-ANALYTIC-TRANSITION</w:t>
        <w:br/>
        <w:t>ELSE: ABSTAIN</w:t>
        <w:br/>
        <w:t>EMIT matrices/operators, domains, spectra, residuals, hashes, proof-obligation statuses</w:t>
      </w:r>
    </w:p>
    <w:p>
      <w:pPr/>
      <w:r>
        <w:t>Минимальный пакет HOD-01-HOD-20:</w:t>
      </w:r>
    </w:p>
    <w:p>
      <w:pPr>
        <w:pStyle w:val="ListBullet"/>
        <w:spacing w:after="40"/>
      </w:pPr>
      <w:r>
        <w:t>HOD-01 spaces and grading; HOD-02 exact operator domains; HOD-03 d² test;</w:t>
      </w:r>
    </w:p>
    <w:p>
      <w:pPr>
        <w:pStyle w:val="ListBullet"/>
        <w:spacing w:after="40"/>
      </w:pPr>
      <w:r>
        <w:t>HOD-04 adjoint-domain test; HOD-05 principal-symbol rank test; HOD-06 ellipticity certificate;</w:t>
      </w:r>
    </w:p>
    <w:p>
      <w:pPr>
        <w:pStyle w:val="ListBullet"/>
        <w:spacing w:after="40"/>
      </w:pPr>
      <w:r>
        <w:t>HOD-07 boundary traces; HOD-08 complementing condition; HOD-09 interface compatibility;</w:t>
      </w:r>
    </w:p>
    <w:p>
      <w:pPr>
        <w:pStyle w:val="ListBullet"/>
        <w:spacing w:after="40"/>
      </w:pPr>
      <w:r>
        <w:t>HOD-10 Fredholm kernel/cokernel; HOD-11 index; HOD-12 compact-resolvent flag;</w:t>
      </w:r>
    </w:p>
    <w:p>
      <w:pPr>
        <w:pStyle w:val="ListBullet"/>
        <w:spacing w:after="40"/>
      </w:pPr>
      <w:r>
        <w:t>HOD-13 harmonic basis; HOD-14 spectral gap with interval enclosure; HOD-15 Green norm bound;</w:t>
      </w:r>
    </w:p>
    <w:p>
      <w:pPr>
        <w:pStyle w:val="ListBullet"/>
        <w:spacing w:after="40"/>
      </w:pPr>
      <w:r>
        <w:t>HOD-16 η_H and exact residual; HOD-17 Π_E compatibility; HOD-18 χ_H and λ-domain;</w:t>
      </w:r>
    </w:p>
    <w:p>
      <w:pPr>
        <w:pStyle w:val="ListBullet"/>
        <w:spacing w:after="40"/>
      </w:pPr>
      <w:r>
        <w:t>HOD-19 blocker-safe verdict; HOD-20 source, environment and artifact hashes.</w:t>
      </w:r>
    </w:p>
    <w:p>
      <w:bookmarkStart w:id="1073" w:name="h_1925"/>
      <w:pPr>
        <w:pStyle w:val="Heading1"/>
        <w:keepNext/>
      </w:pPr>
      <w:r>
        <w:t>146. Доказательные обязательства T2-PO-146-T2-PO-170</w:t>
      </w:r>
      <w:bookmarkEnd w:id="1073"/>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PO</w:t>
            </w:r>
          </w:p>
        </w:tc>
        <w:tc>
          <w:tcPr>
            <w:tcW w:type="dxa" w:w="3402"/>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Обязательство</w:t>
            </w:r>
          </w:p>
        </w:tc>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Статус</w:t>
            </w:r>
          </w:p>
        </w:tc>
        <w:tc>
          <w:tcPr>
            <w:tcW w:type="dxa" w:w="311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Условие закрытия / результат</w:t>
            </w:r>
          </w:p>
        </w:tc>
      </w:tr>
      <w:tr>
        <w:trPr>
          <w:cantSplit/>
        </w:trPr>
        <w:tc>
          <w:tcPr>
            <w:tcW w:type="dxa" w:w="1247"/>
            <w:vAlign w:val="center"/>
            <w:tcMar>
              <w:top w:w="90" w:type="dxa"/>
              <w:start w:w="100" w:type="dxa"/>
              <w:bottom w:w="90" w:type="dxa"/>
              <w:end w:w="100" w:type="dxa"/>
            </w:tcMar>
          </w:tcPr>
          <w:p>
            <w:bookmarkStart w:id="2242" w:name="po_146"/>
            <w:pPr>
              <w:spacing w:after="0" w:line="240" w:lineRule="auto"/>
            </w:pPr>
            <w:r>
              <w:rPr>
                <w:rFonts w:ascii="Liberation Sans" w:hAnsi="Liberation Sans"/>
                <w:sz w:val="15"/>
              </w:rPr>
              <w:t>T2-PO-146</w:t>
            </w:r>
            <w:bookmarkEnd w:id="2242"/>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Hilbert-complex domains and closedness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операторная спецификация (15.1)</w:t>
            </w:r>
          </w:p>
        </w:tc>
      </w:tr>
      <w:tr>
        <w:trPr>
          <w:cantSplit/>
        </w:trPr>
        <w:tc>
          <w:tcPr>
            <w:tcW w:type="dxa" w:w="1247"/>
            <w:vAlign w:val="center"/>
            <w:tcMar>
              <w:top w:w="90" w:type="dxa"/>
              <w:start w:w="100" w:type="dxa"/>
              <w:bottom w:w="90" w:type="dxa"/>
              <w:end w:w="100" w:type="dxa"/>
            </w:tcMar>
          </w:tcPr>
          <w:p>
            <w:bookmarkStart w:id="2243" w:name="po_147"/>
            <w:pPr>
              <w:spacing w:after="0" w:line="240" w:lineRule="auto"/>
            </w:pPr>
            <w:r>
              <w:rPr>
                <w:rFonts w:ascii="Liberation Sans" w:hAnsi="Liberation Sans"/>
                <w:sz w:val="15"/>
              </w:rPr>
              <w:t>T2-PO-147</w:t>
            </w:r>
            <w:bookmarkEnd w:id="2243"/>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weak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теорема Hilbert-комплекса</w:t>
            </w:r>
          </w:p>
        </w:tc>
      </w:tr>
      <w:tr>
        <w:trPr>
          <w:cantSplit/>
        </w:trPr>
        <w:tc>
          <w:tcPr>
            <w:tcW w:type="dxa" w:w="1247"/>
            <w:vAlign w:val="center"/>
            <w:tcMar>
              <w:top w:w="90" w:type="dxa"/>
              <w:start w:w="100" w:type="dxa"/>
              <w:bottom w:w="90" w:type="dxa"/>
              <w:end w:w="100" w:type="dxa"/>
            </w:tcMar>
          </w:tcPr>
          <w:p>
            <w:bookmarkStart w:id="2244" w:name="po_148"/>
            <w:pPr>
              <w:spacing w:after="0" w:line="240" w:lineRule="auto"/>
            </w:pPr>
            <w:r>
              <w:rPr>
                <w:rFonts w:ascii="Liberation Sans" w:hAnsi="Liberation Sans"/>
                <w:sz w:val="15"/>
              </w:rPr>
              <w:t>T2-PO-148</w:t>
            </w:r>
            <w:bookmarkEnd w:id="2244"/>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strong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closed-range hypothesis</w:t>
            </w:r>
          </w:p>
        </w:tc>
      </w:tr>
      <w:tr>
        <w:trPr>
          <w:cantSplit/>
        </w:trPr>
        <w:tc>
          <w:tcPr>
            <w:tcW w:type="dxa" w:w="1247"/>
            <w:vAlign w:val="center"/>
            <w:tcMar>
              <w:top w:w="90" w:type="dxa"/>
              <w:start w:w="100" w:type="dxa"/>
              <w:bottom w:w="90" w:type="dxa"/>
              <w:end w:w="100" w:type="dxa"/>
            </w:tcMar>
          </w:tcPr>
          <w:p>
            <w:bookmarkStart w:id="2245" w:name="po_149"/>
            <w:pPr>
              <w:spacing w:after="0" w:line="240" w:lineRule="auto"/>
            </w:pPr>
            <w:r>
              <w:rPr>
                <w:rFonts w:ascii="Liberation Sans" w:hAnsi="Liberation Sans"/>
                <w:sz w:val="15"/>
              </w:rPr>
              <w:t>T2-PO-149</w:t>
            </w:r>
            <w:bookmarkEnd w:id="2245"/>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 reduced cohomology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ортогональное разложение</w:t>
            </w:r>
          </w:p>
        </w:tc>
      </w:tr>
      <w:tr>
        <w:trPr>
          <w:cantSplit/>
        </w:trPr>
        <w:tc>
          <w:tcPr>
            <w:tcW w:type="dxa" w:w="1247"/>
            <w:vAlign w:val="center"/>
            <w:tcMar>
              <w:top w:w="90" w:type="dxa"/>
              <w:start w:w="100" w:type="dxa"/>
              <w:bottom w:w="90" w:type="dxa"/>
              <w:end w:w="100" w:type="dxa"/>
            </w:tcMar>
          </w:tcPr>
          <w:p>
            <w:bookmarkStart w:id="2246" w:name="po_150"/>
            <w:pPr>
              <w:spacing w:after="0" w:line="240" w:lineRule="auto"/>
            </w:pPr>
            <w:r>
              <w:rPr>
                <w:rFonts w:ascii="Liberation Sans" w:hAnsi="Liberation Sans"/>
                <w:sz w:val="15"/>
              </w:rPr>
              <w:t>T2-PO-150</w:t>
            </w:r>
            <w:bookmarkEnd w:id="2246"/>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ordinary cohomology = harmonic</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ran d closed</w:t>
            </w:r>
          </w:p>
        </w:tc>
      </w:tr>
      <w:tr>
        <w:trPr>
          <w:cantSplit/>
        </w:trPr>
        <w:tc>
          <w:tcPr>
            <w:tcW w:type="dxa" w:w="1247"/>
            <w:vAlign w:val="center"/>
            <w:tcMar>
              <w:top w:w="90" w:type="dxa"/>
              <w:start w:w="100" w:type="dxa"/>
              <w:bottom w:w="90" w:type="dxa"/>
              <w:end w:w="100" w:type="dxa"/>
            </w:tcMar>
          </w:tcPr>
          <w:p>
            <w:bookmarkStart w:id="2247" w:name="po_151"/>
            <w:pPr>
              <w:spacing w:after="0" w:line="240" w:lineRule="auto"/>
            </w:pPr>
            <w:r>
              <w:rPr>
                <w:rFonts w:ascii="Liberation Sans" w:hAnsi="Liberation Sans"/>
                <w:sz w:val="15"/>
              </w:rPr>
              <w:t>T2-PO-151</w:t>
            </w:r>
            <w:bookmarkEnd w:id="2247"/>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Poincare estimate and spectral gap</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self-adjoint closed-range sector</w:t>
            </w:r>
          </w:p>
        </w:tc>
      </w:tr>
      <w:tr>
        <w:trPr>
          <w:cantSplit/>
        </w:trPr>
        <w:tc>
          <w:tcPr>
            <w:tcW w:type="dxa" w:w="1247"/>
            <w:vAlign w:val="center"/>
            <w:tcMar>
              <w:top w:w="90" w:type="dxa"/>
              <w:start w:w="100" w:type="dxa"/>
              <w:bottom w:w="90" w:type="dxa"/>
              <w:end w:w="100" w:type="dxa"/>
            </w:tcMar>
          </w:tcPr>
          <w:p>
            <w:bookmarkStart w:id="2248" w:name="po_152"/>
            <w:pPr>
              <w:spacing w:after="0" w:line="240" w:lineRule="auto"/>
            </w:pPr>
            <w:r>
              <w:rPr>
                <w:rFonts w:ascii="Liberation Sans" w:hAnsi="Liberation Sans"/>
                <w:sz w:val="15"/>
              </w:rPr>
              <w:t>T2-PO-152</w:t>
            </w:r>
            <w:bookmarkEnd w:id="2248"/>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Green operator and lift estimate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uniform gap</w:t>
            </w:r>
          </w:p>
        </w:tc>
      </w:tr>
      <w:tr>
        <w:trPr>
          <w:cantSplit/>
        </w:trPr>
        <w:tc>
          <w:tcPr>
            <w:tcW w:type="dxa" w:w="1247"/>
            <w:vAlign w:val="center"/>
            <w:tcMar>
              <w:top w:w="90" w:type="dxa"/>
              <w:start w:w="100" w:type="dxa"/>
              <w:bottom w:w="90" w:type="dxa"/>
              <w:end w:w="100" w:type="dxa"/>
            </w:tcMar>
          </w:tcPr>
          <w:p>
            <w:bookmarkStart w:id="2249" w:name="po_153"/>
            <w:pPr>
              <w:spacing w:after="0" w:line="240" w:lineRule="auto"/>
            </w:pPr>
            <w:r>
              <w:rPr>
                <w:rFonts w:ascii="Liberation Sans" w:hAnsi="Liberation Sans"/>
                <w:sz w:val="15"/>
              </w:rPr>
              <w:t>T2-PO-153</w:t>
            </w:r>
            <w:bookmarkEnd w:id="2249"/>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elliptic symbol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exact symbol sequence</w:t>
            </w:r>
          </w:p>
        </w:tc>
      </w:tr>
      <w:tr>
        <w:trPr>
          <w:cantSplit/>
        </w:trPr>
        <w:tc>
          <w:tcPr>
            <w:tcW w:type="dxa" w:w="1247"/>
            <w:vAlign w:val="center"/>
            <w:tcMar>
              <w:top w:w="90" w:type="dxa"/>
              <w:start w:w="100" w:type="dxa"/>
              <w:bottom w:w="90" w:type="dxa"/>
              <w:end w:w="100" w:type="dxa"/>
            </w:tcMar>
          </w:tcPr>
          <w:p>
            <w:bookmarkStart w:id="2250" w:name="po_154"/>
            <w:pPr>
              <w:spacing w:after="0" w:line="240" w:lineRule="auto"/>
            </w:pPr>
            <w:r>
              <w:rPr>
                <w:rFonts w:ascii="Liberation Sans" w:hAnsi="Liberation Sans"/>
                <w:sz w:val="15"/>
              </w:rPr>
              <w:t>T2-PO-154</w:t>
            </w:r>
            <w:bookmarkEnd w:id="2250"/>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Laplace-type identification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model-specific principal symbol</w:t>
            </w:r>
          </w:p>
        </w:tc>
      </w:tr>
      <w:tr>
        <w:trPr>
          <w:cantSplit/>
        </w:trPr>
        <w:tc>
          <w:tcPr>
            <w:tcW w:type="dxa" w:w="1247"/>
            <w:vAlign w:val="center"/>
            <w:tcMar>
              <w:top w:w="90" w:type="dxa"/>
              <w:start w:w="100" w:type="dxa"/>
              <w:bottom w:w="90" w:type="dxa"/>
              <w:end w:w="100" w:type="dxa"/>
            </w:tcMar>
          </w:tcPr>
          <w:p>
            <w:bookmarkStart w:id="2251" w:name="po_155"/>
            <w:pPr>
              <w:spacing w:after="0" w:line="240" w:lineRule="auto"/>
            </w:pPr>
            <w:r>
              <w:rPr>
                <w:rFonts w:ascii="Liberation Sans" w:hAnsi="Liberation Sans"/>
                <w:sz w:val="15"/>
              </w:rPr>
              <w:t>T2-PO-155</w:t>
            </w:r>
            <w:bookmarkEnd w:id="2251"/>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absolute/relative boundary realization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smooth compact boundary</w:t>
            </w:r>
          </w:p>
        </w:tc>
      </w:tr>
      <w:tr>
        <w:trPr>
          <w:cantSplit/>
        </w:trPr>
        <w:tc>
          <w:tcPr>
            <w:tcW w:type="dxa" w:w="1247"/>
            <w:vAlign w:val="center"/>
            <w:tcMar>
              <w:top w:w="90" w:type="dxa"/>
              <w:start w:w="100" w:type="dxa"/>
              <w:bottom w:w="90" w:type="dxa"/>
              <w:end w:w="100" w:type="dxa"/>
            </w:tcMar>
          </w:tcPr>
          <w:p>
            <w:bookmarkStart w:id="2252" w:name="po_156"/>
            <w:pPr>
              <w:spacing w:after="0" w:line="240" w:lineRule="auto"/>
            </w:pPr>
            <w:r>
              <w:rPr>
                <w:rFonts w:ascii="Liberation Sans" w:hAnsi="Liberation Sans"/>
                <w:sz w:val="15"/>
              </w:rPr>
              <w:t>T2-PO-156</w:t>
            </w:r>
            <w:bookmarkEnd w:id="2252"/>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general NAPG boundary Fredholmness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Lopatinski-Shapiro / APS data</w:t>
            </w:r>
          </w:p>
        </w:tc>
      </w:tr>
      <w:tr>
        <w:trPr>
          <w:cantSplit/>
        </w:trPr>
        <w:tc>
          <w:tcPr>
            <w:tcW w:type="dxa" w:w="1247"/>
            <w:vAlign w:val="center"/>
            <w:tcMar>
              <w:top w:w="90" w:type="dxa"/>
              <w:start w:w="100" w:type="dxa"/>
              <w:bottom w:w="90" w:type="dxa"/>
              <w:end w:w="100" w:type="dxa"/>
            </w:tcMar>
          </w:tcPr>
          <w:p>
            <w:bookmarkStart w:id="2253" w:name="po_157"/>
            <w:pPr>
              <w:spacing w:after="0" w:line="240" w:lineRule="auto"/>
            </w:pPr>
            <w:r>
              <w:rPr>
                <w:rFonts w:ascii="Liberation Sans" w:hAnsi="Liberation Sans"/>
                <w:sz w:val="15"/>
              </w:rPr>
              <w:t>T2-PO-157</w:t>
            </w:r>
            <w:bookmarkEnd w:id="2253"/>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stratified interface domain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transmission maps required</w:t>
            </w:r>
          </w:p>
        </w:tc>
      </w:tr>
      <w:tr>
        <w:trPr>
          <w:cantSplit/>
        </w:trPr>
        <w:tc>
          <w:tcPr>
            <w:tcW w:type="dxa" w:w="1247"/>
            <w:vAlign w:val="center"/>
            <w:tcMar>
              <w:top w:w="90" w:type="dxa"/>
              <w:start w:w="100" w:type="dxa"/>
              <w:bottom w:w="90" w:type="dxa"/>
              <w:end w:w="100" w:type="dxa"/>
            </w:tcMar>
          </w:tcPr>
          <w:p>
            <w:bookmarkStart w:id="2254" w:name="po_158"/>
            <w:pPr>
              <w:spacing w:after="0" w:line="240" w:lineRule="auto"/>
            </w:pPr>
            <w:r>
              <w:rPr>
                <w:rFonts w:ascii="Liberation Sans" w:hAnsi="Liberation Sans"/>
                <w:sz w:val="15"/>
              </w:rPr>
              <w:t>T2-PO-158</w:t>
            </w:r>
            <w:bookmarkEnd w:id="2254"/>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Fredholm index constancy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continuous Fredholm family</w:t>
            </w:r>
          </w:p>
        </w:tc>
      </w:tr>
      <w:tr>
        <w:trPr>
          <w:cantSplit/>
        </w:trPr>
        <w:tc>
          <w:tcPr>
            <w:tcW w:type="dxa" w:w="1247"/>
            <w:vAlign w:val="center"/>
            <w:tcMar>
              <w:top w:w="90" w:type="dxa"/>
              <w:start w:w="100" w:type="dxa"/>
              <w:bottom w:w="90" w:type="dxa"/>
              <w:end w:w="100" w:type="dxa"/>
            </w:tcMar>
          </w:tcPr>
          <w:p>
            <w:bookmarkStart w:id="2255" w:name="po_159"/>
            <w:pPr>
              <w:spacing w:after="0" w:line="240" w:lineRule="auto"/>
            </w:pPr>
            <w:r>
              <w:rPr>
                <w:rFonts w:ascii="Liberation Sans" w:hAnsi="Liberation Sans"/>
                <w:sz w:val="15"/>
              </w:rPr>
              <w:t>T2-PO-159</w:t>
            </w:r>
            <w:bookmarkEnd w:id="2255"/>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compact resolvent on NAPG strata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compactness and ideal BC</w:t>
            </w:r>
          </w:p>
        </w:tc>
      </w:tr>
      <w:tr>
        <w:trPr>
          <w:cantSplit/>
        </w:trPr>
        <w:tc>
          <w:tcPr>
            <w:tcW w:type="dxa" w:w="1247"/>
            <w:vAlign w:val="center"/>
            <w:tcMar>
              <w:top w:w="90" w:type="dxa"/>
              <w:start w:w="100" w:type="dxa"/>
              <w:bottom w:w="90" w:type="dxa"/>
              <w:end w:w="100" w:type="dxa"/>
            </w:tcMar>
          </w:tcPr>
          <w:p>
            <w:bookmarkStart w:id="2256" w:name="po_160"/>
            <w:pPr>
              <w:spacing w:after="0" w:line="240" w:lineRule="auto"/>
            </w:pPr>
            <w:r>
              <w:rPr>
                <w:rFonts w:ascii="Liberation Sans" w:hAnsi="Liberation Sans"/>
                <w:sz w:val="15"/>
              </w:rPr>
              <w:t>T2-PO-160</w:t>
            </w:r>
            <w:bookmarkEnd w:id="2256"/>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residual formula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 range</w:t>
            </w:r>
          </w:p>
        </w:tc>
      </w:tr>
      <w:tr>
        <w:trPr>
          <w:cantSplit/>
        </w:trPr>
        <w:tc>
          <w:tcPr>
            <w:tcW w:type="dxa" w:w="1247"/>
            <w:vAlign w:val="center"/>
            <w:tcMar>
              <w:top w:w="90" w:type="dxa"/>
              <w:start w:w="100" w:type="dxa"/>
              <w:bottom w:w="90" w:type="dxa"/>
              <w:end w:w="100" w:type="dxa"/>
            </w:tcMar>
          </w:tcPr>
          <w:p>
            <w:bookmarkStart w:id="2257" w:name="po_161"/>
            <w:pPr>
              <w:spacing w:after="0" w:line="240" w:lineRule="auto"/>
            </w:pPr>
            <w:r>
              <w:rPr>
                <w:rFonts w:ascii="Liberation Sans" w:hAnsi="Liberation Sans"/>
                <w:sz w:val="15"/>
              </w:rPr>
              <w:t>T2-PO-161</w:t>
            </w:r>
            <w:bookmarkEnd w:id="2257"/>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spectral projector stability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norm-resolvent continuity and gap</w:t>
            </w:r>
          </w:p>
        </w:tc>
      </w:tr>
      <w:tr>
        <w:trPr>
          <w:cantSplit/>
        </w:trPr>
        <w:tc>
          <w:tcPr>
            <w:tcW w:type="dxa" w:w="1247"/>
            <w:vAlign w:val="center"/>
            <w:tcMar>
              <w:top w:w="90" w:type="dxa"/>
              <w:start w:w="100" w:type="dxa"/>
              <w:bottom w:w="90" w:type="dxa"/>
              <w:end w:w="100" w:type="dxa"/>
            </w:tcMar>
          </w:tcPr>
          <w:p>
            <w:bookmarkStart w:id="2258" w:name="po_162"/>
            <w:pPr>
              <w:spacing w:after="0" w:line="240" w:lineRule="auto"/>
            </w:pPr>
            <w:r>
              <w:rPr>
                <w:rFonts w:ascii="Liberation Sans" w:hAnsi="Liberation Sans"/>
                <w:sz w:val="15"/>
              </w:rPr>
              <w:t>T2-PO-162</w:t>
            </w:r>
            <w:bookmarkEnd w:id="2258"/>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analytic obstruction bundle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constant harmonic rank</w:t>
            </w:r>
          </w:p>
        </w:tc>
      </w:tr>
      <w:tr>
        <w:trPr>
          <w:cantSplit/>
        </w:trPr>
        <w:tc>
          <w:tcPr>
            <w:tcW w:type="dxa" w:w="1247"/>
            <w:vAlign w:val="center"/>
            <w:tcMar>
              <w:top w:w="90" w:type="dxa"/>
              <w:start w:w="100" w:type="dxa"/>
              <w:bottom w:w="90" w:type="dxa"/>
              <w:end w:w="100" w:type="dxa"/>
            </w:tcMar>
          </w:tcPr>
          <w:p>
            <w:bookmarkStart w:id="2259" w:name="po_163"/>
            <w:pPr>
              <w:spacing w:after="0" w:line="240" w:lineRule="auto"/>
            </w:pPr>
            <w:r>
              <w:rPr>
                <w:rFonts w:ascii="Liberation Sans" w:hAnsi="Liberation Sans"/>
                <w:sz w:val="15"/>
              </w:rPr>
              <w:t>T2-PO-163</w:t>
            </w:r>
            <w:bookmarkEnd w:id="2259"/>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Hodge-Reper bridge chi_H</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homogeneous functionals and pole audit</w:t>
            </w:r>
          </w:p>
        </w:tc>
      </w:tr>
      <w:tr>
        <w:trPr>
          <w:cantSplit/>
        </w:trPr>
        <w:tc>
          <w:tcPr>
            <w:tcW w:type="dxa" w:w="1247"/>
            <w:vAlign w:val="center"/>
            <w:tcMar>
              <w:top w:w="90" w:type="dxa"/>
              <w:start w:w="100" w:type="dxa"/>
              <w:bottom w:w="90" w:type="dxa"/>
              <w:end w:w="100" w:type="dxa"/>
            </w:tcMar>
          </w:tcPr>
          <w:p>
            <w:bookmarkStart w:id="2260" w:name="po_164"/>
            <w:pPr>
              <w:spacing w:after="0" w:line="240" w:lineRule="auto"/>
            </w:pPr>
            <w:r>
              <w:rPr>
                <w:rFonts w:ascii="Liberation Sans" w:hAnsi="Liberation Sans"/>
                <w:sz w:val="15"/>
              </w:rPr>
              <w:t>T2-PO-164</w:t>
            </w:r>
            <w:bookmarkEnd w:id="2260"/>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Cheeger-type singular Hodge sector</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stratified pseudomanifold hypotheses</w:t>
            </w:r>
          </w:p>
        </w:tc>
      </w:tr>
      <w:tr>
        <w:trPr>
          <w:cantSplit/>
        </w:trPr>
        <w:tc>
          <w:tcPr>
            <w:tcW w:type="dxa" w:w="1247"/>
            <w:vAlign w:val="center"/>
            <w:tcMar>
              <w:top w:w="90" w:type="dxa"/>
              <w:start w:w="100" w:type="dxa"/>
              <w:bottom w:w="90" w:type="dxa"/>
              <w:end w:w="100" w:type="dxa"/>
            </w:tcMar>
          </w:tcPr>
          <w:p>
            <w:bookmarkStart w:id="2261" w:name="po_165"/>
            <w:pPr>
              <w:spacing w:after="0" w:line="240" w:lineRule="auto"/>
            </w:pPr>
            <w:r>
              <w:rPr>
                <w:rFonts w:ascii="Liberation Sans" w:hAnsi="Liberation Sans"/>
                <w:sz w:val="15"/>
              </w:rPr>
              <w:t>T2-PO-165</w:t>
            </w:r>
            <w:bookmarkEnd w:id="2261"/>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mezzoperversity / ideal BC choice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domain classification</w:t>
            </w:r>
          </w:p>
        </w:tc>
      </w:tr>
      <w:tr>
        <w:trPr>
          <w:cantSplit/>
        </w:trPr>
        <w:tc>
          <w:tcPr>
            <w:tcW w:type="dxa" w:w="1247"/>
            <w:vAlign w:val="center"/>
            <w:tcMar>
              <w:top w:w="90" w:type="dxa"/>
              <w:start w:w="100" w:type="dxa"/>
              <w:bottom w:w="90" w:type="dxa"/>
              <w:end w:w="100" w:type="dxa"/>
            </w:tcMar>
          </w:tcPr>
          <w:p>
            <w:bookmarkStart w:id="2262" w:name="po_166"/>
            <w:pPr>
              <w:spacing w:after="0" w:line="240" w:lineRule="auto"/>
            </w:pPr>
            <w:r>
              <w:rPr>
                <w:rFonts w:ascii="Liberation Sans" w:hAnsi="Liberation Sans"/>
                <w:sz w:val="15"/>
              </w:rPr>
              <w:t>T2-PO-166</w:t>
            </w:r>
            <w:bookmarkEnd w:id="2262"/>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uniform interval spectral certification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OPEN/COMP</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validated eigensolver</w:t>
            </w:r>
          </w:p>
        </w:tc>
      </w:tr>
      <w:tr>
        <w:trPr>
          <w:cantSplit/>
        </w:trPr>
        <w:tc>
          <w:tcPr>
            <w:tcW w:type="dxa" w:w="1247"/>
            <w:vAlign w:val="center"/>
            <w:tcMar>
              <w:top w:w="90" w:type="dxa"/>
              <w:start w:w="100" w:type="dxa"/>
              <w:bottom w:w="90" w:type="dxa"/>
              <w:end w:w="100" w:type="dxa"/>
            </w:tcMar>
          </w:tcPr>
          <w:p>
            <w:bookmarkStart w:id="2263" w:name="po_167"/>
            <w:pPr>
              <w:spacing w:after="0" w:line="240" w:lineRule="auto"/>
            </w:pPr>
            <w:r>
              <w:rPr>
                <w:rFonts w:ascii="Liberation Sans" w:hAnsi="Liberation Sans"/>
                <w:sz w:val="15"/>
              </w:rPr>
              <w:t>T2-PO-167</w:t>
            </w:r>
            <w:bookmarkEnd w:id="2263"/>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Pi_E and Blind_E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B1-B6</w:t>
            </w:r>
          </w:p>
        </w:tc>
      </w:tr>
      <w:tr>
        <w:trPr>
          <w:cantSplit/>
        </w:trPr>
        <w:tc>
          <w:tcPr>
            <w:tcW w:type="dxa" w:w="1247"/>
            <w:vAlign w:val="center"/>
            <w:tcMar>
              <w:top w:w="90" w:type="dxa"/>
              <w:start w:w="100" w:type="dxa"/>
              <w:bottom w:w="90" w:type="dxa"/>
              <w:end w:w="100" w:type="dxa"/>
            </w:tcMar>
          </w:tcPr>
          <w:p>
            <w:bookmarkStart w:id="2264" w:name="po_168"/>
            <w:pPr>
              <w:spacing w:after="0" w:line="240" w:lineRule="auto"/>
            </w:pPr>
            <w:r>
              <w:rPr>
                <w:rFonts w:ascii="Liberation Sans" w:hAnsi="Liberation Sans"/>
                <w:sz w:val="15"/>
              </w:rPr>
              <w:t>T2-PO-168</w:t>
            </w:r>
            <w:bookmarkEnd w:id="2264"/>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beta_Ass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separate chain bridge</w:t>
            </w:r>
          </w:p>
        </w:tc>
      </w:tr>
      <w:tr>
        <w:trPr>
          <w:cantSplit/>
        </w:trPr>
        <w:tc>
          <w:tcPr>
            <w:tcW w:type="dxa" w:w="1247"/>
            <w:vAlign w:val="center"/>
            <w:tcMar>
              <w:top w:w="90" w:type="dxa"/>
              <w:start w:w="100" w:type="dxa"/>
              <w:bottom w:w="90" w:type="dxa"/>
              <w:end w:w="100" w:type="dxa"/>
            </w:tcMar>
          </w:tcPr>
          <w:p>
            <w:bookmarkStart w:id="2265" w:name="po_169"/>
            <w:pPr>
              <w:spacing w:after="0" w:line="240" w:lineRule="auto"/>
            </w:pPr>
            <w:r>
              <w:rPr>
                <w:rFonts w:ascii="Liberation Sans" w:hAnsi="Liberation Sans"/>
                <w:sz w:val="15"/>
              </w:rPr>
              <w:t>T2-PO-169</w:t>
            </w:r>
            <w:bookmarkEnd w:id="2265"/>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independent domain run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 EXT-RUN supplied</w:t>
            </w:r>
          </w:p>
        </w:tc>
      </w:tr>
      <w:tr>
        <w:trPr>
          <w:cantSplit/>
        </w:trPr>
        <w:tc>
          <w:tcPr>
            <w:tcW w:type="dxa" w:w="1247"/>
            <w:vAlign w:val="center"/>
            <w:tcMar>
              <w:top w:w="90" w:type="dxa"/>
              <w:start w:w="100" w:type="dxa"/>
              <w:bottom w:w="90" w:type="dxa"/>
              <w:end w:w="100" w:type="dxa"/>
            </w:tcMar>
          </w:tcPr>
          <w:p>
            <w:bookmarkStart w:id="2266" w:name="po_170"/>
            <w:pPr>
              <w:spacing w:after="0" w:line="240" w:lineRule="auto"/>
            </w:pPr>
            <w:r>
              <w:rPr>
                <w:rFonts w:ascii="Liberation Sans" w:hAnsi="Liberation Sans"/>
                <w:sz w:val="15"/>
              </w:rPr>
              <w:t>T2-PO-170</w:t>
            </w:r>
            <w:bookmarkEnd w:id="2266"/>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Hodge-Fredholm predictive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H1-H12 and certificate HOD-AN</w:t>
            </w:r>
          </w:p>
        </w:tc>
      </w:tr>
    </w:tbl>
    <w:p>
      <w:bookmarkStart w:id="1074" w:name="h_1926"/>
      <w:pPr>
        <w:pStyle w:val="Heading1"/>
        <w:keepNext/>
      </w:pPr>
      <w:r>
        <w:t>147. Prior art и граница авторского вклада</w:t>
      </w:r>
      <w:bookmarkEnd w:id="1074"/>
    </w:p>
    <w:p>
      <w:pPr/>
      <w:r>
        <w:t>Классический аналитический слой включает harmonic fields, Hilbert-комплексы, Hodge decomposition, elliptic complexes, Fredholm index, boundary estimates и perturbation theory. Эти конструкции не заявляются как новые. Авторская линия Курпишева состоит в их типизированном соединении с NAPG 3.0, внутренним C_min, внешним E-мостом, projective obstruction carrier, D/Dom-дисциплиной и blocker-safe предсказательным горизонтом.</w:t>
      </w:r>
    </w:p>
    <w:p>
      <w:pPr/>
      <w:r>
        <w:t>[V0.12-1] Kodaira, K. Harmonic Fields in Riemannian Manifolds (Generalized Potential Theory). Annals of Mathematics 50(3), 587-665 (1949). DOI 10.2307/1969552.</w:t>
      </w:r>
    </w:p>
    <w:p>
      <w:pPr/>
      <w:r>
        <w:t>[V0.12-2] Gaffney, M. P. Hilbert Space Methods in the Theory of Harmonic Integrals. Transactions of the AMS 78(2), 426-444 (1955). DOI 10.1090/S0002-9947-1955-0068888-1.</w:t>
      </w:r>
    </w:p>
    <w:p>
      <w:pPr/>
      <w:r>
        <w:t>[V0.12-3] Brüning, J.; Lesch, M. Hilbert Complexes. Journal of Functional Analysis 108(1), 88-132 (1992). DOI 10.1016/0022-1236(92)90147-B.</w:t>
      </w:r>
    </w:p>
    <w:p>
      <w:pPr/>
      <w:r>
        <w:t>[V0.12-4] Atiyah, M. F.; Singer, I. M. The Index of Elliptic Operators I. Annals of Mathematics 87(3), 484-530 (1968). DOI 10.2307/1970715.</w:t>
      </w:r>
    </w:p>
    <w:p>
      <w:pPr/>
      <w:r>
        <w:t>[V0.12-5] Agmon, S.; Douglis, A.; Nirenberg, L. Estimates Near the Boundary for Solutions of Elliptic PDE Satisfying General Boundary Conditions I. CPAM 12(4), 623-727 (1959). DOI 10.1002/cpa.3160120405.</w:t>
      </w:r>
    </w:p>
    <w:p>
      <w:pPr/>
      <w:r>
        <w:t>[V0.12-6] Kato, T. Perturbation Theory for Linear Operators. 2nd ed., Springer, 1995. DOI 10.1007/978-3-642-66282-9.</w:t>
      </w:r>
    </w:p>
    <w:p>
      <w:pPr/>
      <w:r>
        <w:t>[V0.12-7] Cheeger, J. On the Hodge Theory of Riemannian Pseudomanifolds. Proc. Sympos. Pure Math. 36, 91-146 (1980).</w:t>
      </w:r>
    </w:p>
    <w:p>
      <w:pPr/>
      <w:r>
        <w:t>[V0.12-8] Bär, C.; Ballmann, W. Boundary Value Problems for Elliptic Differential Operators of First Order. Surveys in Differential Geometry 17, 1-78 (2012). DOI 10.4310/SDG.2012.v17.n1.a1.</w:t>
      </w:r>
    </w:p>
    <w:p>
      <w:pPr/>
      <w:r>
        <w:t>[V0.12-9] Kurpishev, I. B. Том I v197 RU; Том II T2-RP-v0.1-v0.11.</w:t>
      </w:r>
    </w:p>
    <w:p>
      <w:pPr/>
      <w:r>
        <w:t>Граница новизны. Нельзя называть авторским открытием Hodge decomposition, ellipticity, Fredholm index или спектральную perturbation theory. Авторским является конкретный KLT-RBD/NAPG-контракт, в котором аналитический сертификат связывается с obstruction carriers, проективно-гармонической авторизацией, Evidence-D и трёхзначным выводом NO-TRANSITION / CANDIDATE / ABSTAIN.</w:t>
      </w:r>
    </w:p>
    <w:p>
      <w:bookmarkStart w:id="1075" w:name="h_1938"/>
      <w:pPr>
        <w:pStyle w:val="Heading1"/>
        <w:keepNext/>
      </w:pPr>
      <w:r>
        <w:t>148. Итог главы и контрольная точка T2-RP-v0.12</w:t>
      </w:r>
      <w:bookmarkEnd w:id="1075"/>
    </w:p>
    <w:p>
      <w:bookmarkStart w:id="1832" w:name="f_15_30"/>
      <w:pPr>
        <w:pStyle w:val="Quote"/>
        <w:spacing w:before="60" w:after="100"/>
        <w:jc w:val="center"/>
      </w:pPr>
      <w:r>
        <w:rPr>
          <w:rFonts w:ascii="Liberation Serif" w:hAnsi="Liberation Serif"/>
          <w:i w:val="0"/>
          <w:sz w:val="21"/>
        </w:rPr>
        <w:t>truth_layer_promotion=0; checkpoint=T2-RP-v0.12; next=T2-RP-v0.13.                  (15.30)</w:t>
      </w:r>
      <w:bookmarkEnd w:id="1832"/>
    </w:p>
    <w:p>
      <w:pPr/>
      <w:r>
        <w:t>Глава 15 построила аналитический слой NAPG: от замкнутого Hilbert-комплекса и operator domains до Hodge decomposition, elliptic/Fredholm realization, boundary/interface firewall, spectral gap и harmonic obstruction norm. Главный отрицательный результат состоит в том, что устойчиво ненулевой гармонический класс, отделённый от нуля uniform margin, не может исчезнуть внутри сертифицированной модели без пересечения Hodge-Fredholm горизонта.</w:t>
      </w:r>
    </w:p>
    <w:p>
      <w:pPr>
        <w:pStyle w:val="Lead"/>
      </w:pPr>
      <w:r>
        <w:t>Следующая сборка tom2_v0_13 развивает каноническую главу 16: деформационные функторы, moduli и derived tangent structures, miniversal families, Kuranishi maps, высшие obstruction classes и связь с уже построенным аналитическим Green-оператором.</w:t>
      </w:r>
    </w:p>
    <w:p>
      <w:pPr>
        <w:pStyle w:val="Small"/>
      </w:pPr>
      <w:r>
        <w:t>checkpoint=T2-RP-v0.12; source=T2-RP-v0.11; truth_layer_promotion=0; next=T2-RP-v0.13.</w:t>
      </w:r>
    </w:p>
    <w:p>
      <w:r>
        <w:br w:type="page"/>
      </w:r>
    </w:p>
    <w:p>
      <w:bookmarkStart w:id="1076" w:name="h_1944"/>
      <w:pPr>
        <w:pStyle w:val="Heading1"/>
        <w:keepNext/>
      </w:pPr>
      <w:r>
        <w:t>149. Глава 16. Деформационные функторы, пространства модулей и отображение Кураниши</w:t>
      </w:r>
      <w:bookmarkEnd w:id="1076"/>
    </w:p>
    <w:p>
      <w:pPr>
        <w:pStyle w:val="Lead"/>
        <w:spacing w:after="100"/>
      </w:pPr>
      <w:r>
        <w:t>Глава переводит локальную деформационную теорию NAPG из языка отдельных касательных направлений в язык функторов на артиевых базах, группоидов деформаций и локальных модульных объектов. Основная задача состоит в том, чтобы определить, когда формальный tangent class действительно принадлежит miniversal family, какие высшие препятствия мешают продолжению и как Hodge-Green слой v0.12 строит конечномерную Kuranishi reduction без подмены локального модульного germ физическим прогнозом.</w:t>
      </w:r>
    </w:p>
    <w:tbl>
      <w:tblPr>
        <w:tblStyle w:val="TableGrid"/>
        <w:tblW w:type="auto" w:w="0"/>
        <w:jc w:val="center"/>
        <w:tblLook w:firstColumn="1" w:firstRow="1" w:lastColumn="0" w:lastRow="0" w:noHBand="0" w:noVBand="1" w:val="04A0"/>
      </w:tblPr>
      <w:tblGrid>
        <w:gridCol w:w="2376"/>
        <w:gridCol w:w="7488"/>
      </w:tblGrid>
      <w:tr>
        <w:trPr>
          <w:tblHeader w:val="true"/>
          <w:cantSplit/>
        </w:trPr>
        <w:tc>
          <w:tcPr>
            <w:tcW w:type="dxa" w:w="4876"/>
            <w:vAlign w:val="center"/>
            <w:tcMar>
              <w:top w:w="90" w:type="dxa"/>
              <w:start w:w="110" w:type="dxa"/>
              <w:bottom w:w="90" w:type="dxa"/>
              <w:end w:w="110" w:type="dxa"/>
            </w:tcMar>
            <w:shd w:fill="173b63"/>
          </w:tcPr>
          <w:p>
            <w:pPr>
              <w:jc w:val="center"/>
            </w:pPr>
            <w:r/>
            <w:r>
              <w:rPr>
                <w:b/>
                <w:color w:val="FFFFFF"/>
                <w:sz w:val="20"/>
              </w:rPr>
              <w:t>ОНТОЛОГИЯ</w:t>
            </w:r>
          </w:p>
        </w:tc>
        <w:tc>
          <w:tcPr>
            <w:tcW w:type="dxa" w:w="4876"/>
            <w:vAlign w:val="center"/>
            <w:tcMar>
              <w:top w:w="90" w:type="dxa"/>
              <w:start w:w="110" w:type="dxa"/>
              <w:bottom w:w="90" w:type="dxa"/>
              <w:end w:w="110" w:type="dxa"/>
            </w:tcMar>
            <w:shd w:fill="eef3f8"/>
          </w:tcPr>
          <w:p>
            <w:pPr>
              <w:jc w:val="left"/>
            </w:pPr>
            <w:r/>
            <w:r>
              <w:rPr>
                <w:b w:val="0"/>
                <w:sz w:val="20"/>
              </w:rPr>
              <w:t>Модульный объект описывает не одну структуру, а пространство допустимых способов её изменения с учётом эквивалентностей и автоморфизмов. Его точкой является деформация вместе с происхождением, а не просто набор коэффициентов.</w:t>
            </w:r>
          </w:p>
        </w:tc>
      </w:tr>
      <w:tr>
        <w:trPr>
          <w:cantSplit/>
        </w:trPr>
        <w:tc>
          <w:tcPr>
            <w:tcW w:type="dxa" w:w="4876"/>
            <w:vAlign w:val="center"/>
            <w:tcMar>
              <w:top w:w="90" w:type="dxa"/>
              <w:start w:w="110" w:type="dxa"/>
              <w:bottom w:w="90" w:type="dxa"/>
              <w:end w:w="110" w:type="dxa"/>
            </w:tcMar>
            <w:shd w:fill="173b63"/>
          </w:tcPr>
          <w:p>
            <w:pPr>
              <w:jc w:val="center"/>
            </w:pPr>
            <w:r/>
            <w:r>
              <w:rPr>
                <w:b/>
                <w:color w:val="FFFFFF"/>
                <w:sz w:val="20"/>
              </w:rPr>
              <w:t>ГНОСЕОЛОГИЯ</w:t>
            </w:r>
          </w:p>
        </w:tc>
        <w:tc>
          <w:tcPr>
            <w:tcW w:type="dxa" w:w="4876"/>
            <w:vAlign w:val="center"/>
            <w:tcMar>
              <w:top w:w="90" w:type="dxa"/>
              <w:start w:w="110" w:type="dxa"/>
              <w:bottom w:w="90" w:type="dxa"/>
              <w:end w:w="110" w:type="dxa"/>
            </w:tcMar>
            <w:shd w:fill="eef3f8"/>
          </w:tcPr>
          <w:p>
            <w:pPr>
              <w:jc w:val="left"/>
            </w:pPr>
            <w:r/>
            <w:r>
              <w:rPr>
                <w:b w:val="0"/>
                <w:sz w:val="20"/>
              </w:rPr>
              <w:t>Касательная когомология сообщает только первый порядок. Знание локального будущего требует lifting over small extensions, obstruction classes, сходимости формальной серии и сохранения D/Dom.</w:t>
            </w:r>
          </w:p>
        </w:tc>
      </w:tr>
      <w:tr>
        <w:trPr>
          <w:cantSplit/>
        </w:trPr>
        <w:tc>
          <w:tcPr>
            <w:tcW w:type="dxa" w:w="4876"/>
            <w:vAlign w:val="center"/>
            <w:tcMar>
              <w:top w:w="90" w:type="dxa"/>
              <w:start w:w="110" w:type="dxa"/>
              <w:bottom w:w="90" w:type="dxa"/>
              <w:end w:w="110" w:type="dxa"/>
            </w:tcMar>
            <w:shd w:fill="173b63"/>
          </w:tcPr>
          <w:p>
            <w:pPr>
              <w:jc w:val="center"/>
            </w:pPr>
            <w:r/>
            <w:r>
              <w:rPr>
                <w:b/>
                <w:color w:val="FFFFFF"/>
                <w:sz w:val="20"/>
              </w:rPr>
              <w:t>ФЕНОМЕНОЛОГИЯ</w:t>
            </w:r>
          </w:p>
        </w:tc>
        <w:tc>
          <w:tcPr>
            <w:tcW w:type="dxa" w:w="4876"/>
            <w:vAlign w:val="center"/>
            <w:tcMar>
              <w:top w:w="90" w:type="dxa"/>
              <w:start w:w="110" w:type="dxa"/>
              <w:bottom w:w="90" w:type="dxa"/>
              <w:end w:w="110" w:type="dxa"/>
            </w:tcMar>
            <w:shd w:fill="eef3f8"/>
          </w:tcPr>
          <w:p>
            <w:pPr>
              <w:jc w:val="left"/>
            </w:pPr>
            <w:r/>
            <w:r>
              <w:rPr>
                <w:b w:val="0"/>
                <w:sz w:val="20"/>
              </w:rPr>
              <w:t>Наблюдаемая ветвь семейства возникает как путь в нулевом локусе Kuranishi map. Сингулярность этого локуса выражает конкуренцию допустимых способов продолжения, но не является сама по себе физической катастрофой.</w:t>
            </w:r>
          </w:p>
        </w:tc>
      </w:tr>
      <w:tr>
        <w:trPr>
          <w:cantSplit/>
        </w:trPr>
        <w:tc>
          <w:tcPr>
            <w:tcW w:type="dxa" w:w="4876"/>
            <w:vAlign w:val="center"/>
            <w:tcMar>
              <w:top w:w="90" w:type="dxa"/>
              <w:start w:w="110" w:type="dxa"/>
              <w:bottom w:w="90" w:type="dxa"/>
              <w:end w:w="110" w:type="dxa"/>
            </w:tcMar>
            <w:shd w:fill="a77618"/>
          </w:tcPr>
          <w:p>
            <w:pPr>
              <w:jc w:val="center"/>
            </w:pPr>
            <w:r/>
            <w:r>
              <w:rPr>
                <w:b/>
                <w:color w:val="FFFFFF"/>
                <w:sz w:val="20"/>
              </w:rPr>
              <w:t>ГРАНИЦА</w:t>
            </w:r>
          </w:p>
        </w:tc>
        <w:tc>
          <w:tcPr>
            <w:tcW w:type="dxa" w:w="4876"/>
            <w:vAlign w:val="center"/>
            <w:tcMar>
              <w:top w:w="90" w:type="dxa"/>
              <w:start w:w="110" w:type="dxa"/>
              <w:bottom w:w="90" w:type="dxa"/>
              <w:end w:w="110" w:type="dxa"/>
            </w:tcMar>
            <w:shd w:fill="f8efd9"/>
          </w:tcPr>
          <w:p>
            <w:pPr>
              <w:jc w:val="left"/>
            </w:pPr>
            <w:r/>
            <w:r>
              <w:rPr>
                <w:b w:val="0"/>
                <w:sz w:val="20"/>
              </w:rPr>
              <w:t>Schlessinger hull, DGLA/L_infinity control, Kuranishi map и derived formal moduli применяются только при явно перечисленных гипотезах. Для общей NAPG-операции controlling algebra пока является отдельным доказательным обязательством.</w:t>
            </w:r>
          </w:p>
        </w:tc>
      </w:tr>
    </w:tbl>
    <w:p>
      <w:bookmarkStart w:id="1077" w:name="h_1946"/>
      <w:pPr>
        <w:pStyle w:val="Heading1"/>
        <w:keepNext/>
      </w:pPr>
      <w:r>
        <w:t>150. Категория артиевых баз и деформационный функтор</w:t>
      </w:r>
      <w:bookmarkEnd w:id="1077"/>
    </w:p>
    <w:p>
      <w:pPr>
        <w:spacing w:after="100"/>
      </w:pPr>
      <w:r>
        <w:t>Пусть K - поле характеристики 0, если не оговорено иное. Обозначим через Art_K категорию локальных артиевых K-алгебр A с полем вычетов K и морфизмами, индуцирующими тождество на K. Максимальный идеал обозначается m_A; он нильпотентен.</w:t>
      </w:r>
    </w:p>
    <w:p>
      <w:bookmarkStart w:id="1833" w:name="f_16_1"/>
      <w:pPr>
        <w:pStyle w:val="Quote"/>
        <w:spacing w:before="80" w:after="120"/>
        <w:jc w:val="center"/>
      </w:pPr>
      <w:r>
        <w:t>Art_K = { (A,m_A) : A/m_A ≅ K,  m_A^N=0 для некоторого N }.                       (16.1)</w:t>
      </w:r>
      <w:bookmarkEnd w:id="1833"/>
    </w:p>
    <w:p>
      <w:bookmarkStart w:id="1614" w:name="s_DEF_16_1"/>
      <w:pPr>
        <w:spacing w:after="100"/>
      </w:pPr>
      <w:r>
        <w:t>Определение 16.1 (NAPG deformation groupoid). Для фиксированного кадра N деформационный группоид Def_N(A) состоит из NAPG-структур N_A над A, редукция которых по A→K изоморфна N, и изоморфизмов над A, тождественных на специальном слое. При забывании автоморфизмов возникает set-valued functor π_0Def_N, но именно группоид хранит стабилизаторы.</w:t>
      </w:r>
      <w:bookmarkEnd w:id="1614"/>
    </w:p>
    <w:p>
      <w:bookmarkStart w:id="1834" w:name="f_16_2"/>
      <w:pPr>
        <w:pStyle w:val="Quote"/>
        <w:spacing w:before="80" w:after="120"/>
        <w:jc w:val="center"/>
      </w:pPr>
      <w:r>
        <w:t>Def_N : Art_K → Gpd,      F_N = π_0 Def_N : Art_K → Set.                     (16.2)</w:t>
      </w:r>
      <w:bookmarkEnd w:id="1834"/>
    </w:p>
    <w:p>
      <w:pPr>
        <w:spacing w:after="100"/>
      </w:pPr>
      <w:r>
        <w:t>Функториальность означает, что morphism A→B задаёт base change N_A⊗_A B. Для частичных операций дополнительно требуется, чтобы Dom_⊙, Evidence-D, градуировка и выбранные obstruction carriers переносились совместимо.</w:t>
      </w:r>
    </w:p>
    <w:p>
      <w:pPr>
        <w:jc w:val="center"/>
      </w:pPr>
      <w:r>
        <w:drawing>
          <wp:inline xmlns:a="http://schemas.openxmlformats.org/drawingml/2006/main" xmlns:pic="http://schemas.openxmlformats.org/drawingml/2006/picture">
            <wp:extent cx="6035040" cy="2833845"/>
            <wp:docPr id="39" name="Picture 39" descr="Рисунок 16.1. Деформационный функтор NAPG и три уровня локального модульного объекта. Собственная схема Тома II." title="Рисунок 16.1. Деформационный функтор NAPG и три уровня локального модульного объекта. Собственная схема Тома II."/>
            <wp:cNvGraphicFramePr>
              <a:graphicFrameLocks noChangeAspect="1"/>
            </wp:cNvGraphicFramePr>
            <a:graphic>
              <a:graphicData uri="http://schemas.openxmlformats.org/drawingml/2006/picture">
                <pic:pic>
                  <pic:nvPicPr>
                    <pic:cNvPr id="0" name="fig16_1.png" descr="Рисунок 16.1. Деформационный функтор NAPG и три уровня локального модульного объекта. Собственная схема Тома II." title="Рисунок 16.1. Деформационный функтор NAPG и три уровня локального модульного объекта. Собственная схема Тома II."/>
                    <pic:cNvPicPr/>
                  </pic:nvPicPr>
                  <pic:blipFill>
                    <a:blip r:embed="rId68"/>
                    <a:stretch>
                      <a:fillRect/>
                    </a:stretch>
                  </pic:blipFill>
                  <pic:spPr>
                    <a:xfrm>
                      <a:off x="0" y="0"/>
                      <a:ext cx="6035040" cy="2833845"/>
                    </a:xfrm>
                    <a:prstGeom prst="rect"/>
                  </pic:spPr>
                </pic:pic>
              </a:graphicData>
            </a:graphic>
          </wp:inline>
        </w:drawing>
      </w:r>
    </w:p>
    <w:p>
      <w:pPr>
        <w:pStyle w:val="Caption"/>
        <w:keepNext/>
        <w:jc w:val="center"/>
      </w:pPr>
      <w:r>
        <w:t>Рисунок 16.1. Деформационный функтор NAPG и три уровня локального модульного объекта. Собственная схема Тома II.</w:t>
      </w:r>
    </w:p>
    <w:p>
      <w:bookmarkStart w:id="1078" w:name="h_1954"/>
      <w:pPr>
        <w:pStyle w:val="Heading1"/>
        <w:keepNext/>
      </w:pPr>
      <w:r>
        <w:t>151. Малые расширения и локальная задача подъёма</w:t>
      </w:r>
      <w:bookmarkEnd w:id="1078"/>
    </w:p>
    <w:p>
      <w:pPr>
        <w:spacing w:after="100"/>
      </w:pPr>
      <w:r>
        <w:t>Малым расширением называется сюръекция A′→A в Art_K с ядром I, для которого m_{A′}I=0. Тогда I является конечномерным K-векторным пространством, а задача подъёма деформации ξ_A состоит в построении ξ_{A′}, редуцирующейся к ξ_A.</w:t>
      </w:r>
    </w:p>
    <w:p>
      <w:bookmarkStart w:id="1835" w:name="f_16_3"/>
      <w:pPr>
        <w:pStyle w:val="Quote"/>
        <w:spacing w:before="80" w:after="120"/>
        <w:jc w:val="center"/>
      </w:pPr>
      <w:r>
        <w:t>0 → I → A′ → A → 0,       m_{A′} I = 0.                                      (16.3)</w:t>
      </w:r>
      <w:bookmarkEnd w:id="1835"/>
    </w:p>
    <w:p>
      <w:bookmarkStart w:id="1615" w:name="s_DEF_16_2"/>
      <w:pPr>
        <w:spacing w:after="100"/>
      </w:pPr>
      <w:r>
        <w:t>Определение 16.2 (полная линейная obstruction theory). Тройка пространств (H_N^1,H_N^2,H_N^3) задаёт полную локальную obstruction theory, если для каждого малого расширения и ξ_A существуют:</w:t>
      </w:r>
      <w:bookmarkEnd w:id="1615"/>
    </w:p>
    <w:p>
      <w:pPr>
        <w:pStyle w:val="ListBullet"/>
      </w:pPr>
      <w:r>
        <w:t>класс препятствия ob(ξ_A,A′)∈H_N^3⊗I, функториальный по morphisms малых расширений;</w:t>
      </w:r>
    </w:p>
    <w:p>
      <w:pPr>
        <w:pStyle w:val="ListBullet"/>
      </w:pPr>
      <w:r>
        <w:t>эквивалентность ob=0 тогда и только тогда, когда lift существует;</w:t>
      </w:r>
    </w:p>
    <w:p>
      <w:pPr>
        <w:pStyle w:val="ListBullet"/>
      </w:pPr>
      <w:r>
        <w:t>при ob=0 множество классов lifts является торсором над H_N^2⊗I;</w:t>
      </w:r>
    </w:p>
    <w:p>
      <w:pPr>
        <w:pStyle w:val="ListBullet"/>
      </w:pPr>
      <w:r>
        <w:t>группа инфинитезимальных автоморфизмов каждого lift содержит естественное действие H_N^1⊗I, а при полноте совпадает с ним.</w:t>
      </w:r>
    </w:p>
    <w:p>
      <w:pPr>
        <w:spacing w:after="100"/>
      </w:pPr>
      <w:r>
        <w:t>Эта схема не выводится из одного комплекса автоматически. Она является контрактом, который должен быть доказан либо получен из controlling L_infinity algebra.</w:t>
      </w:r>
    </w:p>
    <w:p>
      <w:bookmarkStart w:id="1079" w:name="h_1963"/>
      <w:pPr>
        <w:pStyle w:val="Heading1"/>
        <w:keepNext/>
      </w:pPr>
      <w:r>
        <w:t>152. Условия Шлессингера и существование hull</w:t>
      </w:r>
      <w:bookmarkEnd w:id="1079"/>
    </w:p>
    <w:p>
      <w:pPr>
        <w:spacing w:after="100"/>
      </w:pPr>
      <w:r>
        <w:t>Для set-valued functor F с F(K)=* рассмотрим каноническую карту для диаграммы A′→A←A″:</w:t>
      </w:r>
    </w:p>
    <w:p>
      <w:bookmarkStart w:id="1836" w:name="f_16_4"/>
      <w:pPr>
        <w:pStyle w:val="Quote"/>
        <w:spacing w:before="80" w:after="120"/>
        <w:jc w:val="center"/>
      </w:pPr>
      <w:r>
        <w:t>F(A′×_A A″) → F(A′) ×_{F(A)} F(A″).                                           (16.4)</w:t>
      </w:r>
      <w:bookmarkEnd w:id="1836"/>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1440"/>
            <w:vAlign w:val="center"/>
            <w:tcMar>
              <w:top w:w="90" w:type="dxa"/>
              <w:start w:w="110" w:type="dxa"/>
              <w:bottom w:w="90" w:type="dxa"/>
              <w:end w:w="110" w:type="dxa"/>
            </w:tcMar>
            <w:shd w:fill="173b63"/>
          </w:tcPr>
          <w:p>
            <w:pPr>
              <w:jc w:val="center"/>
            </w:pPr>
            <w:r/>
            <w:r>
              <w:rPr>
                <w:b/>
                <w:color w:val="FFFFFF"/>
                <w:sz w:val="18"/>
              </w:rPr>
              <w:t>Условие</w:t>
            </w:r>
          </w:p>
        </w:tc>
        <w:tc>
          <w:tcPr>
            <w:tcW w:type="dxa" w:w="5184"/>
            <w:vAlign w:val="center"/>
            <w:tcMar>
              <w:top w:w="90" w:type="dxa"/>
              <w:start w:w="110" w:type="dxa"/>
              <w:bottom w:w="90" w:type="dxa"/>
              <w:end w:w="110" w:type="dxa"/>
            </w:tcMar>
            <w:shd w:fill="173b63"/>
          </w:tcPr>
          <w:p>
            <w:pPr>
              <w:jc w:val="center"/>
            </w:pPr>
            <w:r/>
            <w:r>
              <w:rPr>
                <w:b/>
                <w:color w:val="FFFFFF"/>
                <w:sz w:val="18"/>
              </w:rPr>
              <w:t>Точная роль</w:t>
            </w:r>
          </w:p>
        </w:tc>
        <w:tc>
          <w:tcPr>
            <w:tcW w:type="dxa" w:w="2304"/>
            <w:vAlign w:val="center"/>
            <w:tcMar>
              <w:top w:w="90" w:type="dxa"/>
              <w:start w:w="110" w:type="dxa"/>
              <w:bottom w:w="90" w:type="dxa"/>
              <w:end w:w="110" w:type="dxa"/>
            </w:tcMar>
            <w:shd w:fill="173b63"/>
          </w:tcPr>
          <w:p>
            <w:pPr>
              <w:jc w:val="center"/>
            </w:pPr>
            <w:r/>
            <w:r>
              <w:rPr>
                <w:b/>
                <w:color w:val="FFFFFF"/>
                <w:sz w:val="18"/>
              </w:rPr>
              <w:t>Статус для NAPG</w:t>
            </w:r>
          </w:p>
        </w:tc>
      </w:tr>
      <w:tr>
        <w:trPr>
          <w:cantSplit/>
        </w:trPr>
        <w:tc>
          <w:tcPr>
            <w:tcW w:type="dxa" w:w="1440"/>
            <w:vAlign w:val="center"/>
            <w:tcMar>
              <w:top w:w="90" w:type="dxa"/>
              <w:start w:w="110" w:type="dxa"/>
              <w:bottom w:w="90" w:type="dxa"/>
              <w:end w:w="110" w:type="dxa"/>
            </w:tcMar>
          </w:tcPr>
          <w:p>
            <w:pPr>
              <w:jc w:val="center"/>
            </w:pPr>
            <w:r/>
            <w:r>
              <w:rPr>
                <w:b w:val="0"/>
                <w:sz w:val="16"/>
              </w:rPr>
              <w:t>H1</w:t>
            </w:r>
          </w:p>
        </w:tc>
        <w:tc>
          <w:tcPr>
            <w:tcW w:type="dxa" w:w="5184"/>
            <w:vAlign w:val="center"/>
            <w:tcMar>
              <w:top w:w="90" w:type="dxa"/>
              <w:start w:w="110" w:type="dxa"/>
              <w:bottom w:w="90" w:type="dxa"/>
              <w:end w:w="110" w:type="dxa"/>
            </w:tcMar>
          </w:tcPr>
          <w:p>
            <w:pPr>
              <w:jc w:val="left"/>
            </w:pPr>
            <w:r/>
            <w:r>
              <w:rPr>
                <w:b w:val="0"/>
                <w:sz w:val="16"/>
              </w:rPr>
              <w:t>Карта (16.4) сюръективна, когда A″→A является малым расширением.</w:t>
            </w:r>
          </w:p>
        </w:tc>
        <w:tc>
          <w:tcPr>
            <w:tcW w:type="dxa" w:w="2304"/>
            <w:vAlign w:val="center"/>
            <w:tcMar>
              <w:top w:w="90" w:type="dxa"/>
              <w:start w:w="110" w:type="dxa"/>
              <w:bottom w:w="90" w:type="dxa"/>
              <w:end w:w="110" w:type="dxa"/>
            </w:tcMar>
          </w:tcPr>
          <w:p>
            <w:pPr>
              <w:jc w:val="center"/>
            </w:pPr>
            <w:r/>
            <w:r>
              <w:rPr>
                <w:b w:val="0"/>
                <w:sz w:val="16"/>
              </w:rPr>
              <w:t>OPEN/CTRL</w:t>
            </w:r>
          </w:p>
        </w:tc>
      </w:tr>
      <w:tr>
        <w:trPr>
          <w:cantSplit/>
        </w:trPr>
        <w:tc>
          <w:tcPr>
            <w:tcW w:type="dxa" w:w="1440"/>
            <w:vAlign w:val="center"/>
            <w:tcMar>
              <w:top w:w="90" w:type="dxa"/>
              <w:start w:w="110" w:type="dxa"/>
              <w:bottom w:w="90" w:type="dxa"/>
              <w:end w:w="110" w:type="dxa"/>
            </w:tcMar>
          </w:tcPr>
          <w:p>
            <w:pPr>
              <w:jc w:val="center"/>
            </w:pPr>
            <w:r/>
            <w:r>
              <w:rPr>
                <w:b w:val="0"/>
                <w:sz w:val="16"/>
              </w:rPr>
              <w:t>H2</w:t>
            </w:r>
          </w:p>
        </w:tc>
        <w:tc>
          <w:tcPr>
            <w:tcW w:type="dxa" w:w="5184"/>
            <w:vAlign w:val="center"/>
            <w:tcMar>
              <w:top w:w="90" w:type="dxa"/>
              <w:start w:w="110" w:type="dxa"/>
              <w:bottom w:w="90" w:type="dxa"/>
              <w:end w:w="110" w:type="dxa"/>
            </w:tcMar>
          </w:tcPr>
          <w:p>
            <w:pPr>
              <w:jc w:val="left"/>
            </w:pPr>
            <w:r/>
            <w:r>
              <w:rPr>
                <w:b w:val="0"/>
                <w:sz w:val="16"/>
              </w:rPr>
              <w:t>Карта (16.4) биективна при A=K и A″=K[ε]/(ε²).</w:t>
            </w:r>
          </w:p>
        </w:tc>
        <w:tc>
          <w:tcPr>
            <w:tcW w:type="dxa" w:w="2304"/>
            <w:vAlign w:val="center"/>
            <w:tcMar>
              <w:top w:w="90" w:type="dxa"/>
              <w:start w:w="110" w:type="dxa"/>
              <w:bottom w:w="90" w:type="dxa"/>
              <w:end w:w="110" w:type="dxa"/>
            </w:tcMar>
          </w:tcPr>
          <w:p>
            <w:pPr>
              <w:jc w:val="center"/>
            </w:pPr>
            <w:r/>
            <w:r>
              <w:rPr>
                <w:b w:val="0"/>
                <w:sz w:val="16"/>
              </w:rPr>
              <w:t>OPEN/CTRL</w:t>
            </w:r>
          </w:p>
        </w:tc>
      </w:tr>
      <w:tr>
        <w:trPr>
          <w:cantSplit/>
        </w:trPr>
        <w:tc>
          <w:tcPr>
            <w:tcW w:type="dxa" w:w="1440"/>
            <w:vAlign w:val="center"/>
            <w:tcMar>
              <w:top w:w="90" w:type="dxa"/>
              <w:start w:w="110" w:type="dxa"/>
              <w:bottom w:w="90" w:type="dxa"/>
              <w:end w:w="110" w:type="dxa"/>
            </w:tcMar>
          </w:tcPr>
          <w:p>
            <w:pPr>
              <w:jc w:val="center"/>
            </w:pPr>
            <w:r/>
            <w:r>
              <w:rPr>
                <w:b w:val="0"/>
                <w:sz w:val="16"/>
              </w:rPr>
              <w:t>H3</w:t>
            </w:r>
          </w:p>
        </w:tc>
        <w:tc>
          <w:tcPr>
            <w:tcW w:type="dxa" w:w="5184"/>
            <w:vAlign w:val="center"/>
            <w:tcMar>
              <w:top w:w="90" w:type="dxa"/>
              <w:start w:w="110" w:type="dxa"/>
              <w:bottom w:w="90" w:type="dxa"/>
              <w:end w:w="110" w:type="dxa"/>
            </w:tcMar>
          </w:tcPr>
          <w:p>
            <w:pPr>
              <w:jc w:val="left"/>
            </w:pPr>
            <w:r/>
            <w:r>
              <w:rPr>
                <w:b w:val="0"/>
                <w:sz w:val="16"/>
              </w:rPr>
              <w:t>Касательное пространство t_F=F(K[ε]) конечномерно.</w:t>
            </w:r>
          </w:p>
        </w:tc>
        <w:tc>
          <w:tcPr>
            <w:tcW w:type="dxa" w:w="2304"/>
            <w:vAlign w:val="center"/>
            <w:tcMar>
              <w:top w:w="90" w:type="dxa"/>
              <w:start w:w="110" w:type="dxa"/>
              <w:bottom w:w="90" w:type="dxa"/>
              <w:end w:w="110" w:type="dxa"/>
            </w:tcMar>
          </w:tcPr>
          <w:p>
            <w:pPr>
              <w:jc w:val="center"/>
            </w:pPr>
            <w:r/>
            <w:r>
              <w:rPr>
                <w:b w:val="0"/>
                <w:sz w:val="16"/>
              </w:rPr>
              <w:t>COND-FD</w:t>
            </w:r>
          </w:p>
        </w:tc>
      </w:tr>
      <w:tr>
        <w:trPr>
          <w:cantSplit/>
        </w:trPr>
        <w:tc>
          <w:tcPr>
            <w:tcW w:type="dxa" w:w="1440"/>
            <w:vAlign w:val="center"/>
            <w:tcMar>
              <w:top w:w="90" w:type="dxa"/>
              <w:start w:w="110" w:type="dxa"/>
              <w:bottom w:w="90" w:type="dxa"/>
              <w:end w:w="110" w:type="dxa"/>
            </w:tcMar>
          </w:tcPr>
          <w:p>
            <w:pPr>
              <w:jc w:val="center"/>
            </w:pPr>
            <w:r/>
            <w:r>
              <w:rPr>
                <w:b w:val="0"/>
                <w:sz w:val="16"/>
              </w:rPr>
              <w:t>H4</w:t>
            </w:r>
          </w:p>
        </w:tc>
        <w:tc>
          <w:tcPr>
            <w:tcW w:type="dxa" w:w="5184"/>
            <w:vAlign w:val="center"/>
            <w:tcMar>
              <w:top w:w="90" w:type="dxa"/>
              <w:start w:w="110" w:type="dxa"/>
              <w:bottom w:w="90" w:type="dxa"/>
              <w:end w:w="110" w:type="dxa"/>
            </w:tcMar>
          </w:tcPr>
          <w:p>
            <w:pPr>
              <w:jc w:val="left"/>
            </w:pPr>
            <w:r/>
            <w:r>
              <w:rPr>
                <w:b w:val="0"/>
                <w:sz w:val="16"/>
              </w:rPr>
              <w:t>Карта (16.4) биективна для A′=A″ и малого расширения A′→A.</w:t>
            </w:r>
          </w:p>
        </w:tc>
        <w:tc>
          <w:tcPr>
            <w:tcW w:type="dxa" w:w="2304"/>
            <w:vAlign w:val="center"/>
            <w:tcMar>
              <w:top w:w="90" w:type="dxa"/>
              <w:start w:w="110" w:type="dxa"/>
              <w:bottom w:w="90" w:type="dxa"/>
              <w:end w:w="110" w:type="dxa"/>
            </w:tcMar>
          </w:tcPr>
          <w:p>
            <w:pPr>
              <w:jc w:val="center"/>
            </w:pPr>
            <w:r/>
            <w:r>
              <w:rPr>
                <w:b w:val="0"/>
                <w:sz w:val="16"/>
              </w:rPr>
              <w:t>OPEN/PROREP</w:t>
            </w:r>
          </w:p>
        </w:tc>
      </w:tr>
    </w:tbl>
    <w:p>
      <w:bookmarkStart w:id="1616" w:name="s_THM_16_3"/>
      <w:pPr>
        <w:spacing w:after="100"/>
      </w:pPr>
      <w:r>
        <w:t>Теорема 16.3 (Schlessinger package, применённый условно). Если F удовлетворяет H1-H3, то F имеет hull: существует complete local K-algebra R и smooth natural transformation h_R→F, индуцирующая изоморфизм tangent spaces. Если дополнительно выполнено H4, F prorepresentable. Для groupoid-valued задач эти условия требуют стековой или derived модификации.</w:t>
      </w:r>
      <w:bookmarkEnd w:id="1616"/>
    </w:p>
    <w:p>
      <w:pPr>
        <w:spacing w:after="100"/>
      </w:pPr>
      <w:r>
        <w:t>В NAPG конечномерность tangent space следует только в конечномерном или Fredholm-редуцированном секторе. Поэтому H3 не переносится на произвольную бесконечномерную модель без дополнительных compactness и gauge-fixing гипотез.</w:t>
      </w:r>
    </w:p>
    <w:p>
      <w:bookmarkStart w:id="1080" w:name="h_1968"/>
      <w:pPr>
        <w:pStyle w:val="Heading1"/>
        <w:keepNext/>
      </w:pPr>
      <w:r>
        <w:t>153. Versal, miniversal и universal: запрет терминологической подмены</w:t>
      </w:r>
      <w:bookmarkEnd w:id="1080"/>
    </w:p>
    <w:p>
      <w:pPr>
        <w:spacing w:after="100"/>
      </w:pPr>
      <w:r>
        <w:t>Пусть (S,0) - формальный или аналитический germ, а N_S - семейство деформаций. Оно называется versal, если всякая малая деформация индуцируется из него после некоторого base map. Оно miniversal, если дополнительно дифференциал base map единственен в первом порядке и dim T_0S минимальна. Universal family требует единственности самого base map.</w:t>
      </w:r>
    </w:p>
    <w:p>
      <w:bookmarkStart w:id="1837" w:name="f_16_5"/>
      <w:pPr>
        <w:pStyle w:val="Quote"/>
        <w:spacing w:before="80" w:after="120"/>
        <w:jc w:val="center"/>
      </w:pPr>
      <w:r>
        <w:t>universal ⇒ miniversal ⇒ versal,      обратные импликации неверны.            (16.5)</w:t>
      </w:r>
      <w:bookmarkEnd w:id="1837"/>
    </w:p>
    <w:p>
      <w:pPr>
        <w:spacing w:after="100"/>
      </w:pPr>
      <w:r>
        <w:t>Наличие нетривиальных автоморфизмов обычно разрушает универсальность, не разрушая miniversality. Поэтому локальный модульный объект NAPG следует хранить как группоид или stack germ, а не только как множество точек.</w:t>
      </w:r>
    </w:p>
    <w:p>
      <w:bookmarkStart w:id="1081" w:name="h_1972"/>
      <w:pPr>
        <w:pStyle w:val="Heading1"/>
        <w:keepNext/>
      </w:pPr>
      <w:r>
        <w:t>154. Трёхчленный деформационный комплекс и derived tangent</w:t>
      </w:r>
      <w:bookmarkEnd w:id="1081"/>
    </w:p>
    <w:p>
      <w:pPr>
        <w:spacing w:after="100"/>
      </w:pPr>
      <w:r>
        <w:t>Используется комплекс, согласованный с предыдущими главами:</w:t>
      </w:r>
    </w:p>
    <w:p>
      <w:bookmarkStart w:id="1838" w:name="f_16_6"/>
      <w:pPr>
        <w:pStyle w:val="Quote"/>
        <w:spacing w:before="80" w:after="120"/>
        <w:jc w:val="center"/>
      </w:pPr>
      <w:r>
        <w:t>C_N^1 ─d_N^1→ C_N^2 ─d_N^2→ C_N^3,       d_N^2 d_N^1 = 0.                    (16.6)</w:t>
      </w:r>
      <w:bookmarkEnd w:id="1838"/>
    </w:p>
    <w:p>
      <w:pPr>
        <w:spacing w:after="100"/>
      </w:pPr>
      <w:r>
        <w:t>Его когомологии имеют проектную интерпретацию:</w:t>
      </w:r>
    </w:p>
    <w:p>
      <w:bookmarkStart w:id="1839" w:name="f_16_7"/>
      <w:pPr>
        <w:pStyle w:val="Quote"/>
        <w:spacing w:before="80" w:after="120"/>
        <w:jc w:val="center"/>
      </w:pPr>
      <w:r>
        <w:t>H_N^1 = infinitesimal automorphisms,   H_N^2 = tangent classes,   H_N^3 = primary obstructions.  (16.7)</w:t>
      </w:r>
      <w:bookmarkEnd w:id="1839"/>
    </w:p>
    <w:p>
      <w:pPr>
        <w:spacing w:after="100"/>
      </w:pPr>
      <w:r>
        <w:t>Для сопоставления с derived geometry вводится controlling shift g_N=C_N[1], то есть g_N^j=C_N^{j+1}. Тогда derived tangent complex определяется как T_N^der=g_N[1], и</w:t>
      </w:r>
    </w:p>
    <w:p>
      <w:bookmarkStart w:id="1840" w:name="f_16_8"/>
      <w:pPr>
        <w:pStyle w:val="Quote"/>
        <w:spacing w:before="80" w:after="120"/>
        <w:jc w:val="center"/>
      </w:pPr>
      <w:r>
        <w:t>H^{-1}(T_N^der)=H_N^1,   H^0(T_N^der)=H_N^2,   H^1(T_N^der)=H_N^3.             (16.8)</w:t>
      </w:r>
      <w:bookmarkEnd w:id="1840"/>
    </w:p>
    <w:p>
      <w:pPr>
        <w:spacing w:after="100"/>
      </w:pPr>
      <w:r>
        <w:t>Отрицательные степени хранят stabilizer directions, нулевая степень - деформации, положительные - препятствия. Coarse tangent space H_N^2 теряет H_N^1 и потому не является полной локальной моделью moduli problem.</w:t>
      </w:r>
    </w:p>
    <w:p>
      <w:bookmarkStart w:id="1082" w:name="h_1980"/>
      <w:pPr>
        <w:pStyle w:val="Heading1"/>
        <w:keepNext/>
      </w:pPr>
      <w:r>
        <w:t>155. Контролирующая L_infinity-гипотеза</w:t>
      </w:r>
      <w:bookmarkEnd w:id="1082"/>
    </w:p>
    <w:p>
      <w:pPr>
        <w:spacing w:after="100"/>
      </w:pPr>
      <w:r>
        <w:t>Гипотеза CTRL-16.1. Для выбранного класса NAPG-структур существует полная фильтрованная L_infinity-алгебра</w:t>
      </w:r>
    </w:p>
    <w:p>
      <w:bookmarkStart w:id="1841" w:name="f_16_9"/>
      <w:pPr>
        <w:pStyle w:val="Quote"/>
        <w:spacing w:before="80" w:after="120"/>
        <w:jc w:val="center"/>
      </w:pPr>
      <w:r>
        <w:t>g_N=(g_N,l_1,l_2,l_3,...)                                                     (16.9)</w:t>
      </w:r>
      <w:bookmarkEnd w:id="1841"/>
    </w:p>
    <w:p>
      <w:pPr>
        <w:spacing w:after="100"/>
      </w:pPr>
      <w:r>
        <w:t>и естественная эквивалентность группоидов Def_N(A) с Maurer-Cartan groupoid g_N⊗m_A для всех A∈Art_K. Полнота фильтрации обеспечивает конечность каждой MC-суммы на артиевой базе.</w:t>
      </w:r>
    </w:p>
    <w:p>
      <w:bookmarkStart w:id="1842" w:name="f_16_10"/>
      <w:pPr>
        <w:pStyle w:val="Quote"/>
        <w:spacing w:before="80" w:after="120"/>
        <w:jc w:val="center"/>
      </w:pPr>
      <w:r>
        <w:t>MC_N(A)={α∈g_N^1⊗m_A : Σ_{n≥1}(1/n!) l_n(α,...,α)=0 }.                         (16.10)</w:t>
      </w:r>
      <w:bookmarkEnd w:id="1842"/>
    </w:p>
    <w:p>
      <w:pPr>
        <w:spacing w:after="100"/>
      </w:pPr>
      <w:r>
        <w:t>В проектной нумерации g_N^1=C_N^2, поэтому MC-параметр является вариацией бинарной операции или полного NAPG-кадра. Gauge action задаётся degree-zero частью g_N^0=C_N^1. Для общей частичной операции ⊙ существование такой g_N не предполагается без доказательства: оно включено в T2-PO-176.</w:t>
      </w:r>
    </w:p>
    <w:p>
      <w:bookmarkStart w:id="1083" w:name="h_1986"/>
      <w:pPr>
        <w:pStyle w:val="Heading1"/>
        <w:keepNext/>
      </w:pPr>
      <w:r>
        <w:t>156. Lifting theorem из Maurer-Cartan equation</w:t>
      </w:r>
      <w:bookmarkEnd w:id="1083"/>
    </w:p>
    <w:p>
      <w:bookmarkStart w:id="1617" w:name="s_THM_16_4"/>
      <w:pPr>
        <w:spacing w:after="100"/>
      </w:pPr>
      <w:r>
        <w:t>Теорема 16.4 (малое расширение, условная форма). Пусть CTRL-16.1 выполнена, A′→A - малое расширение с ядром I, а α_A∈MC_N(A). Выберем lift α̃∈g_N^1⊗m_{A′}. Его curvature</w:t>
      </w:r>
      <w:bookmarkEnd w:id="1617"/>
    </w:p>
    <w:p>
      <w:bookmarkStart w:id="1843" w:name="f_16_11"/>
      <w:pPr>
        <w:pStyle w:val="Quote"/>
        <w:spacing w:before="80" w:after="120"/>
        <w:jc w:val="center"/>
      </w:pPr>
      <w:r>
        <w:t>F(α̃)=Σ_{n≥1}(1/n!)l_n(α̃^n) ∈ g_N^2⊗I                                  (16.11)</w:t>
      </w:r>
      <w:bookmarkEnd w:id="1843"/>
    </w:p>
    <w:p>
      <w:pPr>
        <w:spacing w:after="100"/>
      </w:pPr>
      <w:r>
        <w:t>является l_1-циклом, а его класс в H^2(g_N)⊗I=H_N^3⊗I не зависит от выбранного lift. Он равен obstruction class. Класс исчезает тогда и только тогда, когда α_A допускает MC-lift; множество lifts modulo gauge является торсором над H^1(g_N)⊗I=H_N^2⊗I.</w:t>
      </w:r>
    </w:p>
    <w:p>
      <w:pPr>
        <w:spacing w:after="100"/>
      </w:pPr>
      <w:r>
        <w:t>Доказательство использует L_infinity identities и условие m_{A′}I=0, уничтожающее нелинейные члены, содержащие поправку дважды. Это стандартный механизм, но его перенос на NAPG зависит от CTRL-16.1.</w:t>
      </w:r>
    </w:p>
    <w:p>
      <w:bookmarkStart w:id="1084" w:name="h_1991"/>
      <w:pPr>
        <w:pStyle w:val="Heading1"/>
        <w:keepNext/>
      </w:pPr>
      <w:r>
        <w:t>157. Hodge-Green contraction data</w:t>
      </w:r>
      <w:bookmarkEnd w:id="1084"/>
    </w:p>
    <w:p>
      <w:pPr>
        <w:spacing w:after="100"/>
      </w:pPr>
      <w:r>
        <w:t>Глава 15 построила Green-оператор для Fredholm Hodge-реализации. Для controlling complex требуется совместимый contraction datum</w:t>
      </w:r>
    </w:p>
    <w:p>
      <w:bookmarkStart w:id="1844" w:name="f_16_12"/>
      <w:pPr>
        <w:pStyle w:val="Quote"/>
        <w:spacing w:before="80" w:after="120"/>
        <w:jc w:val="center"/>
      </w:pPr>
      <w:r>
        <w:t>(H(g_N),0) ─i→ (g_N,l_1) ─p→ (H(g_N),0),     id-ip=l_1h+hl_1.                 (16.12)</w:t>
      </w:r>
      <w:bookmarkEnd w:id="1844"/>
    </w:p>
    <w:p>
      <w:pPr>
        <w:spacing w:after="100"/>
      </w:pPr>
      <w:r>
        <w:t>В Hodge gauge выбираются</w:t>
      </w:r>
    </w:p>
    <w:p>
      <w:bookmarkStart w:id="1845" w:name="f_16_13"/>
      <w:pPr>
        <w:pStyle w:val="Quote"/>
        <w:spacing w:before="80" w:after="120"/>
        <w:jc w:val="center"/>
      </w:pPr>
      <w:r>
        <w:t>p=P_H,      i=harmonic inclusion,      h=l_1^* G.                              (16.13)</w:t>
      </w:r>
      <w:bookmarkEnd w:id="1845"/>
    </w:p>
    <w:p>
      <w:pPr>
        <w:spacing w:after="100"/>
      </w:pPr>
      <w:r>
        <w:t>Равенство (16.12) следует из Hodge decomposition при closed range и корректных domains. Однако для использования в L_infinity-рекурсии нужны дополнительные условия: h должен сохранять фильтрацию и допустимые NAPG-секторы; bracket maps должны быть определены на образах h; multilinear estimates должны обеспечивать сходимость.</w:t>
      </w:r>
    </w:p>
    <w:p>
      <w:pPr>
        <w:jc w:val="center"/>
      </w:pPr>
      <w:r>
        <w:drawing>
          <wp:inline xmlns:a="http://schemas.openxmlformats.org/drawingml/2006/main" xmlns:pic="http://schemas.openxmlformats.org/drawingml/2006/picture">
            <wp:extent cx="6035040" cy="3440507"/>
            <wp:docPr id="40" name="Picture 40" descr="Рисунок 16.2. Hodge-Green contraction и построение отображения Кураниши. Собственная схема Тома II." title="Рисунок 16.2. Hodge-Green contraction и построение отображения Кураниши. Собственная схема Тома II."/>
            <wp:cNvGraphicFramePr>
              <a:graphicFrameLocks noChangeAspect="1"/>
            </wp:cNvGraphicFramePr>
            <a:graphic>
              <a:graphicData uri="http://schemas.openxmlformats.org/drawingml/2006/picture">
                <pic:pic>
                  <pic:nvPicPr>
                    <pic:cNvPr id="0" name="fig16_2.png" descr="Рисунок 16.2. Hodge-Green contraction и построение отображения Кураниши. Собственная схема Тома II." title="Рисунок 16.2. Hodge-Green contraction и построение отображения Кураниши. Собственная схема Тома II."/>
                    <pic:cNvPicPr/>
                  </pic:nvPicPr>
                  <pic:blipFill>
                    <a:blip r:embed="rId69"/>
                    <a:stretch>
                      <a:fillRect/>
                    </a:stretch>
                  </pic:blipFill>
                  <pic:spPr>
                    <a:xfrm>
                      <a:off x="0" y="0"/>
                      <a:ext cx="6035040" cy="3440507"/>
                    </a:xfrm>
                    <a:prstGeom prst="rect"/>
                  </pic:spPr>
                </pic:pic>
              </a:graphicData>
            </a:graphic>
          </wp:inline>
        </w:drawing>
      </w:r>
    </w:p>
    <w:p>
      <w:pPr>
        <w:pStyle w:val="Caption"/>
        <w:keepNext/>
        <w:jc w:val="center"/>
      </w:pPr>
      <w:r>
        <w:t>Рисунок 16.2. Hodge-Green contraction и построение отображения Кураниши. Собственная схема Тома II.</w:t>
      </w:r>
    </w:p>
    <w:p>
      <w:bookmarkStart w:id="1085" w:name="h_1999"/>
      <w:pPr>
        <w:pStyle w:val="Heading1"/>
        <w:keepNext/>
      </w:pPr>
      <w:r>
        <w:t>158. Рекурсия Кураниши</w:t>
      </w:r>
      <w:bookmarkEnd w:id="1085"/>
    </w:p>
    <w:p>
      <w:pPr>
        <w:spacing w:after="100"/>
      </w:pPr>
      <w:r>
        <w:t>Обозначим нелинейную часть Maurer-Cartan оператора</w:t>
      </w:r>
    </w:p>
    <w:p>
      <w:bookmarkStart w:id="1846" w:name="f_16_14"/>
      <w:pPr>
        <w:pStyle w:val="Quote"/>
        <w:spacing w:before="80" w:after="120"/>
        <w:jc w:val="center"/>
      </w:pPr>
      <w:r>
        <w:t>N(α)=Σ_{n≥2}(1/n!)l_n(α^n).                                                    (16.14)</w:t>
      </w:r>
      <w:bookmarkEnd w:id="1846"/>
    </w:p>
    <w:p>
      <w:pPr>
        <w:spacing w:after="100"/>
      </w:pPr>
      <w:r>
        <w:t>Для x∈H^1(g_N)=H_N^2 ищется gauge-fixed solution α(x) уравнения</w:t>
      </w:r>
    </w:p>
    <w:p>
      <w:bookmarkStart w:id="1847" w:name="f_16_15"/>
      <w:pPr>
        <w:pStyle w:val="Quote"/>
        <w:spacing w:before="80" w:after="120"/>
        <w:jc w:val="center"/>
      </w:pPr>
      <w:r>
        <w:t>α(x)=i(x)-hN(α(x)),        hα(x)=0.                                             (16.15)</w:t>
      </w:r>
      <w:bookmarkEnd w:id="1847"/>
    </w:p>
    <w:p>
      <w:pPr>
        <w:spacing w:after="100"/>
      </w:pPr>
      <w:r>
        <w:t>Отображение Кураниши определяется как гармоническая часть остатка:</w:t>
      </w:r>
    </w:p>
    <w:p>
      <w:bookmarkStart w:id="1848" w:name="f_16_16"/>
      <w:pPr>
        <w:pStyle w:val="Quote"/>
        <w:spacing w:before="80" w:after="120"/>
        <w:jc w:val="center"/>
      </w:pPr>
      <w:r>
        <w:t>K_N(x)=pN(α(x)) ∈ H^2(g_N)=H_N^3.                                              (16.16)</w:t>
      </w:r>
      <w:bookmarkEnd w:id="1848"/>
    </w:p>
    <w:p>
      <w:bookmarkStart w:id="1618" w:name="s_THM_16_5"/>
      <w:pPr>
        <w:spacing w:after="100"/>
      </w:pPr>
      <w:r>
        <w:t>Теорема 16.5 (Kuranishi reduction, условная аналитическая форма). Если N аналитично на шаре, h ограничен и отображение α↦i(x)-hN(α) является сжатием равномерно для ||x||&lt;r_K, то (16.15) имеет единственное решение. Это решение удовлетворяет полной MC equation тогда и только тогда, когда K_N(x)=0.</w:t>
      </w:r>
      <w:bookmarkEnd w:id="1618"/>
    </w:p>
    <w:p>
      <w:pPr>
        <w:spacing w:after="100"/>
      </w:pPr>
      <w:r>
        <w:t>Итак, local miniversal base задаётся нулевым локусом K_N, но только внутри радиуса сходимости и выбранного Hodge gauge.</w:t>
      </w:r>
    </w:p>
    <w:p>
      <w:bookmarkStart w:id="1086" w:name="h_2008"/>
      <w:pPr>
        <w:pStyle w:val="Heading1"/>
        <w:keepNext/>
      </w:pPr>
      <w:r>
        <w:t>159. Явная оценка радиуса сходимости</w:t>
      </w:r>
      <w:bookmarkEnd w:id="1086"/>
    </w:p>
    <w:p>
      <w:pPr>
        <w:spacing w:after="100"/>
      </w:pPr>
      <w:r>
        <w:t>Пусть на шаре ||α||≤R выполнено</w:t>
      </w:r>
    </w:p>
    <w:p>
      <w:bookmarkStart w:id="1849" w:name="f_16_17"/>
      <w:pPr>
        <w:pStyle w:val="Quote"/>
        <w:spacing w:before="80" w:after="120"/>
        <w:jc w:val="center"/>
      </w:pPr>
      <w:r>
        <w:t>||N(α)-N(β)|| ≤ L_R ||α-β||,      ||h|| L_R &lt; 1.                               (16.17)</w:t>
      </w:r>
      <w:bookmarkEnd w:id="1849"/>
    </w:p>
    <w:p>
      <w:pPr>
        <w:spacing w:after="100"/>
      </w:pPr>
      <w:r>
        <w:t>Если ||i(x)||+||h||·||N(0)||≤R(1-||h||L_R), то contraction mapping theorem даёт существование и единственность α(x). В типичном MC-секторе N(0)=0, поэтому достаточно</w:t>
      </w:r>
    </w:p>
    <w:p>
      <w:bookmarkStart w:id="1850" w:name="f_16_18"/>
      <w:pPr>
        <w:pStyle w:val="Quote"/>
        <w:spacing w:before="80" w:after="120"/>
        <w:jc w:val="center"/>
      </w:pPr>
      <w:r>
        <w:t>||x|| ≤ R(1-||h||L_R)/||i||.                                                   (16.18)</w:t>
      </w:r>
      <w:bookmarkEnd w:id="1850"/>
    </w:p>
    <w:p>
      <w:bookmarkStart w:id="1619" w:name="s_DEF_16_6"/>
      <w:pPr>
        <w:spacing w:after="100"/>
      </w:pPr>
      <w:r>
        <w:t>Определение 16.6 (Kuranishi conditioning margin).</w:t>
      </w:r>
      <w:bookmarkEnd w:id="1619"/>
    </w:p>
    <w:p>
      <w:bookmarkStart w:id="1851" w:name="f_16_19"/>
      <w:pPr>
        <w:pStyle w:val="Quote"/>
        <w:spacing w:before="80" w:after="120"/>
        <w:jc w:val="center"/>
      </w:pPr>
      <w:r>
        <w:t>m_K(R)=1-||h||L_R.                                                               (16.19)</w:t>
      </w:r>
      <w:bookmarkEnd w:id="1851"/>
    </w:p>
    <w:p>
      <w:pPr>
        <w:spacing w:after="100"/>
      </w:pPr>
      <w:r>
        <w:t>При m_K≤0 аналитическая редукция не сертифицирована. При малом положительном m_K решение существует, но чувствительно к ошибкам. Это связывает Kuranishi construction с spectral gap главы 15, поскольку ||h|| обычно контролируется ||G||≤γ^{-1}.</w:t>
      </w:r>
    </w:p>
    <w:p>
      <w:bookmarkStart w:id="1087" w:name="h_2016"/>
      <w:pPr>
        <w:pStyle w:val="Heading1"/>
        <w:keepNext/>
      </w:pPr>
      <w:r>
        <w:t>160. Taylor-слои и высшие obstruction classes</w:t>
      </w:r>
      <w:bookmarkEnd w:id="1087"/>
    </w:p>
    <w:p>
      <w:pPr>
        <w:spacing w:after="100"/>
      </w:pPr>
      <w:r>
        <w:t>После homotopy transfer пространство H(g_N) получает минимальную L_infinity-структуру κ_n. В принятой симметрической convention первые компоненты Kuranishi map имеют вид</w:t>
      </w:r>
    </w:p>
    <w:p>
      <w:bookmarkStart w:id="1852" w:name="f_16_20"/>
      <w:pPr>
        <w:pStyle w:val="Quote"/>
        <w:spacing w:before="80" w:after="120"/>
        <w:jc w:val="center"/>
      </w:pPr>
      <w:r>
        <w:t>K_N(x)=κ_2(x,x)+κ_3(x,x,x)+κ_4(x,x,x,x)+...                                   (16.20)</w:t>
      </w:r>
      <w:bookmarkEnd w:id="1852"/>
    </w:p>
    <w:p>
      <w:bookmarkStart w:id="1853" w:name="f_16_21"/>
      <w:pPr>
        <w:pStyle w:val="Quote"/>
        <w:spacing w:before="80" w:after="120"/>
        <w:jc w:val="center"/>
      </w:pPr>
      <w:r>
        <w:t>κ_2(x,x)=1/2·p l_2(ix,ix).                                                       (16.21)</w:t>
      </w:r>
      <w:bookmarkEnd w:id="1853"/>
    </w:p>
    <w:p>
      <w:bookmarkStart w:id="1854" w:name="f_16_22"/>
      <w:pPr>
        <w:pStyle w:val="Quote"/>
        <w:spacing w:before="80" w:after="120"/>
        <w:jc w:val="center"/>
      </w:pPr>
      <w:r>
        <w:t>κ_3(x,x,x)=1/6·p l_3(ix,ix,ix)-1/2·p l_2(ix,h l_2(ix,ix)).                      (16.22)</w:t>
      </w:r>
      <w:bookmarkEnd w:id="1854"/>
    </w:p>
    <w:p>
      <w:pPr>
        <w:spacing w:after="100"/>
      </w:pPr>
      <w:r>
        <w:t>Знаки и коэффициенты (16.22) относятся к зафиксированной suspension convention. При иной convention формула должна быть пересчитана, а не перенесена по зрительному сходству.</w:t>
      </w:r>
    </w:p>
    <w:p>
      <w:bookmarkStart w:id="1620" w:name="s_DEF_16_7"/>
      <w:pPr>
        <w:spacing w:after="100"/>
      </w:pPr>
      <w:r>
        <w:t>Определение 16.7. Порядок первого ненулевого препятствия</w:t>
      </w:r>
      <w:bookmarkEnd w:id="1620"/>
    </w:p>
    <w:p>
      <w:bookmarkStart w:id="1855" w:name="f_16_23"/>
      <w:pPr>
        <w:pStyle w:val="Quote"/>
        <w:spacing w:before="80" w:after="120"/>
        <w:jc w:val="center"/>
      </w:pPr>
      <w:r>
        <w:t>ν_K(x)=min{n≥2: κ_n(x,...,x)≠0},   ν_K=∞ если все члены исчезают.                (16.23)</w:t>
      </w:r>
      <w:bookmarkEnd w:id="1855"/>
    </w:p>
    <w:p>
      <w:pPr>
        <w:spacing w:after="100"/>
      </w:pPr>
      <w:r>
        <w:t>Исчезновение κ_2 не устраняет κ_3 и последующие классы. Поэтому нулевой primary obstruction является только входом в tower of higher obstructions.</w:t>
      </w:r>
    </w:p>
    <w:p>
      <w:bookmarkStart w:id="1088" w:name="h_2025"/>
      <w:pPr>
        <w:pStyle w:val="Heading1"/>
        <w:keepNext/>
      </w:pPr>
      <w:r>
        <w:t>161. Miniversal base и формальное локальное кольцо</w:t>
      </w:r>
      <w:bookmarkEnd w:id="1088"/>
    </w:p>
    <w:p>
      <w:pPr>
        <w:spacing w:after="100"/>
      </w:pPr>
      <w:r>
        <w:t>Пусть dim H_N^2=m и dim H_N^3=q. После выбора базисов K_N имеет компоненты K_1,...,K_q в K[[t_1,...,t_m]]. Формальная miniversal base определяется кольцом</w:t>
      </w:r>
    </w:p>
    <w:p>
      <w:bookmarkStart w:id="1856" w:name="f_16_24"/>
      <w:pPr>
        <w:pStyle w:val="Quote"/>
        <w:spacing w:before="80" w:after="120"/>
        <w:jc w:val="center"/>
      </w:pPr>
      <w:r>
        <w:t>R_N^min = K[[t_1,...,t_m]]/(K_1,...,K_q).                                      (16.24)</w:t>
      </w:r>
      <w:bookmarkEnd w:id="1856"/>
    </w:p>
    <w:p>
      <w:pPr>
        <w:spacing w:after="100"/>
      </w:pPr>
      <w:r>
        <w:t>Её Zariski tangent space равно H_N^2, потому что dK_N(0)=0 для минимальной L_infinity-модели. Наличие q уравнений не означает codimension q: компоненты могут быть зависимы, иметь общие множители или задавать nonreduced germ.</w:t>
      </w:r>
    </w:p>
    <w:p>
      <w:pPr>
        <w:spacing w:after="100"/>
      </w:pPr>
      <w:r>
        <w:t>Miniversal base определена неканонически: выбор Hodge splitting, координат и gauge меняет K_N, хотя при корректных hypotheses формальные germs эквивалентны. Сравнивать следует right-equivalence class или соответствующий formal moduli problem, а не буквальные коэффициенты одной формулы.</w:t>
      </w:r>
    </w:p>
    <w:p>
      <w:bookmarkStart w:id="1089" w:name="h_2030"/>
      <w:pPr>
        <w:pStyle w:val="Heading1"/>
        <w:keepNext/>
      </w:pPr>
      <w:r>
        <w:t>162. Формальная гладкость, жёсткость и unobstructedness</w:t>
      </w:r>
      <w:bookmarkEnd w:id="1089"/>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1800"/>
            <w:vAlign w:val="center"/>
            <w:tcMar>
              <w:top w:w="90" w:type="dxa"/>
              <w:start w:w="110" w:type="dxa"/>
              <w:bottom w:w="90" w:type="dxa"/>
              <w:end w:w="110" w:type="dxa"/>
            </w:tcMar>
            <w:shd w:fill="173b63"/>
          </w:tcPr>
          <w:p>
            <w:pPr>
              <w:jc w:val="center"/>
            </w:pPr>
            <w:r/>
            <w:r>
              <w:rPr>
                <w:b/>
                <w:color w:val="FFFFFF"/>
                <w:sz w:val="18"/>
              </w:rPr>
              <w:t>Свойство</w:t>
            </w:r>
          </w:p>
        </w:tc>
        <w:tc>
          <w:tcPr>
            <w:tcW w:type="dxa" w:w="3384"/>
            <w:vAlign w:val="center"/>
            <w:tcMar>
              <w:top w:w="90" w:type="dxa"/>
              <w:start w:w="110" w:type="dxa"/>
              <w:bottom w:w="90" w:type="dxa"/>
              <w:end w:w="110" w:type="dxa"/>
            </w:tcMar>
            <w:shd w:fill="173b63"/>
          </w:tcPr>
          <w:p>
            <w:pPr>
              <w:jc w:val="center"/>
            </w:pPr>
            <w:r/>
            <w:r>
              <w:rPr>
                <w:b/>
                <w:color w:val="FFFFFF"/>
                <w:sz w:val="18"/>
              </w:rPr>
              <w:t>Условие</w:t>
            </w:r>
          </w:p>
        </w:tc>
        <w:tc>
          <w:tcPr>
            <w:tcW w:type="dxa" w:w="3816"/>
            <w:vAlign w:val="center"/>
            <w:tcMar>
              <w:top w:w="90" w:type="dxa"/>
              <w:start w:w="110" w:type="dxa"/>
              <w:bottom w:w="90" w:type="dxa"/>
              <w:end w:w="110" w:type="dxa"/>
            </w:tcMar>
            <w:shd w:fill="173b63"/>
          </w:tcPr>
          <w:p>
            <w:pPr>
              <w:jc w:val="center"/>
            </w:pPr>
            <w:r/>
            <w:r>
              <w:rPr>
                <w:b/>
                <w:color w:val="FFFFFF"/>
                <w:sz w:val="18"/>
              </w:rPr>
              <w:t>Точный вывод</w:t>
            </w:r>
          </w:p>
        </w:tc>
      </w:tr>
      <w:tr>
        <w:trPr>
          <w:cantSplit/>
        </w:trPr>
        <w:tc>
          <w:tcPr>
            <w:tcW w:type="dxa" w:w="1800"/>
            <w:vAlign w:val="center"/>
            <w:tcMar>
              <w:top w:w="90" w:type="dxa"/>
              <w:start w:w="110" w:type="dxa"/>
              <w:bottom w:w="90" w:type="dxa"/>
              <w:end w:w="110" w:type="dxa"/>
            </w:tcMar>
          </w:tcPr>
          <w:p>
            <w:pPr>
              <w:jc w:val="center"/>
            </w:pPr>
            <w:r/>
            <w:r>
              <w:rPr>
                <w:b w:val="0"/>
                <w:sz w:val="16"/>
              </w:rPr>
              <w:t>Infinitesimal rigidity</w:t>
            </w:r>
          </w:p>
        </w:tc>
        <w:tc>
          <w:tcPr>
            <w:tcW w:type="dxa" w:w="3384"/>
            <w:vAlign w:val="center"/>
            <w:tcMar>
              <w:top w:w="90" w:type="dxa"/>
              <w:start w:w="110" w:type="dxa"/>
              <w:bottom w:w="90" w:type="dxa"/>
              <w:end w:w="110" w:type="dxa"/>
            </w:tcMar>
          </w:tcPr>
          <w:p>
            <w:pPr>
              <w:jc w:val="left"/>
            </w:pPr>
            <w:r/>
            <w:r>
              <w:rPr>
                <w:b w:val="0"/>
                <w:sz w:val="16"/>
              </w:rPr>
              <w:t>H_N^2=0</w:t>
            </w:r>
          </w:p>
        </w:tc>
        <w:tc>
          <w:tcPr>
            <w:tcW w:type="dxa" w:w="3816"/>
            <w:vAlign w:val="center"/>
            <w:tcMar>
              <w:top w:w="90" w:type="dxa"/>
              <w:start w:w="110" w:type="dxa"/>
              <w:bottom w:w="90" w:type="dxa"/>
              <w:end w:w="110" w:type="dxa"/>
            </w:tcMar>
          </w:tcPr>
          <w:p>
            <w:pPr>
              <w:jc w:val="center"/>
            </w:pPr>
            <w:r/>
            <w:r>
              <w:rPr>
                <w:b w:val="0"/>
                <w:sz w:val="16"/>
              </w:rPr>
              <w:t>Нет нетривиальных деформаций первого порядка; при полной obstruction theory functor формально локально тривиален.</w:t>
            </w:r>
          </w:p>
        </w:tc>
      </w:tr>
      <w:tr>
        <w:trPr>
          <w:cantSplit/>
        </w:trPr>
        <w:tc>
          <w:tcPr>
            <w:tcW w:type="dxa" w:w="1800"/>
            <w:vAlign w:val="center"/>
            <w:tcMar>
              <w:top w:w="90" w:type="dxa"/>
              <w:start w:w="110" w:type="dxa"/>
              <w:bottom w:w="90" w:type="dxa"/>
              <w:end w:w="110" w:type="dxa"/>
            </w:tcMar>
          </w:tcPr>
          <w:p>
            <w:pPr>
              <w:jc w:val="center"/>
            </w:pPr>
            <w:r/>
            <w:r>
              <w:rPr>
                <w:b w:val="0"/>
                <w:sz w:val="16"/>
              </w:rPr>
              <w:t>Unobstructedness</w:t>
            </w:r>
          </w:p>
        </w:tc>
        <w:tc>
          <w:tcPr>
            <w:tcW w:type="dxa" w:w="3384"/>
            <w:vAlign w:val="center"/>
            <w:tcMar>
              <w:top w:w="90" w:type="dxa"/>
              <w:start w:w="110" w:type="dxa"/>
              <w:bottom w:w="90" w:type="dxa"/>
              <w:end w:w="110" w:type="dxa"/>
            </w:tcMar>
          </w:tcPr>
          <w:p>
            <w:pPr>
              <w:jc w:val="left"/>
            </w:pPr>
            <w:r/>
            <w:r>
              <w:rPr>
                <w:b w:val="0"/>
                <w:sz w:val="16"/>
              </w:rPr>
              <w:t>K_N≡0 либо H_N^3=0 при complete control</w:t>
            </w:r>
          </w:p>
        </w:tc>
        <w:tc>
          <w:tcPr>
            <w:tcW w:type="dxa" w:w="3816"/>
            <w:vAlign w:val="center"/>
            <w:tcMar>
              <w:top w:w="90" w:type="dxa"/>
              <w:start w:w="110" w:type="dxa"/>
              <w:bottom w:w="90" w:type="dxa"/>
              <w:end w:w="110" w:type="dxa"/>
            </w:tcMar>
          </w:tcPr>
          <w:p>
            <w:pPr>
              <w:jc w:val="center"/>
            </w:pPr>
            <w:r/>
            <w:r>
              <w:rPr>
                <w:b w:val="0"/>
                <w:sz w:val="16"/>
              </w:rPr>
              <w:t>Miniversal base гладкая формальной размерности dim H_N^2.</w:t>
            </w:r>
          </w:p>
        </w:tc>
      </w:tr>
      <w:tr>
        <w:trPr>
          <w:cantSplit/>
        </w:trPr>
        <w:tc>
          <w:tcPr>
            <w:tcW w:type="dxa" w:w="1800"/>
            <w:vAlign w:val="center"/>
            <w:tcMar>
              <w:top w:w="90" w:type="dxa"/>
              <w:start w:w="110" w:type="dxa"/>
              <w:bottom w:w="90" w:type="dxa"/>
              <w:end w:w="110" w:type="dxa"/>
            </w:tcMar>
          </w:tcPr>
          <w:p>
            <w:pPr>
              <w:jc w:val="center"/>
            </w:pPr>
            <w:r/>
            <w:r>
              <w:rPr>
                <w:b w:val="0"/>
                <w:sz w:val="16"/>
              </w:rPr>
              <w:t>No automorphisms</w:t>
            </w:r>
          </w:p>
        </w:tc>
        <w:tc>
          <w:tcPr>
            <w:tcW w:type="dxa" w:w="3384"/>
            <w:vAlign w:val="center"/>
            <w:tcMar>
              <w:top w:w="90" w:type="dxa"/>
              <w:start w:w="110" w:type="dxa"/>
              <w:bottom w:w="90" w:type="dxa"/>
              <w:end w:w="110" w:type="dxa"/>
            </w:tcMar>
          </w:tcPr>
          <w:p>
            <w:pPr>
              <w:jc w:val="left"/>
            </w:pPr>
            <w:r/>
            <w:r>
              <w:rPr>
                <w:b w:val="0"/>
                <w:sz w:val="16"/>
              </w:rPr>
              <w:t>H_N^1=0</w:t>
            </w:r>
          </w:p>
        </w:tc>
        <w:tc>
          <w:tcPr>
            <w:tcW w:type="dxa" w:w="3816"/>
            <w:vAlign w:val="center"/>
            <w:tcMar>
              <w:top w:w="90" w:type="dxa"/>
              <w:start w:w="110" w:type="dxa"/>
              <w:bottom w:w="90" w:type="dxa"/>
              <w:end w:w="110" w:type="dxa"/>
            </w:tcMar>
          </w:tcPr>
          <w:p>
            <w:pPr>
              <w:jc w:val="center"/>
            </w:pPr>
            <w:r/>
            <w:r>
              <w:rPr>
                <w:b w:val="0"/>
                <w:sz w:val="16"/>
              </w:rPr>
              <w:t>Повышает шанс universality/prorepresentability, но не заменяет H4.</w:t>
            </w:r>
          </w:p>
        </w:tc>
      </w:tr>
      <w:tr>
        <w:trPr>
          <w:cantSplit/>
        </w:trPr>
        <w:tc>
          <w:tcPr>
            <w:tcW w:type="dxa" w:w="1800"/>
            <w:vAlign w:val="center"/>
            <w:tcMar>
              <w:top w:w="90" w:type="dxa"/>
              <w:start w:w="110" w:type="dxa"/>
              <w:bottom w:w="90" w:type="dxa"/>
              <w:end w:w="110" w:type="dxa"/>
            </w:tcMar>
          </w:tcPr>
          <w:p>
            <w:pPr>
              <w:jc w:val="center"/>
            </w:pPr>
            <w:r/>
            <w:r>
              <w:rPr>
                <w:b w:val="0"/>
                <w:sz w:val="16"/>
              </w:rPr>
              <w:t>Quadratic germ</w:t>
            </w:r>
          </w:p>
        </w:tc>
        <w:tc>
          <w:tcPr>
            <w:tcW w:type="dxa" w:w="3384"/>
            <w:vAlign w:val="center"/>
            <w:tcMar>
              <w:top w:w="90" w:type="dxa"/>
              <w:start w:w="110" w:type="dxa"/>
              <w:bottom w:w="90" w:type="dxa"/>
              <w:end w:w="110" w:type="dxa"/>
            </w:tcMar>
          </w:tcPr>
          <w:p>
            <w:pPr>
              <w:jc w:val="left"/>
            </w:pPr>
            <w:r/>
            <w:r>
              <w:rPr>
                <w:b w:val="0"/>
                <w:sz w:val="16"/>
              </w:rPr>
              <w:t>κ_n=0 для n≥3 после equivalence</w:t>
            </w:r>
          </w:p>
        </w:tc>
        <w:tc>
          <w:tcPr>
            <w:tcW w:type="dxa" w:w="3816"/>
            <w:vAlign w:val="center"/>
            <w:tcMar>
              <w:top w:w="90" w:type="dxa"/>
              <w:start w:w="110" w:type="dxa"/>
              <w:bottom w:w="90" w:type="dxa"/>
              <w:end w:w="110" w:type="dxa"/>
            </w:tcMar>
          </w:tcPr>
          <w:p>
            <w:pPr>
              <w:jc w:val="center"/>
            </w:pPr>
            <w:r/>
            <w:r>
              <w:rPr>
                <w:b w:val="0"/>
                <w:sz w:val="16"/>
              </w:rPr>
              <w:t>Base задаётся quadratic cone κ_2(x,x)=0.</w:t>
            </w:r>
          </w:p>
        </w:tc>
      </w:tr>
      <w:tr>
        <w:trPr>
          <w:cantSplit/>
        </w:trPr>
        <w:tc>
          <w:tcPr>
            <w:tcW w:type="dxa" w:w="1800"/>
            <w:vAlign w:val="center"/>
            <w:tcMar>
              <w:top w:w="90" w:type="dxa"/>
              <w:start w:w="110" w:type="dxa"/>
              <w:bottom w:w="90" w:type="dxa"/>
              <w:end w:w="110" w:type="dxa"/>
            </w:tcMar>
          </w:tcPr>
          <w:p>
            <w:pPr>
              <w:jc w:val="center"/>
            </w:pPr>
            <w:r/>
            <w:r>
              <w:rPr>
                <w:b w:val="0"/>
                <w:sz w:val="16"/>
              </w:rPr>
              <w:t>Formal smoothness</w:t>
            </w:r>
          </w:p>
        </w:tc>
        <w:tc>
          <w:tcPr>
            <w:tcW w:type="dxa" w:w="3384"/>
            <w:vAlign w:val="center"/>
            <w:tcMar>
              <w:top w:w="90" w:type="dxa"/>
              <w:start w:w="110" w:type="dxa"/>
              <w:bottom w:w="90" w:type="dxa"/>
              <w:end w:w="110" w:type="dxa"/>
            </w:tcMar>
          </w:tcPr>
          <w:p>
            <w:pPr>
              <w:jc w:val="left"/>
            </w:pPr>
            <w:r/>
            <w:r>
              <w:rPr>
                <w:b w:val="0"/>
                <w:sz w:val="16"/>
              </w:rPr>
              <w:t>все lifts по малым расширениям существуют</w:t>
            </w:r>
          </w:p>
        </w:tc>
        <w:tc>
          <w:tcPr>
            <w:tcW w:type="dxa" w:w="3816"/>
            <w:vAlign w:val="center"/>
            <w:tcMar>
              <w:top w:w="90" w:type="dxa"/>
              <w:start w:w="110" w:type="dxa"/>
              <w:bottom w:w="90" w:type="dxa"/>
              <w:end w:w="110" w:type="dxa"/>
            </w:tcMar>
          </w:tcPr>
          <w:p>
            <w:pPr>
              <w:jc w:val="center"/>
            </w:pPr>
            <w:r/>
            <w:r>
              <w:rPr>
                <w:b w:val="0"/>
                <w:sz w:val="16"/>
              </w:rPr>
              <w:t>Не гарантирует convergence аналитической family без Artin/Kuranishi-type theorem.</w:t>
            </w:r>
          </w:p>
        </w:tc>
      </w:tr>
    </w:tbl>
    <w:p>
      <w:pPr>
        <w:spacing w:after="100"/>
      </w:pPr>
      <w:r>
        <w:t>Теорема Goldman-Millson о quadratic singularities в специальных Kähler-ситуациях не означает, что всякая NAPG-moduli problem квадратична. Для такого вывода требуется formality или эквивалентная редукция controlling DGLA.</w:t>
      </w:r>
    </w:p>
    <w:p>
      <w:bookmarkStart w:id="1090" w:name="h_2032"/>
      <w:pPr>
        <w:pStyle w:val="Heading1"/>
        <w:keepNext/>
      </w:pPr>
      <w:r>
        <w:t>163. Derived formal moduli и граница применения</w:t>
      </w:r>
      <w:bookmarkEnd w:id="1090"/>
    </w:p>
    <w:p>
      <w:pPr>
        <w:spacing w:after="100"/>
      </w:pPr>
      <w:r>
        <w:t>В характеристике 0 formal moduli problems при стандартных axioms эквивалентны подходящим dg Lie или L_infinity-алгебрам. В этой корреспонденции derived tangent complex хранит не только tangent space, но и автоморфизмы и obstruction directions.</w:t>
      </w:r>
    </w:p>
    <w:p>
      <w:bookmarkStart w:id="1857" w:name="f_16_25"/>
      <w:pPr>
        <w:pStyle w:val="Quote"/>
        <w:spacing w:before="80" w:after="120"/>
        <w:jc w:val="center"/>
      </w:pPr>
      <w:r>
        <w:t>FormalModuli_K  ≃  dgLie_K   (при char K=0 и соответствующих homotopical hypotheses). (16.25)</w:t>
      </w:r>
      <w:bookmarkEnd w:id="1857"/>
    </w:p>
    <w:p>
      <w:pPr>
        <w:spacing w:after="100"/>
      </w:pPr>
      <w:r>
        <w:t>Для NAPG это является не готовой теоремой, а шаблоном построения. Требуется определить derived category объектов, weak equivalences, nilcomplete functor, infinitesimal cohesiveness и совместимость partial Dom-data. До закрытия этих пунктов термин derived NAPG moduli используется со статусом COND.</w:t>
      </w:r>
    </w:p>
    <w:p>
      <w:bookmarkStart w:id="1091" w:name="h_2036"/>
      <w:pPr>
        <w:pStyle w:val="Heading1"/>
        <w:keepNext/>
      </w:pPr>
      <w:r>
        <w:t>164. Stack versus coarse moduli: stabilizer no-go</w:t>
      </w:r>
      <w:bookmarkEnd w:id="1091"/>
    </w:p>
    <w:p>
      <w:pPr>
        <w:spacing w:after="100"/>
      </w:pPr>
      <w:r>
        <w:t>Пусть ξ - деформация с группой автоморфизмов Aut(ξ). Переход от groupoid Def_N(A) к множеству π_0Def_N(A) забывает Aut(ξ) и его деформации. Поэтому две задачи с одинаковыми coarse points могут иметь разные derived tangent complexes.</w:t>
      </w:r>
    </w:p>
    <w:p>
      <w:bookmarkStart w:id="1858" w:name="f_16_26"/>
      <w:pPr>
        <w:pStyle w:val="Quote"/>
        <w:spacing w:before="80" w:after="120"/>
        <w:jc w:val="center"/>
      </w:pPr>
      <w:r>
        <w:t>π_0Def_N не определяет H^{-1}(T_N^der).                                       (16.26)</w:t>
      </w:r>
      <w:bookmarkEnd w:id="1858"/>
    </w:p>
    <w:p>
      <w:bookmarkStart w:id="1621" w:name="s_CTHM_16_8"/>
      <w:pPr>
        <w:spacing w:after="100"/>
      </w:pPr>
      <w:r>
        <w:t>Контртеорема 16.8. Нельзя восстановить локальный stack germ по одному coarse moduli germ без stabilizer data. В частности, quotient singularity и обычное сингулярное пространство могут иметь совпадающее множество точек, но различные isotropy и deformation theory.</w:t>
      </w:r>
      <w:bookmarkEnd w:id="1621"/>
    </w:p>
    <w:p>
      <w:bookmarkStart w:id="1092" w:name="h_2040"/>
      <w:pPr>
        <w:pStyle w:val="Heading1"/>
        <w:keepNext/>
      </w:pPr>
      <w:r>
        <w:t>165. Стратификация локального модульного пространства</w:t>
      </w:r>
      <w:bookmarkEnd w:id="1092"/>
    </w:p>
    <w:p>
      <w:pPr>
        <w:spacing w:after="100"/>
      </w:pPr>
      <w:r>
        <w:t>Локальная miniversal base S_N=K_N^{-1}(0) стратифицируется по invariants: размерности stabilizer, рангу Hessian/leading obstruction, типу orbit, multiplicity, Hilbert-Samuel function и projective obstruction direction.</w:t>
      </w:r>
    </w:p>
    <w:p>
      <w:bookmarkStart w:id="1859" w:name="f_16_27"/>
      <w:pPr>
        <w:pStyle w:val="Quote"/>
        <w:spacing w:before="80" w:after="120"/>
        <w:jc w:val="center"/>
      </w:pPr>
      <w:r>
        <w:t>S_N = ⨆_α S_{N,α},      P_mod(x)=(dim H^1,dim H^2,dim H^3,ν_K,HS_x,dim Aut_x,[K_lead]).  (16.27)</w:t>
      </w:r>
      <w:bookmarkEnd w:id="1859"/>
    </w:p>
    <w:p>
      <w:pPr>
        <w:spacing w:after="100"/>
      </w:pPr>
      <w:r>
        <w:t>Whitney regularity, existence of finite stratification и local triviality не предполагаются автоматически. Для вычислительного слоя допускается конечная semialgebraic/analytic stratification только после проверки применимого theorem package.</w:t>
      </w:r>
    </w:p>
    <w:p>
      <w:bookmarkStart w:id="1093" w:name="h_2044"/>
      <w:pPr>
        <w:pStyle w:val="Heading1"/>
        <w:keepNext/>
      </w:pPr>
      <w:r>
        <w:t>166. Модульный переходный горизонт предсказательного метода</w:t>
      </w:r>
      <w:bookmarkEnd w:id="1093"/>
    </w:p>
    <w:p>
      <w:bookmarkStart w:id="1860" w:name="f_16_28"/>
      <w:pPr>
        <w:pStyle w:val="Quote"/>
        <w:spacing w:before="80" w:after="120"/>
        <w:jc w:val="center"/>
      </w:pPr>
      <w:r>
        <w:t>Δ_mod = Δ_HF ∪ Δ_ctrl ∪ Δ_Sch ∪ Δ_aut ∪ Δ_tan ∪ Δ_obs ∪ Δ_Kur ∪ Δ_conv ∪ Δ_orb ∪ Δ_D ∪ Δ_Dom ∪ Δ_glue.   (16.28)</w:t>
      </w:r>
      <w:bookmarkEnd w:id="1860"/>
    </w:p>
    <w:p>
      <w:pPr>
        <w:spacing w:after="100"/>
      </w:pPr>
      <w:r>
        <w:t>Компоненты фиксируют соответственно: потерю Hodge-Fredholm условий; разрушение controlling algebra; отказ Schlessinger conditions; jump stabilizer; изменение tangent/obstruction ranks; смену Kuranishi germ; потерю convergence margin; orbit/stratum transition; повреждение Evidence-D, domain или descent.</w:t>
      </w:r>
    </w:p>
    <w:p>
      <w:pPr>
        <w:spacing w:after="100"/>
      </w:pPr>
      <w:r>
        <w:t>Для конкретного tangent candidate x_t определяется Kuranishi residual</w:t>
      </w:r>
    </w:p>
    <w:p>
      <w:bookmarkStart w:id="1861" w:name="f_16_29"/>
      <w:pPr>
        <w:pStyle w:val="Quote"/>
        <w:spacing w:before="80" w:after="120"/>
        <w:jc w:val="center"/>
      </w:pPr>
      <w:r>
        <w:t>η_K(t)=||K_{N_t}(x_t)||.                                                        (16.29)</w:t>
      </w:r>
      <w:bookmarkEnd w:id="1861"/>
    </w:p>
    <w:p>
      <w:pPr>
        <w:spacing w:after="100"/>
      </w:pPr>
      <w:r>
        <w:t>Если η_K≥ε_K&gt;0 на интервале, соответствующий класс не интегрируется в local MC-family. Если η_K=0, получается только локальный candidate-lift; глобализация, внешний E-мост, λ-шлюз и независимая проверка остаются отдельными.</w:t>
      </w:r>
    </w:p>
    <w:p>
      <w:pPr>
        <w:jc w:val="center"/>
      </w:pPr>
      <w:r>
        <w:drawing>
          <wp:inline xmlns:a="http://schemas.openxmlformats.org/drawingml/2006/main" xmlns:pic="http://schemas.openxmlformats.org/drawingml/2006/picture">
            <wp:extent cx="6035040" cy="3440507"/>
            <wp:docPr id="41" name="Picture 41" descr="Рисунок 16.3. Модульный переходный горизонт и blocker-safe вывод. Собственная схема Тома II." title="Рисунок 16.3. Модульный переходный горизонт и blocker-safe вывод. Собственная схема Тома II."/>
            <wp:cNvGraphicFramePr>
              <a:graphicFrameLocks noChangeAspect="1"/>
            </wp:cNvGraphicFramePr>
            <a:graphic>
              <a:graphicData uri="http://schemas.openxmlformats.org/drawingml/2006/picture">
                <pic:pic>
                  <pic:nvPicPr>
                    <pic:cNvPr id="0" name="fig16_3.png" descr="Рисунок 16.3. Модульный переходный горизонт и blocker-safe вывод. Собственная схема Тома II." title="Рисунок 16.3. Модульный переходный горизонт и blocker-safe вывод. Собственная схема Тома II."/>
                    <pic:cNvPicPr/>
                  </pic:nvPicPr>
                  <pic:blipFill>
                    <a:blip r:embed="rId70"/>
                    <a:stretch>
                      <a:fillRect/>
                    </a:stretch>
                  </pic:blipFill>
                  <pic:spPr>
                    <a:xfrm>
                      <a:off x="0" y="0"/>
                      <a:ext cx="6035040" cy="3440507"/>
                    </a:xfrm>
                    <a:prstGeom prst="rect"/>
                  </pic:spPr>
                </pic:pic>
              </a:graphicData>
            </a:graphic>
          </wp:inline>
        </w:drawing>
      </w:r>
    </w:p>
    <w:p>
      <w:pPr>
        <w:pStyle w:val="Caption"/>
        <w:keepNext/>
        <w:jc w:val="center"/>
      </w:pPr>
      <w:r>
        <w:t>Рисунок 16.3. Модульный переходный горизонт и blocker-safe вывод. Собственная схема Тома II.</w:t>
      </w:r>
    </w:p>
    <w:p>
      <w:bookmarkStart w:id="1094" w:name="h_2052"/>
      <w:pPr>
        <w:pStyle w:val="Heading1"/>
        <w:keepNext/>
      </w:pPr>
      <w:r>
        <w:t>167. Сертифицированная тривиализация семейства moduli problems</w:t>
      </w:r>
      <w:bookmarkEnd w:id="1094"/>
    </w:p>
    <w:p>
      <w:pPr>
        <w:spacing w:after="100"/>
      </w:pPr>
      <w:r>
        <w:t>Простого постоянства размерностей H_N^i недостаточно для постоянства moduli germ. Поэтому вводится сильный сертификат ModTriv(I), содержащий:</w:t>
      </w:r>
    </w:p>
    <w:p>
      <w:pPr>
        <w:pStyle w:val="ListBullet"/>
      </w:pPr>
      <w:r>
        <w:t>идентификации graded Hilbert spaces и domains вдоль I;</w:t>
      </w:r>
    </w:p>
    <w:p>
      <w:pPr>
        <w:pStyle w:val="ListBullet"/>
      </w:pPr>
      <w:r>
        <w:t>filtered L_infinity-isomorphisms controlling algebras, непрерывные по параметру;</w:t>
      </w:r>
    </w:p>
    <w:p>
      <w:pPr>
        <w:pStyle w:val="ListBullet"/>
      </w:pPr>
      <w:r>
        <w:t>совместимые Hodge contractions (p_t,i_t,h_t) с uniform bounds;</w:t>
      </w:r>
    </w:p>
    <w:p>
      <w:pPr>
        <w:pStyle w:val="ListBullet"/>
      </w:pPr>
      <w:r>
        <w:t>right-equivalence K_t = B_t∘K_{t0}∘A_t^{-1} для локальных аналитических координат;</w:t>
      </w:r>
    </w:p>
    <w:p>
      <w:pPr>
        <w:pStyle w:val="ListBullet"/>
      </w:pPr>
      <w:r>
        <w:t>сохранение stabilizer groupoids, D/Dom, charts и globalization data;</w:t>
      </w:r>
    </w:p>
    <w:p>
      <w:pPr>
        <w:pStyle w:val="ListBullet"/>
      </w:pPr>
      <w:r>
        <w:t>равномерный Kuranishi radius и separation from Δ_mod.</w:t>
      </w:r>
    </w:p>
    <w:p>
      <w:pPr>
        <w:spacing w:after="100"/>
      </w:pPr>
      <w:r>
        <w:t>Только такой сертификат разрешает переносить отрицательный прогноз между параметрами. Постоянные Betti numbers без ModTriv(I) этого не обеспечивают.</w:t>
      </w:r>
    </w:p>
    <w:p>
      <w:bookmarkStart w:id="1095" w:name="h_2061"/>
      <w:pPr>
        <w:pStyle w:val="Heading1"/>
        <w:keepNext/>
      </w:pPr>
      <w:r>
        <w:t>168. Главная условная теорема T2-RP-v0.13</w:t>
      </w:r>
      <w:bookmarkEnd w:id="1095"/>
    </w:p>
    <w:p>
      <w:bookmarkStart w:id="1622" w:name="s_THM_16_9"/>
      <w:pPr>
        <w:spacing w:after="100"/>
      </w:pPr>
      <w:r>
        <w:t>Теорема 16.9 (Moduli-Kuranishi-safe predictive theorem). [COND] Пусть семейство N_t на компактном интервале I удовлетворяет:</w:t>
      </w:r>
      <w:bookmarkEnd w:id="1622"/>
    </w:p>
    <w:p>
      <w:pPr>
        <w:pStyle w:val="ListNumber"/>
      </w:pPr>
      <w:r>
        <w:t>существует complete filtered controlling L_infinity-algebra g_t для каждой N_t;</w:t>
      </w:r>
    </w:p>
    <w:p>
      <w:pPr>
        <w:pStyle w:val="ListNumber"/>
      </w:pPr>
      <w:r>
        <w:t>выполнены H1-H3 Шлессингера и существует miniversal hull;</w:t>
      </w:r>
    </w:p>
    <w:p>
      <w:pPr>
        <w:pStyle w:val="ListNumber"/>
      </w:pPr>
      <w:r>
        <w:t>Hodge-Green contractions корректны и имеют uniform spectral/convergence margins;</w:t>
      </w:r>
    </w:p>
    <w:p>
      <w:pPr>
        <w:pStyle w:val="ListNumber"/>
      </w:pPr>
      <w:r>
        <w:t>задан сертификат ModTriv(I) и I∩Δ_mod=∅;</w:t>
      </w:r>
    </w:p>
    <w:p>
      <w:pPr>
        <w:pStyle w:val="ListNumber"/>
      </w:pPr>
      <w:r>
        <w:t>candidate section x_t∈H_{N_t}^2 непрерывен и сохраняет Evidence-D/Dom;</w:t>
      </w:r>
    </w:p>
    <w:p>
      <w:pPr>
        <w:pStyle w:val="ListNumber"/>
      </w:pPr>
      <w:r>
        <w:t>все предыдущие tangent, differential, external, projective и global blockers закрыты.</w:t>
      </w:r>
    </w:p>
    <w:p>
      <w:pPr>
        <w:spacing w:after="100"/>
      </w:pPr>
      <w:r>
        <w:t>Тогда локальный moduli type и order profile ν_K постоянны в сертифицированной тривиализации. Если</w:t>
      </w:r>
    </w:p>
    <w:p>
      <w:bookmarkStart w:id="1862" w:name="f_16_30"/>
      <w:pPr>
        <w:pStyle w:val="Quote"/>
        <w:spacing w:before="80" w:after="120"/>
        <w:jc w:val="center"/>
      </w:pPr>
      <w:r>
        <w:t>η_K(t)=||K_t(x_t)|| ≥ ε_K &gt; 0  для всех t∈I,                                 (16.30)</w:t>
      </w:r>
      <w:bookmarkEnd w:id="1862"/>
    </w:p>
    <w:p>
      <w:pPr>
        <w:spacing w:after="100"/>
      </w:pPr>
      <w:r>
        <w:t>то ни один x_t не интегрируется в MC-deformation в пределах указанного Kuranishi neighborhood. Следовательно, структурный переход, требующий именно этой ветви, невозможен внутри модели.</w:t>
      </w:r>
    </w:p>
    <w:p>
      <w:pPr>
        <w:spacing w:after="100"/>
      </w:pPr>
      <w:r>
        <w:t>Если η_K(t)=0, существует локальный formal/analytic candidate-lift при остальных гипотезах, но теорема не утверждает его глобальность, уникальность, устойчивость вне радиуса, физическую реализацию или вероятность события.</w:t>
      </w:r>
    </w:p>
    <w:p>
      <w:bookmarkStart w:id="1096" w:name="h_2073"/>
      <w:pPr>
        <w:pStyle w:val="Heading1"/>
        <w:keepNext/>
      </w:pPr>
      <w:r>
        <w:t>169. Blocker-safe вывод главы</w:t>
      </w:r>
      <w:bookmarkEnd w:id="1096"/>
    </w:p>
    <w:p>
      <w:bookmarkStart w:id="1863" w:name="f_16_31"/>
      <w:pPr>
        <w:pStyle w:val="Quote"/>
        <w:spacing w:before="80" w:after="120"/>
        <w:jc w:val="center"/>
      </w:pPr>
      <w:r>
        <w:t>Block_mod = B_ctrl ∪ B_Sch ∪ B_HF ∪ B_gauge ∪ B_conv ∪ B_Kur ∪ B_aut ∪ B_stack ∪ B_D ∪ B_Dom ∪ B_glue ∪ B_ind. (16.31)</w:t>
      </w:r>
      <w:bookmarkEnd w:id="1863"/>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3168"/>
            <w:vAlign w:val="center"/>
            <w:tcMar>
              <w:top w:w="90" w:type="dxa"/>
              <w:start w:w="110" w:type="dxa"/>
              <w:bottom w:w="90" w:type="dxa"/>
              <w:end w:w="110" w:type="dxa"/>
            </w:tcMar>
            <w:shd w:fill="173b63"/>
          </w:tcPr>
          <w:p>
            <w:pPr>
              <w:jc w:val="center"/>
            </w:pPr>
            <w:r/>
            <w:r>
              <w:rPr>
                <w:b/>
                <w:color w:val="FFFFFF"/>
                <w:sz w:val="18"/>
              </w:rPr>
              <w:t>Условие</w:t>
            </w:r>
          </w:p>
        </w:tc>
        <w:tc>
          <w:tcPr>
            <w:tcW w:type="dxa" w:w="2304"/>
            <w:vAlign w:val="center"/>
            <w:tcMar>
              <w:top w:w="90" w:type="dxa"/>
              <w:start w:w="110" w:type="dxa"/>
              <w:bottom w:w="90" w:type="dxa"/>
              <w:end w:w="110" w:type="dxa"/>
            </w:tcMar>
            <w:shd w:fill="173b63"/>
          </w:tcPr>
          <w:p>
            <w:pPr>
              <w:jc w:val="center"/>
            </w:pPr>
            <w:r/>
            <w:r>
              <w:rPr>
                <w:b/>
                <w:color w:val="FFFFFF"/>
                <w:sz w:val="18"/>
              </w:rPr>
              <w:t>Вердикт</w:t>
            </w:r>
          </w:p>
        </w:tc>
        <w:tc>
          <w:tcPr>
            <w:tcW w:type="dxa" w:w="3600"/>
            <w:vAlign w:val="center"/>
            <w:tcMar>
              <w:top w:w="90" w:type="dxa"/>
              <w:start w:w="110" w:type="dxa"/>
              <w:bottom w:w="90" w:type="dxa"/>
              <w:end w:w="110" w:type="dxa"/>
            </w:tcMar>
            <w:shd w:fill="173b63"/>
          </w:tcPr>
          <w:p>
            <w:pPr>
              <w:jc w:val="center"/>
            </w:pPr>
            <w:r/>
            <w:r>
              <w:rPr>
                <w:b/>
                <w:color w:val="FFFFFF"/>
                <w:sz w:val="18"/>
              </w:rPr>
              <w:t>Смысл</w:t>
            </w:r>
          </w:p>
        </w:tc>
      </w:tr>
      <w:tr>
        <w:trPr>
          <w:cantSplit/>
        </w:trPr>
        <w:tc>
          <w:tcPr>
            <w:tcW w:type="dxa" w:w="3168"/>
            <w:vAlign w:val="center"/>
            <w:tcMar>
              <w:top w:w="90" w:type="dxa"/>
              <w:start w:w="110" w:type="dxa"/>
              <w:bottom w:w="90" w:type="dxa"/>
              <w:end w:w="110" w:type="dxa"/>
            </w:tcMar>
          </w:tcPr>
          <w:p>
            <w:pPr>
              <w:jc w:val="center"/>
            </w:pPr>
            <w:r/>
            <w:r>
              <w:rPr>
                <w:b w:val="0"/>
                <w:sz w:val="17"/>
              </w:rPr>
              <w:t>η_K≥ε_K, Block_mod=∅</w:t>
            </w:r>
          </w:p>
        </w:tc>
        <w:tc>
          <w:tcPr>
            <w:tcW w:type="dxa" w:w="2304"/>
            <w:vAlign w:val="center"/>
            <w:tcMar>
              <w:top w:w="90" w:type="dxa"/>
              <w:start w:w="110" w:type="dxa"/>
              <w:bottom w:w="90" w:type="dxa"/>
              <w:end w:w="110" w:type="dxa"/>
            </w:tcMar>
          </w:tcPr>
          <w:p>
            <w:pPr>
              <w:jc w:val="left"/>
            </w:pPr>
            <w:r/>
            <w:r>
              <w:rPr>
                <w:b w:val="0"/>
                <w:sz w:val="17"/>
              </w:rPr>
              <w:t>NO-LIFT-IN-MODEL</w:t>
            </w:r>
          </w:p>
        </w:tc>
        <w:tc>
          <w:tcPr>
            <w:tcW w:type="dxa" w:w="3600"/>
            <w:vAlign w:val="center"/>
            <w:tcMar>
              <w:top w:w="90" w:type="dxa"/>
              <w:start w:w="110" w:type="dxa"/>
              <w:bottom w:w="90" w:type="dxa"/>
              <w:end w:w="110" w:type="dxa"/>
            </w:tcMar>
          </w:tcPr>
          <w:p>
            <w:pPr>
              <w:jc w:val="center"/>
            </w:pPr>
            <w:r/>
            <w:r>
              <w:rPr>
                <w:b w:val="0"/>
                <w:sz w:val="17"/>
              </w:rPr>
              <w:t>Класс не принадлежит локальному нулевому локусу Kuranishi map.</w:t>
            </w:r>
          </w:p>
        </w:tc>
      </w:tr>
      <w:tr>
        <w:trPr>
          <w:cantSplit/>
        </w:trPr>
        <w:tc>
          <w:tcPr>
            <w:tcW w:type="dxa" w:w="3168"/>
            <w:vAlign w:val="center"/>
            <w:tcMar>
              <w:top w:w="90" w:type="dxa"/>
              <w:start w:w="110" w:type="dxa"/>
              <w:bottom w:w="90" w:type="dxa"/>
              <w:end w:w="110" w:type="dxa"/>
            </w:tcMar>
          </w:tcPr>
          <w:p>
            <w:pPr>
              <w:jc w:val="center"/>
            </w:pPr>
            <w:r/>
            <w:r>
              <w:rPr>
                <w:b w:val="0"/>
                <w:sz w:val="17"/>
              </w:rPr>
              <w:t>η_K=0, Cert_mod полный</w:t>
            </w:r>
          </w:p>
        </w:tc>
        <w:tc>
          <w:tcPr>
            <w:tcW w:type="dxa" w:w="2304"/>
            <w:vAlign w:val="center"/>
            <w:tcMar>
              <w:top w:w="90" w:type="dxa"/>
              <w:start w:w="110" w:type="dxa"/>
              <w:bottom w:w="90" w:type="dxa"/>
              <w:end w:w="110" w:type="dxa"/>
            </w:tcMar>
          </w:tcPr>
          <w:p>
            <w:pPr>
              <w:jc w:val="left"/>
            </w:pPr>
            <w:r/>
            <w:r>
              <w:rPr>
                <w:b w:val="0"/>
                <w:sz w:val="17"/>
              </w:rPr>
              <w:t>CANDIDATE-LIFT</w:t>
            </w:r>
          </w:p>
        </w:tc>
        <w:tc>
          <w:tcPr>
            <w:tcW w:type="dxa" w:w="3600"/>
            <w:vAlign w:val="center"/>
            <w:tcMar>
              <w:top w:w="90" w:type="dxa"/>
              <w:start w:w="110" w:type="dxa"/>
              <w:bottom w:w="90" w:type="dxa"/>
              <w:end w:w="110" w:type="dxa"/>
            </w:tcMar>
          </w:tcPr>
          <w:p>
            <w:pPr>
              <w:jc w:val="center"/>
            </w:pPr>
            <w:r/>
            <w:r>
              <w:rPr>
                <w:b w:val="0"/>
                <w:sz w:val="17"/>
              </w:rPr>
              <w:t>Локальный интегрируемый кандидат; дальнейшие мосты ещё нужны.</w:t>
            </w:r>
          </w:p>
        </w:tc>
      </w:tr>
      <w:tr>
        <w:trPr>
          <w:cantSplit/>
        </w:trPr>
        <w:tc>
          <w:tcPr>
            <w:tcW w:type="dxa" w:w="3168"/>
            <w:vAlign w:val="center"/>
            <w:tcMar>
              <w:top w:w="90" w:type="dxa"/>
              <w:start w:w="110" w:type="dxa"/>
              <w:bottom w:w="90" w:type="dxa"/>
              <w:end w:w="110" w:type="dxa"/>
            </w:tcMar>
          </w:tcPr>
          <w:p>
            <w:pPr>
              <w:jc w:val="center"/>
            </w:pPr>
            <w:r/>
            <w:r>
              <w:rPr>
                <w:b w:val="0"/>
                <w:sz w:val="17"/>
              </w:rPr>
              <w:t>любой blocker ненулевой</w:t>
            </w:r>
          </w:p>
        </w:tc>
        <w:tc>
          <w:tcPr>
            <w:tcW w:type="dxa" w:w="2304"/>
            <w:vAlign w:val="center"/>
            <w:tcMar>
              <w:top w:w="90" w:type="dxa"/>
              <w:start w:w="110" w:type="dxa"/>
              <w:bottom w:w="90" w:type="dxa"/>
              <w:end w:w="110" w:type="dxa"/>
            </w:tcMar>
          </w:tcPr>
          <w:p>
            <w:pPr>
              <w:jc w:val="left"/>
            </w:pPr>
            <w:r/>
            <w:r>
              <w:rPr>
                <w:b w:val="0"/>
                <w:sz w:val="17"/>
              </w:rPr>
              <w:t>ABSTAIN</w:t>
            </w:r>
          </w:p>
        </w:tc>
        <w:tc>
          <w:tcPr>
            <w:tcW w:type="dxa" w:w="3600"/>
            <w:vAlign w:val="center"/>
            <w:tcMar>
              <w:top w:w="90" w:type="dxa"/>
              <w:start w:w="110" w:type="dxa"/>
              <w:bottom w:w="90" w:type="dxa"/>
              <w:end w:w="110" w:type="dxa"/>
            </w:tcMar>
          </w:tcPr>
          <w:p>
            <w:pPr>
              <w:jc w:val="center"/>
            </w:pPr>
            <w:r/>
            <w:r>
              <w:rPr>
                <w:b w:val="0"/>
                <w:sz w:val="17"/>
              </w:rPr>
              <w:t>Доказательная цепь недостаточна или плохо обусловлена.</w:t>
            </w:r>
          </w:p>
        </w:tc>
      </w:tr>
    </w:tbl>
    <w:p>
      <w:bookmarkStart w:id="1097" w:name="h_2075"/>
      <w:pPr>
        <w:pStyle w:val="Heading1"/>
        <w:keepNext/>
      </w:pPr>
      <w:r>
        <w:t>170. Контрпримеры и разделяющие модели</w:t>
      </w:r>
      <w:bookmarkEnd w:id="1097"/>
    </w:p>
    <w:p>
      <w:pPr>
        <w:pStyle w:val="ListBullet"/>
      </w:pPr>
      <w:r>
        <w:t>Тangent без lift: functor с ненулевым H^2_N и квадратичным K(x)=x² имеет все first-order directions, но only x=0 интегрируется.</w:t>
      </w:r>
    </w:p>
    <w:p>
      <w:pPr>
        <w:pStyle w:val="ListBullet"/>
      </w:pPr>
      <w:r>
        <w:t>Primary obstruction zero, higher obstruction nonzero: κ_2=0 и κ_3(x,x,x)≠0.</w:t>
      </w:r>
    </w:p>
    <w:p>
      <w:pPr>
        <w:pStyle w:val="ListBullet"/>
      </w:pPr>
      <w:r>
        <w:t>Miniversal не universal: наличие H^1_N≠0 создаёт несколько base maps, связанные автоморфизмами.</w:t>
      </w:r>
    </w:p>
    <w:p>
      <w:pPr>
        <w:pStyle w:val="ListBullet"/>
      </w:pPr>
      <w:r>
        <w:t>Одинаковые dim H^i, разные germs: K_1(x,y)=xy и K_2(x,y)=x²+y³ имеют одинаковые ambient tangent/obstruction dimensions, но различные singularity types.</w:t>
      </w:r>
    </w:p>
    <w:p>
      <w:pPr>
        <w:pStyle w:val="ListBullet"/>
      </w:pPr>
      <w:r>
        <w:t>Формальное без аналитического: формальная серия может не иметь положительного радиуса сходимости без analytic estimates.</w:t>
      </w:r>
    </w:p>
    <w:p>
      <w:pPr>
        <w:pStyle w:val="ListBullet"/>
      </w:pPr>
      <w:r>
        <w:t>Green dependence: разные метрики дают разные representatives и Kuranishi maps, хотя корректные germs могут быть equivalent.</w:t>
      </w:r>
    </w:p>
    <w:p>
      <w:pPr>
        <w:pStyle w:val="ListBullet"/>
      </w:pPr>
      <w:r>
        <w:t>Coarse-space blindness: quotient [A¹/{±1}] и его coarse A¹ имеют разные stabilizer data.</w:t>
      </w:r>
    </w:p>
    <w:p>
      <w:pPr>
        <w:pStyle w:val="ListBullet"/>
      </w:pPr>
      <w:r>
        <w:t>Нуль K не физическое событие: статическая алгебраическая family может иметь гладкую miniversal base без времени, причинности и наблюдаемой.</w:t>
      </w:r>
    </w:p>
    <w:p>
      <w:pPr>
        <w:spacing w:after="100"/>
      </w:pPr>
      <w:r>
        <w:t>Эти модели запрещают цепочку «tangent → deformation → event» без lift, convergence, globalization и domain evidence.</w:t>
      </w:r>
    </w:p>
    <w:p>
      <w:bookmarkStart w:id="1098" w:name="h_2085"/>
      <w:pPr>
        <w:pStyle w:val="Heading1"/>
        <w:keepNext/>
      </w:pPr>
      <w:r>
        <w:t>171. Вычислительный сертификат MOD-KUR v0.13</w:t>
      </w:r>
      <w:bookmarkEnd w:id="1098"/>
    </w:p>
    <w:p>
      <w:pPr>
        <w:spacing w:after="100"/>
      </w:pPr>
      <w:r>
        <w:t>Минимальный воспроизводимый пакет MOD-01-MOD-24:</w:t>
      </w:r>
    </w:p>
    <w:p>
      <w:pPr>
        <w:pStyle w:val="ListBullet"/>
      </w:pPr>
      <w:r>
        <w:t>MOD-01 Art_K/base specification; MOD-02 object and morphism schemas; MOD-03 gauge groupoid;</w:t>
      </w:r>
    </w:p>
    <w:p>
      <w:pPr>
        <w:pStyle w:val="ListBullet"/>
      </w:pPr>
      <w:r>
        <w:t>MOD-04 complex d¹,d²; MOD-05 exact d²d¹ test; MOD-06 H¹,H²,H³ bases;</w:t>
      </w:r>
    </w:p>
    <w:p>
      <w:pPr>
        <w:pStyle w:val="ListBullet"/>
      </w:pPr>
      <w:r>
        <w:t>MOD-07 small-extension generator; MOD-08 obstruction-class independence; MOD-09 lift torsor test;</w:t>
      </w:r>
    </w:p>
    <w:p>
      <w:pPr>
        <w:pStyle w:val="ListBullet"/>
      </w:pPr>
      <w:r>
        <w:t>MOD-10 Schlessinger H1; MOD-11 H2; MOD-12 H3 finite-dimensionality; MOD-13 H4/prorepresentability flag;</w:t>
      </w:r>
    </w:p>
    <w:p>
      <w:pPr>
        <w:pStyle w:val="ListBullet"/>
      </w:pPr>
      <w:r>
        <w:t>MOD-14 controlling L_infinity identities; MOD-15 MC equation; MOD-16 gauge invariance;</w:t>
      </w:r>
    </w:p>
    <w:p>
      <w:pPr>
        <w:pStyle w:val="ListBullet"/>
      </w:pPr>
      <w:r>
        <w:t>MOD-17 Hodge contraction identity; MOD-18 Green norm and spectral margin; MOD-19 fixed-point contraction;</w:t>
      </w:r>
    </w:p>
    <w:p>
      <w:pPr>
        <w:pStyle w:val="ListBullet"/>
      </w:pPr>
      <w:r>
        <w:t>MOD-20 Kuranishi Taylor coefficients; MOD-21 zero-locus and local algebra; MOD-22 stabilizer/orbit strata;</w:t>
      </w:r>
    </w:p>
    <w:p>
      <w:pPr>
        <w:pStyle w:val="ListBullet"/>
      </w:pPr>
      <w:r>
        <w:t>MOD-23 blocker-safe verdict; MOD-24 sources, code, environment and artifact hashes.</w:t>
      </w:r>
    </w:p>
    <w:p>
      <w:pPr>
        <w:pStyle w:val="Heading2"/>
        <w:keepNext/>
      </w:pPr>
      <w:r>
        <w:t>171.1. Псевдокод</w:t>
      </w:r>
    </w:p>
    <w:p>
      <w:bookmarkStart w:id="1864" w:name="f_16_32"/>
      <w:pPr>
        <w:pStyle w:val="Quote"/>
        <w:spacing w:before="80" w:after="120"/>
        <w:jc w:val="center"/>
      </w:pPr>
      <w:r>
        <w:t>INPUT NAPG frame N, controlling data g, Artin bases, Hodge-Green package, candidate x, D/Dom</w:t>
        <w:br/>
        <w:t>CHECK l_infinity_identities; compute H1,H2,H3; test small extensions and Schlessinger maps</w:t>
        <w:br/>
        <w:t>BUILD contraction (p,i,h); verify id-ip=l1h+hl1 and uniform bounds</w:t>
        <w:br/>
        <w:t>SOLVE alpha=i(x)-hN(alpha); COMPUTE K(x)=pN(alpha) with interval enclosure</w:t>
        <w:br/>
        <w:t>IF blockers != empty: ABSTAIN</w:t>
        <w:br/>
        <w:t>ELSE IF lower_bound(||K(x)||)&gt;0: NO-LIFT-IN-MODEL</w:t>
        <w:br/>
        <w:t>ELSE IF K(x)=0 exactly and all certificates pass: CANDIDATE-LIFT</w:t>
        <w:br/>
        <w:t>STORE proof objects, choices, hashes and rollback checkpoint.                                  (16.32)</w:t>
      </w:r>
      <w:bookmarkEnd w:id="1864"/>
    </w:p>
    <w:p>
      <w:bookmarkStart w:id="1099" w:name="h_2097"/>
      <w:pPr>
        <w:pStyle w:val="Heading1"/>
        <w:keepNext/>
      </w:pPr>
      <w:r>
        <w:t>172. Доказательные обязательства T2-PO-171-T2-PO-196</w:t>
      </w:r>
      <w:bookmarkEnd w:id="1099"/>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440"/>
            <w:vAlign w:val="center"/>
            <w:tcMar>
              <w:top w:w="90" w:type="dxa"/>
              <w:start w:w="110" w:type="dxa"/>
              <w:bottom w:w="90" w:type="dxa"/>
              <w:end w:w="110" w:type="dxa"/>
            </w:tcMar>
            <w:shd w:fill="173b63"/>
          </w:tcPr>
          <w:p>
            <w:pPr>
              <w:jc w:val="center"/>
            </w:pPr>
            <w:r/>
            <w:r>
              <w:rPr>
                <w:b/>
                <w:color w:val="FFFFFF"/>
                <w:sz w:val="18"/>
              </w:rPr>
              <w:t>ID</w:t>
            </w:r>
          </w:p>
        </w:tc>
        <w:tc>
          <w:tcPr>
            <w:tcW w:type="dxa" w:w="4464"/>
            <w:vAlign w:val="center"/>
            <w:tcMar>
              <w:top w:w="90" w:type="dxa"/>
              <w:start w:w="110" w:type="dxa"/>
              <w:bottom w:w="90" w:type="dxa"/>
              <w:end w:w="110" w:type="dxa"/>
            </w:tcMar>
            <w:shd w:fill="173b63"/>
          </w:tcPr>
          <w:p>
            <w:pPr>
              <w:jc w:val="center"/>
            </w:pPr>
            <w:r/>
            <w:r>
              <w:rPr>
                <w:b/>
                <w:color w:val="FFFFFF"/>
                <w:sz w:val="18"/>
              </w:rPr>
              <w:t>Обязательство</w:t>
            </w:r>
          </w:p>
        </w:tc>
        <w:tc>
          <w:tcPr>
            <w:tcW w:type="dxa" w:w="1584"/>
            <w:vAlign w:val="center"/>
            <w:tcMar>
              <w:top w:w="90" w:type="dxa"/>
              <w:start w:w="110" w:type="dxa"/>
              <w:bottom w:w="90" w:type="dxa"/>
              <w:end w:w="110" w:type="dxa"/>
            </w:tcMar>
            <w:shd w:fill="173b63"/>
          </w:tcPr>
          <w:p>
            <w:pPr>
              <w:jc w:val="center"/>
            </w:pPr>
            <w:r/>
            <w:r>
              <w:rPr>
                <w:b/>
                <w:color w:val="FFFFFF"/>
                <w:sz w:val="18"/>
              </w:rPr>
              <w:t>Статус</w:t>
            </w:r>
          </w:p>
        </w:tc>
        <w:tc>
          <w:tcPr>
            <w:tcW w:type="dxa" w:w="2448"/>
            <w:vAlign w:val="center"/>
            <w:tcMar>
              <w:top w:w="90" w:type="dxa"/>
              <w:start w:w="110" w:type="dxa"/>
              <w:bottom w:w="90" w:type="dxa"/>
              <w:end w:w="110" w:type="dxa"/>
            </w:tcMar>
            <w:shd w:fill="173b63"/>
          </w:tcPr>
          <w:p>
            <w:pPr>
              <w:jc w:val="center"/>
            </w:pPr>
            <w:r/>
            <w:r>
              <w:rPr>
                <w:b/>
                <w:color w:val="FFFFFF"/>
                <w:sz w:val="18"/>
              </w:rPr>
              <w:t>Условие закрытия</w:t>
            </w:r>
          </w:p>
        </w:tc>
      </w:tr>
      <w:tr>
        <w:trPr>
          <w:cantSplit/>
        </w:trPr>
        <w:tc>
          <w:tcPr>
            <w:tcW w:type="dxa" w:w="1440"/>
            <w:vAlign w:val="center"/>
            <w:tcMar>
              <w:top w:w="90" w:type="dxa"/>
              <w:start w:w="110" w:type="dxa"/>
              <w:bottom w:w="90" w:type="dxa"/>
              <w:end w:w="110" w:type="dxa"/>
            </w:tcMar>
          </w:tcPr>
          <w:p>
            <w:bookmarkStart w:id="2267" w:name="po_171"/>
            <w:pPr>
              <w:jc w:val="center"/>
            </w:pPr>
            <w:r/>
            <w:r>
              <w:rPr>
                <w:b w:val="0"/>
                <w:sz w:val="15"/>
              </w:rPr>
              <w:t>T2-PO-171</w:t>
            </w:r>
            <w:bookmarkEnd w:id="2267"/>
          </w:p>
        </w:tc>
        <w:tc>
          <w:tcPr>
            <w:tcW w:type="dxa" w:w="4464"/>
            <w:vAlign w:val="center"/>
            <w:tcMar>
              <w:top w:w="90" w:type="dxa"/>
              <w:start w:w="110" w:type="dxa"/>
              <w:bottom w:w="90" w:type="dxa"/>
              <w:end w:w="110" w:type="dxa"/>
            </w:tcMar>
          </w:tcPr>
          <w:p>
            <w:pPr>
              <w:jc w:val="left"/>
            </w:pPr>
            <w:r/>
            <w:r>
              <w:rPr>
                <w:b w:val="0"/>
                <w:sz w:val="15"/>
              </w:rPr>
              <w:t>Определить Art_K и base-change для частичных NAPG-операций.</w:t>
            </w:r>
          </w:p>
        </w:tc>
        <w:tc>
          <w:tcPr>
            <w:tcW w:type="dxa" w:w="1584"/>
            <w:vAlign w:val="center"/>
            <w:tcMar>
              <w:top w:w="90" w:type="dxa"/>
              <w:start w:w="110" w:type="dxa"/>
              <w:bottom w:w="90" w:type="dxa"/>
              <w:end w:w="110" w:type="dxa"/>
            </w:tcMar>
          </w:tcPr>
          <w:p>
            <w:pPr>
              <w:jc w:val="center"/>
            </w:pPr>
            <w:r/>
            <w:r>
              <w:rPr>
                <w:b w:val="0"/>
                <w:sz w:val="15"/>
              </w:rPr>
              <w:t>CLOSED-FD</w:t>
            </w:r>
          </w:p>
        </w:tc>
        <w:tc>
          <w:tcPr>
            <w:tcW w:type="dxa" w:w="2448"/>
            <w:vAlign w:val="center"/>
            <w:tcMar>
              <w:top w:w="90" w:type="dxa"/>
              <w:start w:w="110" w:type="dxa"/>
              <w:bottom w:w="90" w:type="dxa"/>
              <w:end w:w="110" w:type="dxa"/>
            </w:tcMar>
          </w:tcPr>
          <w:p>
            <w:pPr>
              <w:jc w:val="left"/>
            </w:pPr>
            <w:r/>
            <w:r>
              <w:rPr>
                <w:b w:val="0"/>
                <w:sz w:val="15"/>
              </w:rPr>
              <w:t>Конечномерный типизированный сектор.</w:t>
            </w:r>
          </w:p>
        </w:tc>
      </w:tr>
      <w:tr>
        <w:trPr>
          <w:cantSplit/>
        </w:trPr>
        <w:tc>
          <w:tcPr>
            <w:tcW w:type="dxa" w:w="1440"/>
            <w:vAlign w:val="center"/>
            <w:tcMar>
              <w:top w:w="90" w:type="dxa"/>
              <w:start w:w="110" w:type="dxa"/>
              <w:bottom w:w="90" w:type="dxa"/>
              <w:end w:w="110" w:type="dxa"/>
            </w:tcMar>
          </w:tcPr>
          <w:p>
            <w:bookmarkStart w:id="2268" w:name="po_172"/>
            <w:pPr>
              <w:jc w:val="center"/>
            </w:pPr>
            <w:r/>
            <w:r>
              <w:rPr>
                <w:b w:val="0"/>
                <w:sz w:val="15"/>
              </w:rPr>
              <w:t>T2-PO-172</w:t>
            </w:r>
            <w:bookmarkEnd w:id="2268"/>
          </w:p>
        </w:tc>
        <w:tc>
          <w:tcPr>
            <w:tcW w:type="dxa" w:w="4464"/>
            <w:vAlign w:val="center"/>
            <w:tcMar>
              <w:top w:w="90" w:type="dxa"/>
              <w:start w:w="110" w:type="dxa"/>
              <w:bottom w:w="90" w:type="dxa"/>
              <w:end w:w="110" w:type="dxa"/>
            </w:tcMar>
          </w:tcPr>
          <w:p>
            <w:pPr>
              <w:jc w:val="left"/>
            </w:pPr>
            <w:r/>
            <w:r>
              <w:rPr>
                <w:b w:val="0"/>
                <w:sz w:val="15"/>
              </w:rPr>
              <w:t>Построить groupoid-valued Def_N, сохраняющий D/Dom.</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Нужна полная morphism specification.</w:t>
            </w:r>
          </w:p>
        </w:tc>
      </w:tr>
      <w:tr>
        <w:trPr>
          <w:cantSplit/>
        </w:trPr>
        <w:tc>
          <w:tcPr>
            <w:tcW w:type="dxa" w:w="1440"/>
            <w:vAlign w:val="center"/>
            <w:tcMar>
              <w:top w:w="90" w:type="dxa"/>
              <w:start w:w="110" w:type="dxa"/>
              <w:bottom w:w="90" w:type="dxa"/>
              <w:end w:w="110" w:type="dxa"/>
            </w:tcMar>
          </w:tcPr>
          <w:p>
            <w:bookmarkStart w:id="2269" w:name="po_173"/>
            <w:pPr>
              <w:jc w:val="center"/>
            </w:pPr>
            <w:r/>
            <w:r>
              <w:rPr>
                <w:b w:val="0"/>
                <w:sz w:val="15"/>
              </w:rPr>
              <w:t>T2-PO-173</w:t>
            </w:r>
            <w:bookmarkEnd w:id="2269"/>
          </w:p>
        </w:tc>
        <w:tc>
          <w:tcPr>
            <w:tcW w:type="dxa" w:w="4464"/>
            <w:vAlign w:val="center"/>
            <w:tcMar>
              <w:top w:w="90" w:type="dxa"/>
              <w:start w:w="110" w:type="dxa"/>
              <w:bottom w:w="90" w:type="dxa"/>
              <w:end w:w="110" w:type="dxa"/>
            </w:tcMar>
          </w:tcPr>
          <w:p>
            <w:pPr>
              <w:jc w:val="left"/>
            </w:pPr>
            <w:r/>
            <w:r>
              <w:rPr>
                <w:b w:val="0"/>
                <w:sz w:val="15"/>
              </w:rPr>
              <w:t>Доказать small-extension obstruction class.</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Следует из CTRL-16.1.</w:t>
            </w:r>
          </w:p>
        </w:tc>
      </w:tr>
      <w:tr>
        <w:trPr>
          <w:cantSplit/>
        </w:trPr>
        <w:tc>
          <w:tcPr>
            <w:tcW w:type="dxa" w:w="1440"/>
            <w:vAlign w:val="center"/>
            <w:tcMar>
              <w:top w:w="90" w:type="dxa"/>
              <w:start w:w="110" w:type="dxa"/>
              <w:bottom w:w="90" w:type="dxa"/>
              <w:end w:w="110" w:type="dxa"/>
            </w:tcMar>
          </w:tcPr>
          <w:p>
            <w:bookmarkStart w:id="2270" w:name="po_174"/>
            <w:pPr>
              <w:jc w:val="center"/>
            </w:pPr>
            <w:r/>
            <w:r>
              <w:rPr>
                <w:b w:val="0"/>
                <w:sz w:val="15"/>
              </w:rPr>
              <w:t>T2-PO-174</w:t>
            </w:r>
            <w:bookmarkEnd w:id="2270"/>
          </w:p>
        </w:tc>
        <w:tc>
          <w:tcPr>
            <w:tcW w:type="dxa" w:w="4464"/>
            <w:vAlign w:val="center"/>
            <w:tcMar>
              <w:top w:w="90" w:type="dxa"/>
              <w:start w:w="110" w:type="dxa"/>
              <w:bottom w:w="90" w:type="dxa"/>
              <w:end w:w="110" w:type="dxa"/>
            </w:tcMar>
          </w:tcPr>
          <w:p>
            <w:pPr>
              <w:jc w:val="left"/>
            </w:pPr>
            <w:r/>
            <w:r>
              <w:rPr>
                <w:b w:val="0"/>
                <w:sz w:val="15"/>
              </w:rPr>
              <w:t>Доказать lift torsor H_N^2⊗I.</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Полная obstruction theory.</w:t>
            </w:r>
          </w:p>
        </w:tc>
      </w:tr>
      <w:tr>
        <w:trPr>
          <w:cantSplit/>
        </w:trPr>
        <w:tc>
          <w:tcPr>
            <w:tcW w:type="dxa" w:w="1440"/>
            <w:vAlign w:val="center"/>
            <w:tcMar>
              <w:top w:w="90" w:type="dxa"/>
              <w:start w:w="110" w:type="dxa"/>
              <w:bottom w:w="90" w:type="dxa"/>
              <w:end w:w="110" w:type="dxa"/>
            </w:tcMar>
          </w:tcPr>
          <w:p>
            <w:bookmarkStart w:id="2271" w:name="po_175"/>
            <w:pPr>
              <w:jc w:val="center"/>
            </w:pPr>
            <w:r/>
            <w:r>
              <w:rPr>
                <w:b w:val="0"/>
                <w:sz w:val="15"/>
              </w:rPr>
              <w:t>T2-PO-175</w:t>
            </w:r>
            <w:bookmarkEnd w:id="2271"/>
          </w:p>
        </w:tc>
        <w:tc>
          <w:tcPr>
            <w:tcW w:type="dxa" w:w="4464"/>
            <w:vAlign w:val="center"/>
            <w:tcMar>
              <w:top w:w="90" w:type="dxa"/>
              <w:start w:w="110" w:type="dxa"/>
              <w:bottom w:w="90" w:type="dxa"/>
              <w:end w:w="110" w:type="dxa"/>
            </w:tcMar>
          </w:tcPr>
          <w:p>
            <w:pPr>
              <w:jc w:val="left"/>
            </w:pPr>
            <w:r/>
            <w:r>
              <w:rPr>
                <w:b w:val="0"/>
                <w:sz w:val="15"/>
              </w:rPr>
              <w:t>Идентифицировать infinitesimal automorphisms с H_N^1.</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completeness.</w:t>
            </w:r>
          </w:p>
        </w:tc>
      </w:tr>
      <w:tr>
        <w:trPr>
          <w:cantSplit/>
        </w:trPr>
        <w:tc>
          <w:tcPr>
            <w:tcW w:type="dxa" w:w="1440"/>
            <w:vAlign w:val="center"/>
            <w:tcMar>
              <w:top w:w="90" w:type="dxa"/>
              <w:start w:w="110" w:type="dxa"/>
              <w:bottom w:w="90" w:type="dxa"/>
              <w:end w:w="110" w:type="dxa"/>
            </w:tcMar>
          </w:tcPr>
          <w:p>
            <w:bookmarkStart w:id="2272" w:name="po_176"/>
            <w:pPr>
              <w:jc w:val="center"/>
            </w:pPr>
            <w:r/>
            <w:r>
              <w:rPr>
                <w:b w:val="0"/>
                <w:sz w:val="15"/>
              </w:rPr>
              <w:t>T2-PO-176</w:t>
            </w:r>
            <w:bookmarkEnd w:id="2272"/>
          </w:p>
        </w:tc>
        <w:tc>
          <w:tcPr>
            <w:tcW w:type="dxa" w:w="4464"/>
            <w:vAlign w:val="center"/>
            <w:tcMar>
              <w:top w:w="90" w:type="dxa"/>
              <w:start w:w="110" w:type="dxa"/>
              <w:bottom w:w="90" w:type="dxa"/>
              <w:end w:w="110" w:type="dxa"/>
            </w:tcMar>
          </w:tcPr>
          <w:p>
            <w:pPr>
              <w:jc w:val="left"/>
            </w:pPr>
            <w:r/>
            <w:r>
              <w:rPr>
                <w:b w:val="0"/>
                <w:sz w:val="15"/>
              </w:rPr>
              <w:t>Построить controlling filtered L_infinity algebra NAPG.</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Главный алгебраический blocker.</w:t>
            </w:r>
          </w:p>
        </w:tc>
      </w:tr>
      <w:tr>
        <w:trPr>
          <w:cantSplit/>
        </w:trPr>
        <w:tc>
          <w:tcPr>
            <w:tcW w:type="dxa" w:w="1440"/>
            <w:vAlign w:val="center"/>
            <w:tcMar>
              <w:top w:w="90" w:type="dxa"/>
              <w:start w:w="110" w:type="dxa"/>
              <w:bottom w:w="90" w:type="dxa"/>
              <w:end w:w="110" w:type="dxa"/>
            </w:tcMar>
          </w:tcPr>
          <w:p>
            <w:bookmarkStart w:id="2273" w:name="po_177"/>
            <w:pPr>
              <w:jc w:val="center"/>
            </w:pPr>
            <w:r/>
            <w:r>
              <w:rPr>
                <w:b w:val="0"/>
                <w:sz w:val="15"/>
              </w:rPr>
              <w:t>T2-PO-177</w:t>
            </w:r>
            <w:bookmarkEnd w:id="2273"/>
          </w:p>
        </w:tc>
        <w:tc>
          <w:tcPr>
            <w:tcW w:type="dxa" w:w="4464"/>
            <w:vAlign w:val="center"/>
            <w:tcMar>
              <w:top w:w="90" w:type="dxa"/>
              <w:start w:w="110" w:type="dxa"/>
              <w:bottom w:w="90" w:type="dxa"/>
              <w:end w:w="110" w:type="dxa"/>
            </w:tcMar>
          </w:tcPr>
          <w:p>
            <w:pPr>
              <w:jc w:val="left"/>
            </w:pPr>
            <w:r/>
            <w:r>
              <w:rPr>
                <w:b w:val="0"/>
                <w:sz w:val="15"/>
              </w:rPr>
              <w:t>Проверить Schlessinger H1.</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Fiber-product lifting.</w:t>
            </w:r>
          </w:p>
        </w:tc>
      </w:tr>
      <w:tr>
        <w:trPr>
          <w:cantSplit/>
        </w:trPr>
        <w:tc>
          <w:tcPr>
            <w:tcW w:type="dxa" w:w="1440"/>
            <w:vAlign w:val="center"/>
            <w:tcMar>
              <w:top w:w="90" w:type="dxa"/>
              <w:start w:w="110" w:type="dxa"/>
              <w:bottom w:w="90" w:type="dxa"/>
              <w:end w:w="110" w:type="dxa"/>
            </w:tcMar>
          </w:tcPr>
          <w:p>
            <w:bookmarkStart w:id="2274" w:name="po_178"/>
            <w:pPr>
              <w:jc w:val="center"/>
            </w:pPr>
            <w:r/>
            <w:r>
              <w:rPr>
                <w:b w:val="0"/>
                <w:sz w:val="15"/>
              </w:rPr>
              <w:t>T2-PO-178</w:t>
            </w:r>
            <w:bookmarkEnd w:id="2274"/>
          </w:p>
        </w:tc>
        <w:tc>
          <w:tcPr>
            <w:tcW w:type="dxa" w:w="4464"/>
            <w:vAlign w:val="center"/>
            <w:tcMar>
              <w:top w:w="90" w:type="dxa"/>
              <w:start w:w="110" w:type="dxa"/>
              <w:bottom w:w="90" w:type="dxa"/>
              <w:end w:w="110" w:type="dxa"/>
            </w:tcMar>
          </w:tcPr>
          <w:p>
            <w:pPr>
              <w:jc w:val="left"/>
            </w:pPr>
            <w:r/>
            <w:r>
              <w:rPr>
                <w:b w:val="0"/>
                <w:sz w:val="15"/>
              </w:rPr>
              <w:t>Проверить Schlessinger H2.</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Dual-number compatibility.</w:t>
            </w:r>
          </w:p>
        </w:tc>
      </w:tr>
      <w:tr>
        <w:trPr>
          <w:cantSplit/>
        </w:trPr>
        <w:tc>
          <w:tcPr>
            <w:tcW w:type="dxa" w:w="1440"/>
            <w:vAlign w:val="center"/>
            <w:tcMar>
              <w:top w:w="90" w:type="dxa"/>
              <w:start w:w="110" w:type="dxa"/>
              <w:bottom w:w="90" w:type="dxa"/>
              <w:end w:w="110" w:type="dxa"/>
            </w:tcMar>
          </w:tcPr>
          <w:p>
            <w:bookmarkStart w:id="2275" w:name="po_179"/>
            <w:pPr>
              <w:jc w:val="center"/>
            </w:pPr>
            <w:r/>
            <w:r>
              <w:rPr>
                <w:b w:val="0"/>
                <w:sz w:val="15"/>
              </w:rPr>
              <w:t>T2-PO-179</w:t>
            </w:r>
            <w:bookmarkEnd w:id="2275"/>
          </w:p>
        </w:tc>
        <w:tc>
          <w:tcPr>
            <w:tcW w:type="dxa" w:w="4464"/>
            <w:vAlign w:val="center"/>
            <w:tcMar>
              <w:top w:w="90" w:type="dxa"/>
              <w:start w:w="110" w:type="dxa"/>
              <w:bottom w:w="90" w:type="dxa"/>
              <w:end w:w="110" w:type="dxa"/>
            </w:tcMar>
          </w:tcPr>
          <w:p>
            <w:pPr>
              <w:jc w:val="left"/>
            </w:pPr>
            <w:r/>
            <w:r>
              <w:rPr>
                <w:b w:val="0"/>
                <w:sz w:val="15"/>
              </w:rPr>
              <w:t>Доказать H3 finite tangent.</w:t>
            </w:r>
          </w:p>
        </w:tc>
        <w:tc>
          <w:tcPr>
            <w:tcW w:type="dxa" w:w="1584"/>
            <w:vAlign w:val="center"/>
            <w:tcMar>
              <w:top w:w="90" w:type="dxa"/>
              <w:start w:w="110" w:type="dxa"/>
              <w:bottom w:w="90" w:type="dxa"/>
              <w:end w:w="110" w:type="dxa"/>
            </w:tcMar>
          </w:tcPr>
          <w:p>
            <w:pPr>
              <w:jc w:val="center"/>
            </w:pPr>
            <w:r/>
            <w:r>
              <w:rPr>
                <w:b w:val="0"/>
                <w:sz w:val="15"/>
              </w:rPr>
              <w:t>COND-FD</w:t>
            </w:r>
          </w:p>
        </w:tc>
        <w:tc>
          <w:tcPr>
            <w:tcW w:type="dxa" w:w="2448"/>
            <w:vAlign w:val="center"/>
            <w:tcMar>
              <w:top w:w="90" w:type="dxa"/>
              <w:start w:w="110" w:type="dxa"/>
              <w:bottom w:w="90" w:type="dxa"/>
              <w:end w:w="110" w:type="dxa"/>
            </w:tcMar>
          </w:tcPr>
          <w:p>
            <w:pPr>
              <w:jc w:val="left"/>
            </w:pPr>
            <w:r/>
            <w:r>
              <w:rPr>
                <w:b w:val="0"/>
                <w:sz w:val="15"/>
              </w:rPr>
              <w:t>Fredholm/finite sector.</w:t>
            </w:r>
          </w:p>
        </w:tc>
      </w:tr>
      <w:tr>
        <w:trPr>
          <w:cantSplit/>
        </w:trPr>
        <w:tc>
          <w:tcPr>
            <w:tcW w:type="dxa" w:w="1440"/>
            <w:vAlign w:val="center"/>
            <w:tcMar>
              <w:top w:w="90" w:type="dxa"/>
              <w:start w:w="110" w:type="dxa"/>
              <w:bottom w:w="90" w:type="dxa"/>
              <w:end w:w="110" w:type="dxa"/>
            </w:tcMar>
          </w:tcPr>
          <w:p>
            <w:bookmarkStart w:id="2276" w:name="po_180"/>
            <w:pPr>
              <w:jc w:val="center"/>
            </w:pPr>
            <w:r/>
            <w:r>
              <w:rPr>
                <w:b w:val="0"/>
                <w:sz w:val="15"/>
              </w:rPr>
              <w:t>T2-PO-180</w:t>
            </w:r>
            <w:bookmarkEnd w:id="2276"/>
          </w:p>
        </w:tc>
        <w:tc>
          <w:tcPr>
            <w:tcW w:type="dxa" w:w="4464"/>
            <w:vAlign w:val="center"/>
            <w:tcMar>
              <w:top w:w="90" w:type="dxa"/>
              <w:start w:w="110" w:type="dxa"/>
              <w:bottom w:w="90" w:type="dxa"/>
              <w:end w:w="110" w:type="dxa"/>
            </w:tcMar>
          </w:tcPr>
          <w:p>
            <w:pPr>
              <w:jc w:val="left"/>
            </w:pPr>
            <w:r/>
            <w:r>
              <w:rPr>
                <w:b w:val="0"/>
                <w:sz w:val="15"/>
              </w:rPr>
              <w:t>Проверить H4 или явно отказаться от universality.</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Automorphism-sensitive.</w:t>
            </w:r>
          </w:p>
        </w:tc>
      </w:tr>
      <w:tr>
        <w:trPr>
          <w:cantSplit/>
        </w:trPr>
        <w:tc>
          <w:tcPr>
            <w:tcW w:type="dxa" w:w="1440"/>
            <w:vAlign w:val="center"/>
            <w:tcMar>
              <w:top w:w="90" w:type="dxa"/>
              <w:start w:w="110" w:type="dxa"/>
              <w:bottom w:w="90" w:type="dxa"/>
              <w:end w:w="110" w:type="dxa"/>
            </w:tcMar>
          </w:tcPr>
          <w:p>
            <w:bookmarkStart w:id="2277" w:name="po_181"/>
            <w:pPr>
              <w:jc w:val="center"/>
            </w:pPr>
            <w:r/>
            <w:r>
              <w:rPr>
                <w:b w:val="0"/>
                <w:sz w:val="15"/>
              </w:rPr>
              <w:t>T2-PO-181</w:t>
            </w:r>
            <w:bookmarkEnd w:id="2277"/>
          </w:p>
        </w:tc>
        <w:tc>
          <w:tcPr>
            <w:tcW w:type="dxa" w:w="4464"/>
            <w:vAlign w:val="center"/>
            <w:tcMar>
              <w:top w:w="90" w:type="dxa"/>
              <w:start w:w="110" w:type="dxa"/>
              <w:bottom w:w="90" w:type="dxa"/>
              <w:end w:w="110" w:type="dxa"/>
            </w:tcMar>
          </w:tcPr>
          <w:p>
            <w:pPr>
              <w:jc w:val="left"/>
            </w:pPr>
            <w:r/>
            <w:r>
              <w:rPr>
                <w:b w:val="0"/>
                <w:sz w:val="15"/>
              </w:rPr>
              <w:t>Согласовать shift g=C[1] и derived tangent degrees.</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Фиксированная convention.</w:t>
            </w:r>
          </w:p>
        </w:tc>
      </w:tr>
      <w:tr>
        <w:trPr>
          <w:cantSplit/>
        </w:trPr>
        <w:tc>
          <w:tcPr>
            <w:tcW w:type="dxa" w:w="1440"/>
            <w:vAlign w:val="center"/>
            <w:tcMar>
              <w:top w:w="90" w:type="dxa"/>
              <w:start w:w="110" w:type="dxa"/>
              <w:bottom w:w="90" w:type="dxa"/>
              <w:end w:w="110" w:type="dxa"/>
            </w:tcMar>
          </w:tcPr>
          <w:p>
            <w:bookmarkStart w:id="2278" w:name="po_182"/>
            <w:pPr>
              <w:jc w:val="center"/>
            </w:pPr>
            <w:r/>
            <w:r>
              <w:rPr>
                <w:b w:val="0"/>
                <w:sz w:val="15"/>
              </w:rPr>
              <w:t>T2-PO-182</w:t>
            </w:r>
            <w:bookmarkEnd w:id="2278"/>
          </w:p>
        </w:tc>
        <w:tc>
          <w:tcPr>
            <w:tcW w:type="dxa" w:w="4464"/>
            <w:vAlign w:val="center"/>
            <w:tcMar>
              <w:top w:w="90" w:type="dxa"/>
              <w:start w:w="110" w:type="dxa"/>
              <w:bottom w:w="90" w:type="dxa"/>
              <w:end w:w="110" w:type="dxa"/>
            </w:tcMar>
          </w:tcPr>
          <w:p>
            <w:pPr>
              <w:jc w:val="left"/>
            </w:pPr>
            <w:r/>
            <w:r>
              <w:rPr>
                <w:b w:val="0"/>
                <w:sz w:val="15"/>
              </w:rPr>
              <w:t>Доказать совместимость bracket maps с domains.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Unbounded/partial maps.</w:t>
            </w:r>
          </w:p>
        </w:tc>
      </w:tr>
      <w:tr>
        <w:trPr>
          <w:cantSplit/>
        </w:trPr>
        <w:tc>
          <w:tcPr>
            <w:tcW w:type="dxa" w:w="1440"/>
            <w:vAlign w:val="center"/>
            <w:tcMar>
              <w:top w:w="90" w:type="dxa"/>
              <w:start w:w="110" w:type="dxa"/>
              <w:bottom w:w="90" w:type="dxa"/>
              <w:end w:w="110" w:type="dxa"/>
            </w:tcMar>
          </w:tcPr>
          <w:p>
            <w:bookmarkStart w:id="2279" w:name="po_183"/>
            <w:pPr>
              <w:jc w:val="center"/>
            </w:pPr>
            <w:r/>
            <w:r>
              <w:rPr>
                <w:b w:val="0"/>
                <w:sz w:val="15"/>
              </w:rPr>
              <w:t>T2-PO-183</w:t>
            </w:r>
            <w:bookmarkEnd w:id="2279"/>
          </w:p>
        </w:tc>
        <w:tc>
          <w:tcPr>
            <w:tcW w:type="dxa" w:w="4464"/>
            <w:vAlign w:val="center"/>
            <w:tcMar>
              <w:top w:w="90" w:type="dxa"/>
              <w:start w:w="110" w:type="dxa"/>
              <w:bottom w:w="90" w:type="dxa"/>
              <w:end w:w="110" w:type="dxa"/>
            </w:tcMar>
          </w:tcPr>
          <w:p>
            <w:pPr>
              <w:jc w:val="left"/>
            </w:pPr>
            <w:r/>
            <w:r>
              <w:rPr>
                <w:b w:val="0"/>
                <w:sz w:val="15"/>
              </w:rPr>
              <w:t>Построить Hodge contraction p,i,h.</w:t>
            </w:r>
          </w:p>
        </w:tc>
        <w:tc>
          <w:tcPr>
            <w:tcW w:type="dxa" w:w="1584"/>
            <w:vAlign w:val="center"/>
            <w:tcMar>
              <w:top w:w="90" w:type="dxa"/>
              <w:start w:w="110" w:type="dxa"/>
              <w:bottom w:w="90" w:type="dxa"/>
              <w:end w:w="110" w:type="dxa"/>
            </w:tcMar>
          </w:tcPr>
          <w:p>
            <w:pPr>
              <w:jc w:val="center"/>
            </w:pPr>
            <w:r/>
            <w:r>
              <w:rPr>
                <w:b w:val="0"/>
                <w:sz w:val="15"/>
              </w:rPr>
              <w:t>COND-HF</w:t>
            </w:r>
          </w:p>
        </w:tc>
        <w:tc>
          <w:tcPr>
            <w:tcW w:type="dxa" w:w="2448"/>
            <w:vAlign w:val="center"/>
            <w:tcMar>
              <w:top w:w="90" w:type="dxa"/>
              <w:start w:w="110" w:type="dxa"/>
              <w:bottom w:w="90" w:type="dxa"/>
              <w:end w:w="110" w:type="dxa"/>
            </w:tcMar>
          </w:tcPr>
          <w:p>
            <w:pPr>
              <w:jc w:val="left"/>
            </w:pPr>
            <w:r/>
            <w:r>
              <w:rPr>
                <w:b w:val="0"/>
                <w:sz w:val="15"/>
              </w:rPr>
              <w:t>Опирается на v0.12.</w:t>
            </w:r>
          </w:p>
        </w:tc>
      </w:tr>
      <w:tr>
        <w:trPr>
          <w:cantSplit/>
        </w:trPr>
        <w:tc>
          <w:tcPr>
            <w:tcW w:type="dxa" w:w="1440"/>
            <w:vAlign w:val="center"/>
            <w:tcMar>
              <w:top w:w="90" w:type="dxa"/>
              <w:start w:w="110" w:type="dxa"/>
              <w:bottom w:w="90" w:type="dxa"/>
              <w:end w:w="110" w:type="dxa"/>
            </w:tcMar>
          </w:tcPr>
          <w:p>
            <w:bookmarkStart w:id="2280" w:name="po_184"/>
            <w:pPr>
              <w:jc w:val="center"/>
            </w:pPr>
            <w:r/>
            <w:r>
              <w:rPr>
                <w:b w:val="0"/>
                <w:sz w:val="15"/>
              </w:rPr>
              <w:t>T2-PO-184</w:t>
            </w:r>
            <w:bookmarkEnd w:id="2280"/>
          </w:p>
        </w:tc>
        <w:tc>
          <w:tcPr>
            <w:tcW w:type="dxa" w:w="4464"/>
            <w:vAlign w:val="center"/>
            <w:tcMar>
              <w:top w:w="90" w:type="dxa"/>
              <w:start w:w="110" w:type="dxa"/>
              <w:bottom w:w="90" w:type="dxa"/>
              <w:end w:w="110" w:type="dxa"/>
            </w:tcMar>
          </w:tcPr>
          <w:p>
            <w:pPr>
              <w:jc w:val="left"/>
            </w:pPr>
            <w:r/>
            <w:r>
              <w:rPr>
                <w:b w:val="0"/>
                <w:sz w:val="15"/>
              </w:rPr>
              <w:t>Доказать homotopy-transfer convergence.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Uniform multilinear estimates.</w:t>
            </w:r>
          </w:p>
        </w:tc>
      </w:tr>
      <w:tr>
        <w:trPr>
          <w:cantSplit/>
        </w:trPr>
        <w:tc>
          <w:tcPr>
            <w:tcW w:type="dxa" w:w="1440"/>
            <w:vAlign w:val="center"/>
            <w:tcMar>
              <w:top w:w="90" w:type="dxa"/>
              <w:start w:w="110" w:type="dxa"/>
              <w:bottom w:w="90" w:type="dxa"/>
              <w:end w:w="110" w:type="dxa"/>
            </w:tcMar>
          </w:tcPr>
          <w:p>
            <w:bookmarkStart w:id="2281" w:name="po_185"/>
            <w:pPr>
              <w:jc w:val="center"/>
            </w:pPr>
            <w:r/>
            <w:r>
              <w:rPr>
                <w:b w:val="0"/>
                <w:sz w:val="15"/>
              </w:rPr>
              <w:t>T2-PO-185</w:t>
            </w:r>
            <w:bookmarkEnd w:id="2281"/>
          </w:p>
        </w:tc>
        <w:tc>
          <w:tcPr>
            <w:tcW w:type="dxa" w:w="4464"/>
            <w:vAlign w:val="center"/>
            <w:tcMar>
              <w:top w:w="90" w:type="dxa"/>
              <w:start w:w="110" w:type="dxa"/>
              <w:bottom w:w="90" w:type="dxa"/>
              <w:end w:w="110" w:type="dxa"/>
            </w:tcMar>
          </w:tcPr>
          <w:p>
            <w:pPr>
              <w:jc w:val="left"/>
            </w:pPr>
            <w:r/>
            <w:r>
              <w:rPr>
                <w:b w:val="0"/>
                <w:sz w:val="15"/>
              </w:rPr>
              <w:t>Построить Kuranishi recursion.</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Contraction margin m_K&gt;0.</w:t>
            </w:r>
          </w:p>
        </w:tc>
      </w:tr>
      <w:tr>
        <w:trPr>
          <w:cantSplit/>
        </w:trPr>
        <w:tc>
          <w:tcPr>
            <w:tcW w:type="dxa" w:w="1440"/>
            <w:vAlign w:val="center"/>
            <w:tcMar>
              <w:top w:w="90" w:type="dxa"/>
              <w:start w:w="110" w:type="dxa"/>
              <w:bottom w:w="90" w:type="dxa"/>
              <w:end w:w="110" w:type="dxa"/>
            </w:tcMar>
          </w:tcPr>
          <w:p>
            <w:bookmarkStart w:id="2282" w:name="po_186"/>
            <w:pPr>
              <w:jc w:val="center"/>
            </w:pPr>
            <w:r/>
            <w:r>
              <w:rPr>
                <w:b w:val="0"/>
                <w:sz w:val="15"/>
              </w:rPr>
              <w:t>T2-PO-186</w:t>
            </w:r>
            <w:bookmarkEnd w:id="2282"/>
          </w:p>
        </w:tc>
        <w:tc>
          <w:tcPr>
            <w:tcW w:type="dxa" w:w="4464"/>
            <w:vAlign w:val="center"/>
            <w:tcMar>
              <w:top w:w="90" w:type="dxa"/>
              <w:start w:w="110" w:type="dxa"/>
              <w:bottom w:w="90" w:type="dxa"/>
              <w:end w:w="110" w:type="dxa"/>
            </w:tcMar>
          </w:tcPr>
          <w:p>
            <w:pPr>
              <w:jc w:val="left"/>
            </w:pPr>
            <w:r/>
            <w:r>
              <w:rPr>
                <w:b w:val="0"/>
                <w:sz w:val="15"/>
              </w:rPr>
              <w:t>Доказать MC iff K=0 в выбранной окрестности.</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and convergence.</w:t>
            </w:r>
          </w:p>
        </w:tc>
      </w:tr>
      <w:tr>
        <w:trPr>
          <w:cantSplit/>
        </w:trPr>
        <w:tc>
          <w:tcPr>
            <w:tcW w:type="dxa" w:w="1440"/>
            <w:vAlign w:val="center"/>
            <w:tcMar>
              <w:top w:w="90" w:type="dxa"/>
              <w:start w:w="110" w:type="dxa"/>
              <w:bottom w:w="90" w:type="dxa"/>
              <w:end w:w="110" w:type="dxa"/>
            </w:tcMar>
          </w:tcPr>
          <w:p>
            <w:bookmarkStart w:id="2283" w:name="po_187"/>
            <w:pPr>
              <w:jc w:val="center"/>
            </w:pPr>
            <w:r/>
            <w:r>
              <w:rPr>
                <w:b w:val="0"/>
                <w:sz w:val="15"/>
              </w:rPr>
              <w:t>T2-PO-187</w:t>
            </w:r>
            <w:bookmarkEnd w:id="2283"/>
          </w:p>
        </w:tc>
        <w:tc>
          <w:tcPr>
            <w:tcW w:type="dxa" w:w="4464"/>
            <w:vAlign w:val="center"/>
            <w:tcMar>
              <w:top w:w="90" w:type="dxa"/>
              <w:start w:w="110" w:type="dxa"/>
              <w:bottom w:w="90" w:type="dxa"/>
              <w:end w:w="110" w:type="dxa"/>
            </w:tcMar>
          </w:tcPr>
          <w:p>
            <w:pPr>
              <w:jc w:val="left"/>
            </w:pPr>
            <w:r/>
            <w:r>
              <w:rPr>
                <w:b w:val="0"/>
                <w:sz w:val="15"/>
              </w:rPr>
              <w:t>Вычислить κ_2,κ_3 на модели A_2.</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Нужны structural constants.</w:t>
            </w:r>
          </w:p>
        </w:tc>
      </w:tr>
      <w:tr>
        <w:trPr>
          <w:cantSplit/>
        </w:trPr>
        <w:tc>
          <w:tcPr>
            <w:tcW w:type="dxa" w:w="1440"/>
            <w:vAlign w:val="center"/>
            <w:tcMar>
              <w:top w:w="90" w:type="dxa"/>
              <w:start w:w="110" w:type="dxa"/>
              <w:bottom w:w="90" w:type="dxa"/>
              <w:end w:w="110" w:type="dxa"/>
            </w:tcMar>
          </w:tcPr>
          <w:p>
            <w:bookmarkStart w:id="2284" w:name="po_188"/>
            <w:pPr>
              <w:jc w:val="center"/>
            </w:pPr>
            <w:r/>
            <w:r>
              <w:rPr>
                <w:b w:val="0"/>
                <w:sz w:val="15"/>
              </w:rPr>
              <w:t>T2-PO-188</w:t>
            </w:r>
            <w:bookmarkEnd w:id="2284"/>
          </w:p>
        </w:tc>
        <w:tc>
          <w:tcPr>
            <w:tcW w:type="dxa" w:w="4464"/>
            <w:vAlign w:val="center"/>
            <w:tcMar>
              <w:top w:w="90" w:type="dxa"/>
              <w:start w:w="110" w:type="dxa"/>
              <w:bottom w:w="90" w:type="dxa"/>
              <w:end w:w="110" w:type="dxa"/>
            </w:tcMar>
          </w:tcPr>
          <w:p>
            <w:pPr>
              <w:jc w:val="left"/>
            </w:pPr>
            <w:r/>
            <w:r>
              <w:rPr>
                <w:b w:val="0"/>
                <w:sz w:val="15"/>
              </w:rPr>
              <w:t>Построить miniversal local algebra.</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После T2-PO-176/185.</w:t>
            </w:r>
          </w:p>
        </w:tc>
      </w:tr>
      <w:tr>
        <w:trPr>
          <w:cantSplit/>
        </w:trPr>
        <w:tc>
          <w:tcPr>
            <w:tcW w:type="dxa" w:w="1440"/>
            <w:vAlign w:val="center"/>
            <w:tcMar>
              <w:top w:w="90" w:type="dxa"/>
              <w:start w:w="110" w:type="dxa"/>
              <w:bottom w:w="90" w:type="dxa"/>
              <w:end w:w="110" w:type="dxa"/>
            </w:tcMar>
          </w:tcPr>
          <w:p>
            <w:bookmarkStart w:id="2285" w:name="po_189"/>
            <w:pPr>
              <w:jc w:val="center"/>
            </w:pPr>
            <w:r/>
            <w:r>
              <w:rPr>
                <w:b w:val="0"/>
                <w:sz w:val="15"/>
              </w:rPr>
              <w:t>T2-PO-189</w:t>
            </w:r>
            <w:bookmarkEnd w:id="2285"/>
          </w:p>
        </w:tc>
        <w:tc>
          <w:tcPr>
            <w:tcW w:type="dxa" w:w="4464"/>
            <w:vAlign w:val="center"/>
            <w:tcMar>
              <w:top w:w="90" w:type="dxa"/>
              <w:start w:w="110" w:type="dxa"/>
              <w:bottom w:w="90" w:type="dxa"/>
              <w:end w:w="110" w:type="dxa"/>
            </w:tcMar>
          </w:tcPr>
          <w:p>
            <w:pPr>
              <w:jc w:val="left"/>
            </w:pPr>
            <w:r/>
            <w:r>
              <w:rPr>
                <w:b w:val="0"/>
                <w:sz w:val="15"/>
              </w:rPr>
              <w:t>Доказать independence до right-equivalence.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Смена metric/splitting.</w:t>
            </w:r>
          </w:p>
        </w:tc>
      </w:tr>
      <w:tr>
        <w:trPr>
          <w:cantSplit/>
        </w:trPr>
        <w:tc>
          <w:tcPr>
            <w:tcW w:type="dxa" w:w="1440"/>
            <w:vAlign w:val="center"/>
            <w:tcMar>
              <w:top w:w="90" w:type="dxa"/>
              <w:start w:w="110" w:type="dxa"/>
              <w:bottom w:w="90" w:type="dxa"/>
              <w:end w:w="110" w:type="dxa"/>
            </w:tcMar>
          </w:tcPr>
          <w:p>
            <w:bookmarkStart w:id="2286" w:name="po_190"/>
            <w:pPr>
              <w:jc w:val="center"/>
            </w:pPr>
            <w:r/>
            <w:r>
              <w:rPr>
                <w:b w:val="0"/>
                <w:sz w:val="15"/>
              </w:rPr>
              <w:t>T2-PO-190</w:t>
            </w:r>
            <w:bookmarkEnd w:id="2286"/>
          </w:p>
        </w:tc>
        <w:tc>
          <w:tcPr>
            <w:tcW w:type="dxa" w:w="4464"/>
            <w:vAlign w:val="center"/>
            <w:tcMar>
              <w:top w:w="90" w:type="dxa"/>
              <w:start w:w="110" w:type="dxa"/>
              <w:bottom w:w="90" w:type="dxa"/>
              <w:end w:w="110" w:type="dxa"/>
            </w:tcMar>
          </w:tcPr>
          <w:p>
            <w:pPr>
              <w:jc w:val="left"/>
            </w:pPr>
            <w:r/>
            <w:r>
              <w:rPr>
                <w:b w:val="0"/>
                <w:sz w:val="15"/>
              </w:rPr>
              <w:t>Классифицировать stabilizer strata.</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Stack-level data.</w:t>
            </w:r>
          </w:p>
        </w:tc>
      </w:tr>
      <w:tr>
        <w:trPr>
          <w:cantSplit/>
        </w:trPr>
        <w:tc>
          <w:tcPr>
            <w:tcW w:type="dxa" w:w="1440"/>
            <w:vAlign w:val="center"/>
            <w:tcMar>
              <w:top w:w="90" w:type="dxa"/>
              <w:start w:w="110" w:type="dxa"/>
              <w:bottom w:w="90" w:type="dxa"/>
              <w:end w:w="110" w:type="dxa"/>
            </w:tcMar>
          </w:tcPr>
          <w:p>
            <w:bookmarkStart w:id="2287" w:name="po_191"/>
            <w:pPr>
              <w:jc w:val="center"/>
            </w:pPr>
            <w:r/>
            <w:r>
              <w:rPr>
                <w:b w:val="0"/>
                <w:sz w:val="15"/>
              </w:rPr>
              <w:t>T2-PO-191</w:t>
            </w:r>
            <w:bookmarkEnd w:id="2287"/>
          </w:p>
        </w:tc>
        <w:tc>
          <w:tcPr>
            <w:tcW w:type="dxa" w:w="4464"/>
            <w:vAlign w:val="center"/>
            <w:tcMar>
              <w:top w:w="90" w:type="dxa"/>
              <w:start w:w="110" w:type="dxa"/>
              <w:bottom w:w="90" w:type="dxa"/>
              <w:end w:w="110" w:type="dxa"/>
            </w:tcMar>
          </w:tcPr>
          <w:p>
            <w:pPr>
              <w:jc w:val="left"/>
            </w:pPr>
            <w:r/>
            <w:r>
              <w:rPr>
                <w:b w:val="0"/>
                <w:sz w:val="15"/>
              </w:rPr>
              <w:t>Определить derived formal NAPG problem.</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Nilcomplete/infinitesimal cohesive.</w:t>
            </w:r>
          </w:p>
        </w:tc>
      </w:tr>
      <w:tr>
        <w:trPr>
          <w:cantSplit/>
        </w:trPr>
        <w:tc>
          <w:tcPr>
            <w:tcW w:type="dxa" w:w="1440"/>
            <w:vAlign w:val="center"/>
            <w:tcMar>
              <w:top w:w="90" w:type="dxa"/>
              <w:start w:w="110" w:type="dxa"/>
              <w:bottom w:w="90" w:type="dxa"/>
              <w:end w:w="110" w:type="dxa"/>
            </w:tcMar>
          </w:tcPr>
          <w:p>
            <w:bookmarkStart w:id="2288" w:name="po_192"/>
            <w:pPr>
              <w:jc w:val="center"/>
            </w:pPr>
            <w:r/>
            <w:r>
              <w:rPr>
                <w:b w:val="0"/>
                <w:sz w:val="15"/>
              </w:rPr>
              <w:t>T2-PO-192</w:t>
            </w:r>
            <w:bookmarkEnd w:id="2288"/>
          </w:p>
        </w:tc>
        <w:tc>
          <w:tcPr>
            <w:tcW w:type="dxa" w:w="4464"/>
            <w:vAlign w:val="center"/>
            <w:tcMar>
              <w:top w:w="90" w:type="dxa"/>
              <w:start w:w="110" w:type="dxa"/>
              <w:bottom w:w="90" w:type="dxa"/>
              <w:end w:w="110" w:type="dxa"/>
            </w:tcMar>
          </w:tcPr>
          <w:p>
            <w:pPr>
              <w:jc w:val="left"/>
            </w:pPr>
            <w:r/>
            <w:r>
              <w:rPr>
                <w:b w:val="0"/>
                <w:sz w:val="15"/>
              </w:rPr>
              <w:t>Построить ModTriv(I) certificate.</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Параметрическое family data.</w:t>
            </w:r>
          </w:p>
        </w:tc>
      </w:tr>
      <w:tr>
        <w:trPr>
          <w:cantSplit/>
        </w:trPr>
        <w:tc>
          <w:tcPr>
            <w:tcW w:type="dxa" w:w="1440"/>
            <w:vAlign w:val="center"/>
            <w:tcMar>
              <w:top w:w="90" w:type="dxa"/>
              <w:start w:w="110" w:type="dxa"/>
              <w:bottom w:w="90" w:type="dxa"/>
              <w:end w:w="110" w:type="dxa"/>
            </w:tcMar>
          </w:tcPr>
          <w:p>
            <w:bookmarkStart w:id="2289" w:name="po_193"/>
            <w:pPr>
              <w:jc w:val="center"/>
            </w:pPr>
            <w:r/>
            <w:r>
              <w:rPr>
                <w:b w:val="0"/>
                <w:sz w:val="15"/>
              </w:rPr>
              <w:t>T2-PO-193</w:t>
            </w:r>
            <w:bookmarkEnd w:id="2289"/>
          </w:p>
        </w:tc>
        <w:tc>
          <w:tcPr>
            <w:tcW w:type="dxa" w:w="4464"/>
            <w:vAlign w:val="center"/>
            <w:tcMar>
              <w:top w:w="90" w:type="dxa"/>
              <w:start w:w="110" w:type="dxa"/>
              <w:bottom w:w="90" w:type="dxa"/>
              <w:end w:w="110" w:type="dxa"/>
            </w:tcMar>
          </w:tcPr>
          <w:p>
            <w:pPr>
              <w:jc w:val="left"/>
            </w:pPr>
            <w:r/>
            <w:r>
              <w:rPr>
                <w:b w:val="0"/>
                <w:sz w:val="15"/>
              </w:rPr>
              <w:t>Сертифицировать interval bound для ||K(x)||.</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Validated numerics.</w:t>
            </w:r>
          </w:p>
        </w:tc>
      </w:tr>
      <w:tr>
        <w:trPr>
          <w:cantSplit/>
        </w:trPr>
        <w:tc>
          <w:tcPr>
            <w:tcW w:type="dxa" w:w="1440"/>
            <w:vAlign w:val="center"/>
            <w:tcMar>
              <w:top w:w="90" w:type="dxa"/>
              <w:start w:w="110" w:type="dxa"/>
              <w:bottom w:w="90" w:type="dxa"/>
              <w:end w:w="110" w:type="dxa"/>
            </w:tcMar>
          </w:tcPr>
          <w:p>
            <w:bookmarkStart w:id="2290" w:name="po_194"/>
            <w:pPr>
              <w:jc w:val="center"/>
            </w:pPr>
            <w:r/>
            <w:r>
              <w:rPr>
                <w:b w:val="0"/>
                <w:sz w:val="15"/>
              </w:rPr>
              <w:t>T2-PO-194</w:t>
            </w:r>
            <w:bookmarkEnd w:id="2290"/>
          </w:p>
        </w:tc>
        <w:tc>
          <w:tcPr>
            <w:tcW w:type="dxa" w:w="4464"/>
            <w:vAlign w:val="center"/>
            <w:tcMar>
              <w:top w:w="90" w:type="dxa"/>
              <w:start w:w="110" w:type="dxa"/>
              <w:bottom w:w="90" w:type="dxa"/>
              <w:end w:w="110" w:type="dxa"/>
            </w:tcMar>
          </w:tcPr>
          <w:p>
            <w:pPr>
              <w:jc w:val="left"/>
            </w:pPr>
            <w:r/>
            <w:r>
              <w:rPr>
                <w:b w:val="0"/>
                <w:sz w:val="15"/>
              </w:rPr>
              <w:t>Согласовать Kuranishi carrier с Π_E и β_Ass.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Bridge theorem.</w:t>
            </w:r>
          </w:p>
        </w:tc>
      </w:tr>
      <w:tr>
        <w:trPr>
          <w:cantSplit/>
        </w:trPr>
        <w:tc>
          <w:tcPr>
            <w:tcW w:type="dxa" w:w="1440"/>
            <w:vAlign w:val="center"/>
            <w:tcMar>
              <w:top w:w="90" w:type="dxa"/>
              <w:start w:w="110" w:type="dxa"/>
              <w:bottom w:w="90" w:type="dxa"/>
              <w:end w:w="110" w:type="dxa"/>
            </w:tcMar>
          </w:tcPr>
          <w:p>
            <w:bookmarkStart w:id="2291" w:name="po_195"/>
            <w:pPr>
              <w:jc w:val="center"/>
            </w:pPr>
            <w:r/>
            <w:r>
              <w:rPr>
                <w:b w:val="0"/>
                <w:sz w:val="15"/>
              </w:rPr>
              <w:t>T2-PO-195</w:t>
            </w:r>
            <w:bookmarkEnd w:id="2291"/>
          </w:p>
        </w:tc>
        <w:tc>
          <w:tcPr>
            <w:tcW w:type="dxa" w:w="4464"/>
            <w:vAlign w:val="center"/>
            <w:tcMar>
              <w:top w:w="90" w:type="dxa"/>
              <w:start w:w="110" w:type="dxa"/>
              <w:bottom w:w="90" w:type="dxa"/>
              <w:end w:w="110" w:type="dxa"/>
            </w:tcMar>
          </w:tcPr>
          <w:p>
            <w:pPr>
              <w:jc w:val="left"/>
            </w:pPr>
            <w:r/>
            <w:r>
              <w:rPr>
                <w:b w:val="0"/>
                <w:sz w:val="15"/>
              </w:rPr>
              <w:t>Провести независимый moduli run.</w:t>
            </w:r>
          </w:p>
        </w:tc>
        <w:tc>
          <w:tcPr>
            <w:tcW w:type="dxa" w:w="1584"/>
            <w:vAlign w:val="center"/>
            <w:tcMar>
              <w:top w:w="90" w:type="dxa"/>
              <w:start w:w="110" w:type="dxa"/>
              <w:bottom w:w="90" w:type="dxa"/>
              <w:end w:w="110" w:type="dxa"/>
            </w:tcMar>
          </w:tcPr>
          <w:p>
            <w:pPr>
              <w:jc w:val="center"/>
            </w:pPr>
            <w:r/>
            <w:r>
              <w:rPr>
                <w:b w:val="0"/>
                <w:sz w:val="15"/>
              </w:rPr>
              <w:t>OPEN-IND</w:t>
            </w:r>
          </w:p>
        </w:tc>
        <w:tc>
          <w:tcPr>
            <w:tcW w:type="dxa" w:w="2448"/>
            <w:vAlign w:val="center"/>
            <w:tcMar>
              <w:top w:w="90" w:type="dxa"/>
              <w:start w:w="110" w:type="dxa"/>
              <w:bottom w:w="90" w:type="dxa"/>
              <w:end w:w="110" w:type="dxa"/>
            </w:tcMar>
          </w:tcPr>
          <w:p>
            <w:pPr>
              <w:jc w:val="left"/>
            </w:pPr>
            <w:r/>
            <w:r>
              <w:rPr>
                <w:b w:val="0"/>
                <w:sz w:val="15"/>
              </w:rPr>
              <w:t>Внешний код и данные.</w:t>
            </w:r>
          </w:p>
        </w:tc>
      </w:tr>
      <w:tr>
        <w:trPr>
          <w:cantSplit/>
        </w:trPr>
        <w:tc>
          <w:tcPr>
            <w:tcW w:type="dxa" w:w="1440"/>
            <w:vAlign w:val="center"/>
            <w:tcMar>
              <w:top w:w="90" w:type="dxa"/>
              <w:start w:w="110" w:type="dxa"/>
              <w:bottom w:w="90" w:type="dxa"/>
              <w:end w:w="110" w:type="dxa"/>
            </w:tcMar>
          </w:tcPr>
          <w:p>
            <w:bookmarkStart w:id="2292" w:name="po_196"/>
            <w:pPr>
              <w:jc w:val="center"/>
            </w:pPr>
            <w:r/>
            <w:r>
              <w:rPr>
                <w:b w:val="0"/>
                <w:sz w:val="15"/>
              </w:rPr>
              <w:t>T2-PO-196</w:t>
            </w:r>
            <w:bookmarkEnd w:id="2292"/>
          </w:p>
        </w:tc>
        <w:tc>
          <w:tcPr>
            <w:tcW w:type="dxa" w:w="4464"/>
            <w:vAlign w:val="center"/>
            <w:tcMar>
              <w:top w:w="90" w:type="dxa"/>
              <w:start w:w="110" w:type="dxa"/>
              <w:bottom w:w="90" w:type="dxa"/>
              <w:end w:w="110" w:type="dxa"/>
            </w:tcMar>
          </w:tcPr>
          <w:p>
            <w:pPr>
              <w:jc w:val="left"/>
            </w:pPr>
            <w:r/>
            <w:r>
              <w:rPr>
                <w:b w:val="0"/>
                <w:sz w:val="15"/>
              </w:rPr>
              <w:t>Сохранить физический status lock.</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truth_layer_promotion=0.</w:t>
            </w:r>
          </w:p>
        </w:tc>
      </w:tr>
    </w:tbl>
    <w:p>
      <w:bookmarkStart w:id="1100" w:name="h_2098"/>
      <w:pPr>
        <w:pStyle w:val="Heading1"/>
        <w:keepNext/>
      </w:pPr>
      <w:r>
        <w:t>173. Prior art, граница авторского вклада и контрольная точка</w:t>
      </w:r>
      <w:bookmarkEnd w:id="1100"/>
    </w:p>
    <w:p>
      <w:pPr>
        <w:spacing w:after="100"/>
      </w:pPr>
      <w:r>
        <w:t>Классический prior art включает: функторы артиевых колец и критерии hull/prorepresentability Шлессингера; теорию деформаций Кодайры-Спенсера и локально полные семейства Кураниши; cohomology-controlled deformation theory Герштенхабера и Нейенхёйса-Ричардсона; quadratic deformation germs Goldman-Millson; derived formal moduli frameworks Lurie-Pridham. Эти результаты не являются авторскими результатами проекта.</w:t>
      </w:r>
    </w:p>
    <w:p>
      <w:pPr>
        <w:spacing w:after="100"/>
      </w:pPr>
      <w:r>
        <w:t>Авторский слой Курпишева в этой главе состоит в типизированном включении moduli-Kuranishi apparatus в архитектуру NAPG/KLT-RBD: триада H_N^1/H_N^2/H_N^3 связывается с D/Dom, Evidence-D, projective harmonic gate, внутренним и внешним obstruction carriers, Hodge-Green certificate, модульным переходным горизонтом и трёхзначным предсказательным выводом.</w:t>
      </w:r>
    </w:p>
    <w:p>
      <w:pPr>
        <w:spacing w:after="100"/>
      </w:pPr>
      <w:r>
        <w:t>[V0.13-1] Schlessinger, M. Functors of Artin Rings. Transactions of the AMS 130 (1968), 208-222.</w:t>
      </w:r>
    </w:p>
    <w:p>
      <w:pPr>
        <w:spacing w:after="100"/>
      </w:pPr>
      <w:r>
        <w:t>[V0.13-2] Kodaira, K.; Spencer, D. C. On Deformations of Complex Analytic Structures I-II. Annals of Mathematics 67 (1958), 328-466. DOI 10.2307/1970009.</w:t>
      </w:r>
    </w:p>
    <w:p>
      <w:pPr>
        <w:spacing w:after="100"/>
      </w:pPr>
      <w:r>
        <w:t>[V0.13-3] Kuranishi, M. On the Locally Complete Families of Complex Analytic Structures. Annals of Mathematics 75 (1962), 536-577. DOI 10.2307/1970211.</w:t>
      </w:r>
    </w:p>
    <w:p>
      <w:pPr>
        <w:spacing w:after="100"/>
      </w:pPr>
      <w:r>
        <w:t>[V0.13-4] Kuranishi, M. New Proof for the Existence of Locally Complete Families of Complex Structures. Proc. Conf. Complex Analysis, Springer (1965), 142-154. DOI 10.1007/978-3-642-48016-4_13.</w:t>
      </w:r>
    </w:p>
    <w:p>
      <w:pPr>
        <w:spacing w:after="100"/>
      </w:pPr>
      <w:r>
        <w:t>[V0.13-5] Nijenhuis, A.; Richardson, R. W. Cohomology and Deformations in Graded Lie Algebras. Bull. AMS 72 (1966), 1-29. DOI 10.1090/S0002-9904-1966-11401-5.</w:t>
      </w:r>
    </w:p>
    <w:p>
      <w:pPr>
        <w:spacing w:after="100"/>
      </w:pPr>
      <w:r>
        <w:t>[V0.13-6] Goldman, W. M.; Millson, J. J. The Deformation Theory of Representations of Fundamental Groups of Compact Kähler Manifolds. Publ. Math. IHES 67 (1988), 43-96. DOI 10.1007/BF02699127.</w:t>
      </w:r>
    </w:p>
    <w:p>
      <w:pPr>
        <w:spacing w:after="100"/>
      </w:pPr>
      <w:r>
        <w:t>[V0.13-7] Pridham, J. P. Unifying Derived Deformation Theories. Advances in Mathematics 224 (2010), 772-826. arXiv:0705.0344.</w:t>
      </w:r>
    </w:p>
    <w:p>
      <w:pPr>
        <w:spacing w:after="100"/>
      </w:pPr>
      <w:r>
        <w:t>[V0.13-8] Lurie, J. Derived Algebraic Geometry IV: Deformation Theory. arXiv:0709.3091.</w:t>
      </w:r>
    </w:p>
    <w:p>
      <w:pPr>
        <w:spacing w:after="100"/>
      </w:pPr>
      <w:r>
        <w:t>[V0.13-9] Kurpishev, I. B. Том I v197 RU; Том II T2-RP-v0.1-v0.12.</w:t>
      </w:r>
    </w:p>
    <w:p>
      <w:bookmarkStart w:id="1865" w:name="f_16_33"/>
      <w:pPr>
        <w:pStyle w:val="Quote"/>
        <w:spacing w:before="80" w:after="120"/>
        <w:jc w:val="center"/>
      </w:pPr>
      <w:r>
        <w:t>truth_layer_promotion=0; checkpoint=T2-RP-v0.13; next=T2-RP-v0.14.                  (16.33)</w:t>
      </w:r>
      <w:bookmarkEnd w:id="1865"/>
    </w:p>
    <w:p>
      <w:pPr>
        <w:pStyle w:val="Lead"/>
        <w:spacing w:after="100"/>
      </w:pPr>
      <w:r>
        <w:t>Глава 16 построила локальную модульную машину NAPG: от Artin deformation functor и small-extension obstruction calculus до derived tangent complex, Hodge-Green contraction, Kuranishi map, miniversal base, higher obstruction tower и moduli-safe predictive horizon. Главный отрицательный результат: равномерно ненулевой Kuranishi residual исключает интегрируемость выбранной ветви в сертифицированной локальной модели. Нулевой residual создаёт только candidate-lift, а не событие.</w:t>
      </w:r>
    </w:p>
    <w:p>
      <w:pPr>
        <w:pStyle w:val="Small"/>
        <w:spacing w:after="100"/>
      </w:pPr>
      <w:r>
        <w:t>Следующая сборка tom2_v0_14 развивает каноническую главу 17: стратифицированные пространства модулей, wall-crossing, bifurcation loci, monodromy of branches и устойчивые переходные инварианты.</w:t>
      </w:r>
    </w:p>
    <w:p>
      <w:pPr>
        <w:pStyle w:val="Small"/>
        <w:spacing w:after="100"/>
      </w:pPr>
      <w:r>
        <w:t>checkpoint=T2-RP-v0.13; source=T2-RP-v0.12; truth_layer_promotion=0; next=T2-RP-v0.14.</w:t>
      </w:r>
    </w:p>
    <w:p>
      <w:r>
        <w:br/>
      </w:r>
    </w:p>
    <w:p>
      <w:pPr>
        <w:pStyle w:val="Title"/>
        <w:jc w:val="center"/>
      </w:pPr>
      <w:r>
        <w:t>Глава 17. Стратифицированные пространства модулей, wall-crossing, bifurcation loci и монодромия ветвей</w:t>
      </w:r>
    </w:p>
    <w:p>
      <w:pPr>
        <w:pStyle w:val="Subtitle"/>
        <w:jc w:val="center"/>
      </w:pPr>
      <w:r>
        <w:t>Контрольная точка T2-RP-v0.14 · кумулятивное продолжение tom2_v0_13</w:t>
      </w:r>
    </w:p>
    <w:tbl>
      <w:tblPr>
        <w:tblW w:type="auto" w:w="0"/>
        <w:jc w:val="center"/>
        <w:tblLayout w:type="fixed"/>
        <w:tblLook w:firstColumn="1" w:firstRow="1" w:lastColumn="0" w:lastRow="0" w:noHBand="0" w:noVBand="1" w:val="04A0"/>
      </w:tblPr>
      <w:tblGrid>
        <w:gridCol w:w="2304"/>
        <w:gridCol w:w="8208"/>
      </w:tblGrid>
      <w:tr>
        <w:trPr>
          <w:tblHeader w:val="true"/>
          <w:cantSplit/>
        </w:trPr>
        <w:tc>
          <w:tcPr>
            <w:tcW w:type="dxa" w:w="2304"/>
            <w:shd w:fill="1F4E78"/>
            <w:tcMar>
              <w:top w:w="120" w:type="dxa"/>
              <w:start w:w="140" w:type="dxa"/>
              <w:bottom w:w="120" w:type="dxa"/>
              <w:end w:w="140" w:type="dxa"/>
            </w:tcMar>
            <w:vAlign w:val="center"/>
          </w:tcPr>
          <w:p>
            <w:r>
              <w:rPr>
                <w:b/>
                <w:color w:val="FFFFFF"/>
              </w:rPr>
              <w:t>ОНТОЛОГИЯ</w:t>
            </w:r>
          </w:p>
        </w:tc>
        <w:tc>
          <w:tcPr>
            <w:tcW w:type="dxa" w:w="8208"/>
            <w:shd w:fill="DCE6F1"/>
            <w:tcMar>
              <w:top w:w="120" w:type="dxa"/>
              <w:start w:w="140" w:type="dxa"/>
              <w:bottom w:w="120" w:type="dxa"/>
              <w:end w:w="140" w:type="dxa"/>
            </w:tcMar>
            <w:vAlign w:val="center"/>
          </w:tcPr>
          <w:p>
            <w:r>
              <w:t>Пространство модулей не является единым гладким фоном. Оно состоит из страт, на которых тип объекта, размер стабилизатора, ранги касательного и obstruction-слоёв сохраняются, а границы страт фиксируют места возможной перестройки.</w:t>
            </w:r>
          </w:p>
        </w:tc>
      </w:tr>
      <w:tr>
        <w:trPr>
          <w:cantSplit/>
        </w:trPr>
        <w:tc>
          <w:tcPr>
            <w:tcW w:type="dxa" w:w="2304"/>
            <w:shd w:fill="1F4E78"/>
            <w:tcMar>
              <w:top w:w="120" w:type="dxa"/>
              <w:start w:w="140" w:type="dxa"/>
              <w:bottom w:w="120" w:type="dxa"/>
              <w:end w:w="140" w:type="dxa"/>
            </w:tcMar>
            <w:vAlign w:val="center"/>
          </w:tcPr>
          <w:p>
            <w:r>
              <w:rPr>
                <w:b/>
                <w:color w:val="FFFFFF"/>
              </w:rPr>
              <w:t>ГНОСЕОЛОГИЯ</w:t>
            </w:r>
          </w:p>
        </w:tc>
        <w:tc>
          <w:tcPr>
            <w:tcW w:type="dxa" w:w="8208"/>
            <w:shd w:fill="DCE6F1"/>
            <w:tcMar>
              <w:top w:w="120" w:type="dxa"/>
              <w:start w:w="140" w:type="dxa"/>
              <w:bottom w:w="120" w:type="dxa"/>
              <w:end w:w="140" w:type="dxa"/>
            </w:tcMar>
            <w:vAlign w:val="center"/>
          </w:tcPr>
          <w:p>
            <w:r>
              <w:t>Wall-crossing является знанием о смене классификационного режима, а не свидетельством наступившего физического события. Надёжный вывод требует карты ветвей, переходных инвариантов, достаточного основания D и явно заданного Dom.</w:t>
            </w:r>
          </w:p>
        </w:tc>
      </w:tr>
      <w:tr>
        <w:trPr>
          <w:cantSplit/>
        </w:trPr>
        <w:tc>
          <w:tcPr>
            <w:tcW w:type="dxa" w:w="2304"/>
            <w:shd w:fill="1F4E78"/>
            <w:tcMar>
              <w:top w:w="120" w:type="dxa"/>
              <w:start w:w="140" w:type="dxa"/>
              <w:bottom w:w="120" w:type="dxa"/>
              <w:end w:w="140" w:type="dxa"/>
            </w:tcMar>
            <w:vAlign w:val="center"/>
          </w:tcPr>
          <w:p>
            <w:r>
              <w:rPr>
                <w:b/>
                <w:color w:val="FFFFFF"/>
              </w:rPr>
              <w:t>ФЕНОМЕНОЛОГИЯ</w:t>
            </w:r>
          </w:p>
        </w:tc>
        <w:tc>
          <w:tcPr>
            <w:tcW w:type="dxa" w:w="8208"/>
            <w:shd w:fill="DCE6F1"/>
            <w:tcMar>
              <w:top w:w="120" w:type="dxa"/>
              <w:start w:w="140" w:type="dxa"/>
              <w:bottom w:w="120" w:type="dxa"/>
              <w:end w:w="140" w:type="dxa"/>
            </w:tcMar>
            <w:vAlign w:val="center"/>
          </w:tcPr>
          <w:p>
            <w:r>
              <w:t>Наблюдаемая ветвь может исчезать, раздваиваться, сливаться или возвращаться после обхода сингулярного локуса с иной маркировкой. Монодромия хранит память обхода, но не создаёт причинность сама по себе.</w:t>
            </w:r>
          </w:p>
        </w:tc>
      </w:tr>
      <w:tr>
        <w:trPr>
          <w:cantSplit/>
        </w:trPr>
        <w:tc>
          <w:tcPr>
            <w:tcW w:type="dxa" w:w="2304"/>
            <w:shd w:fill="1F4E78"/>
            <w:tcMar>
              <w:top w:w="120" w:type="dxa"/>
              <w:start w:w="140" w:type="dxa"/>
              <w:bottom w:w="120" w:type="dxa"/>
              <w:end w:w="140" w:type="dxa"/>
            </w:tcMar>
            <w:vAlign w:val="center"/>
          </w:tcPr>
          <w:p>
            <w:r>
              <w:rPr>
                <w:b/>
                <w:color w:val="FFFFFF"/>
              </w:rPr>
              <w:t>ГРАНИЦА</w:t>
            </w:r>
          </w:p>
        </w:tc>
        <w:tc>
          <w:tcPr>
            <w:tcW w:type="dxa" w:w="8208"/>
            <w:shd w:fill="FFF2CC"/>
            <w:tcMar>
              <w:top w:w="120" w:type="dxa"/>
              <w:start w:w="140" w:type="dxa"/>
              <w:bottom w:w="120" w:type="dxa"/>
              <w:end w:w="140" w:type="dxa"/>
            </w:tcMar>
            <w:vAlign w:val="center"/>
          </w:tcPr>
          <w:p>
            <w:r>
              <w:t>Все теоремы главы относятся к сертифицированным конечномерным аналитическим, алгебраическим или стратифицированным моделям. ПН.2, F-1-F-14 и физические мосты статуса не меняют; truth_layer_promotion=0.</w:t>
            </w:r>
          </w:p>
        </w:tc>
      </w:tr>
    </w:tbl>
    <w:p>
      <w:bookmarkStart w:id="1101" w:name="h_2117"/>
      <w:pPr>
        <w:pStyle w:val="Heading1"/>
        <w:keepNext/>
      </w:pPr>
      <w:r>
        <w:t>174. Модульное пространство как стратифицированный объект</w:t>
      </w:r>
      <w:bookmarkEnd w:id="1101"/>
    </w:p>
    <w:p>
      <w:pPr/>
      <w:r>
        <w:t>Пусть M_N обозначает локальный или глобальный носитель классов NAPG-структур после факторизации по допустимым изоморфизмам. Даже если каждая регулярная точка допускает локальную Kuranishi-модель, объединение классов обычно не является многообразием: размер стабилизатора, число ветвей, ранг линейзации и тип препятствий могут скачкообразно меняться.</w:t>
      </w:r>
    </w:p>
    <w:p>
      <w:bookmarkStart w:id="1866" w:name="f_17_1"/>
      <w:pPr>
        <w:pStyle w:val="Quote"/>
        <w:jc w:val="center"/>
      </w:pPr>
      <w:r>
        <w:t>M_N = ⨆_{α∈A} S_α,      S_α ∩ overline(S_β) ≠ ∅ ⇒ S_α ⊂ overline(S_β).                 (17.1)</w:t>
      </w:r>
      <w:bookmarkEnd w:id="1866"/>
    </w:p>
    <w:p>
      <w:pPr/>
      <w:r>
        <w:t>Стратификация считается допустимой для предсказательного слоя, если каждая S_α является гладкой локально замкнутой стратой, локальный модульный профиль постоянен на S_α, а frontier condition проверено. Whitney (a) и (b) не объявляются автоматически: они являются отдельными доказательными обязательствами.</w:t>
      </w:r>
    </w:p>
    <w:p>
      <w:pPr>
        <w:jc w:val="center"/>
      </w:pPr>
      <w:r>
        <w:drawing>
          <wp:inline xmlns:a="http://schemas.openxmlformats.org/drawingml/2006/main" xmlns:pic="http://schemas.openxmlformats.org/drawingml/2006/picture">
            <wp:extent cx="6217920" cy="3150752"/>
            <wp:docPr id="42" name="Picture 42" descr="Рисунок 17.1. Стратифицированное пространство модулей, стена и бифуркационный локус. Собственная схема Тома II." title="Рисунок 17.1. Стратифицированное пространство модулей, стена и бифуркационный локус. Собственная схема Тома II."/>
            <wp:cNvGraphicFramePr>
              <a:graphicFrameLocks noChangeAspect="1"/>
            </wp:cNvGraphicFramePr>
            <a:graphic>
              <a:graphicData uri="http://schemas.openxmlformats.org/drawingml/2006/picture">
                <pic:pic>
                  <pic:nvPicPr>
                    <pic:cNvPr id="0" name="fig17_1.png" descr="Рисунок 17.1. Стратифицированное пространство модулей, стена и бифуркационный локус. Собственная схема Тома II." title="Рисунок 17.1. Стратифицированное пространство модулей, стена и бифуркационный локус. Собственная схема Тома II."/>
                    <pic:cNvPicPr/>
                  </pic:nvPicPr>
                  <pic:blipFill>
                    <a:blip r:embed="rId71"/>
                    <a:stretch>
                      <a:fillRect/>
                    </a:stretch>
                  </pic:blipFill>
                  <pic:spPr>
                    <a:xfrm>
                      <a:off x="0" y="0"/>
                      <a:ext cx="6217920" cy="3150752"/>
                    </a:xfrm>
                    <a:prstGeom prst="rect"/>
                  </pic:spPr>
                </pic:pic>
              </a:graphicData>
            </a:graphic>
          </wp:inline>
        </w:drawing>
      </w:r>
    </w:p>
    <w:p>
      <w:pPr>
        <w:pStyle w:val="Caption"/>
        <w:keepNext/>
        <w:jc w:val="center"/>
      </w:pPr>
      <w:r>
        <w:t>Рисунок 17.1. Стратифицированное пространство модулей, стена и бифуркационный локус. Собственная схема Тома II.</w:t>
      </w:r>
    </w:p>
    <w:p>
      <w:bookmarkStart w:id="1102" w:name="h_2123"/>
      <w:pPr>
        <w:pStyle w:val="Heading1"/>
        <w:keepNext/>
      </w:pPr>
      <w:r>
        <w:t>175. Профиль страты и переходные инварианты</w:t>
      </w:r>
      <w:bookmarkEnd w:id="1102"/>
    </w:p>
    <w:p>
      <w:pPr/>
      <w:r>
        <w:t>Для точки x∈S_α вводится типизированный профиль, объединяющий локальные данные главы 16 и аналитический запас главы 15:</w:t>
      </w:r>
    </w:p>
    <w:p>
      <w:bookmarkStart w:id="1867" w:name="f_17_2"/>
      <w:pPr>
        <w:pStyle w:val="Quote"/>
        <w:jc w:val="center"/>
      </w:pPr>
      <w:r>
        <w:t>P_str(x) = (dim H¹_x, dim H²_x, dim H³_x, dim Aut_x, rank dK_x, mult_x, HS_x, γ_x, λ_x, D_x, Dom_x).  (17.2)</w:t>
      </w:r>
      <w:bookmarkEnd w:id="1867"/>
    </w:p>
    <w:p>
      <w:pPr/>
      <w:r>
        <w:t>Здесь mult_x обозначает кратность локального germ, HS_x - Hilbert-Samuel функцию, γ_x - сертифицированный спектральный зазор. Переходным инвариантом называется функция I на регулярной части, локально постоянная на каждой страте и снабжённая правилом сравнения при подходе к frontier.</w:t>
      </w:r>
    </w:p>
    <w:p>
      <w:bookmarkStart w:id="1868" w:name="f_17_3"/>
      <w:pPr>
        <w:pStyle w:val="Quote"/>
        <w:jc w:val="center"/>
      </w:pPr>
      <w:r>
        <w:t>I_trans : M_N^reg → Λ,      I_trans|_{S_α}=const.                              (17.3)</w:t>
      </w:r>
      <w:bookmarkEnd w:id="1868"/>
    </w:p>
    <w:p>
      <w:pPr/>
      <w:r>
        <w:t>Отсутствие правила сравнения означает, что значения на соседних стратах нельзя складывать, вычитать или ранжировать, даже если они записаны одинаковыми числами.</w:t>
      </w:r>
    </w:p>
    <w:p>
      <w:bookmarkStart w:id="1103" w:name="h_2129"/>
      <w:pPr>
        <w:pStyle w:val="Heading1"/>
        <w:keepNext/>
      </w:pPr>
      <w:r>
        <w:t>176. Wall, chamber и wall certificate</w:t>
      </w:r>
      <w:bookmarkEnd w:id="1103"/>
    </w:p>
    <w:p>
      <w:pPr/>
      <w:r>
        <w:t>Пусть параметрическое пространство P разбито на камеры C_ν и стены W_μ. Камера есть связная компонента P\W, на которой сертифицированный модульный тип постоянен. Стена есть локус, где нарушается хотя бы один из ранговых, стабилизаторных, спектральных, доменных или ветвящихся признаков.</w:t>
      </w:r>
    </w:p>
    <w:p>
      <w:bookmarkStart w:id="1869" w:name="f_17_4"/>
      <w:pPr>
        <w:pStyle w:val="Quote"/>
        <w:jc w:val="center"/>
      </w:pPr>
      <w:r>
        <w:t>W = Δ_rank ∪ Δ_aut ∪ Δ_obs ∪ Δ_gap ∪ Δ_branch ∪ Δ_D ∪ Δ_Dom ∪ Δ_glue.      (17.4)</w:t>
      </w:r>
      <w:bookmarkEnd w:id="1869"/>
    </w:p>
    <w:p>
      <w:pPr/>
      <w:r>
        <w:t>Wall certificate WC(t*) состоит из локального уравнения стены, ориентации нормали или coorientation, перечня подходящих ветвей, односторонних пределов инвариантов, контроля multiplicity, Evidence-D и воспроизводимого вычислительного свидетельства.</w:t>
      </w:r>
    </w:p>
    <w:p>
      <w:pPr>
        <w:pStyle w:val="Heading2"/>
        <w:keepNext/>
      </w:pPr>
      <w:r>
        <w:t>17.3.1. Теорема постоянства в камере</w:t>
      </w:r>
    </w:p>
    <w:p>
      <w:bookmarkStart w:id="1623" w:name="s_THM_17_1"/>
      <w:pPr/>
      <w:r>
        <w:t>Теорема 17.1. Пусть C является связной камерой, семейство moduli problems тривиализовано сертификатом ModTriv(C), а C не пересекает W. Тогда профиль P_str и все сертифицированные локально постоянные переходные инварианты постоянны на C.</w:t>
      </w:r>
      <w:bookmarkEnd w:id="1623"/>
    </w:p>
    <w:p>
      <w:pPr/>
      <w:r>
        <w:t>Доказательство. ModTriv(C) задаёт совместимые идентификации controlling data, Hodge-Green contractions, Kuranishi germs, stabilizer groupoids и D/Dom. Отсутствие стен исключает изменение дискретных ранговых и ветвящихся данных. Связность C завершает доказательство.</w:t>
      </w:r>
    </w:p>
    <w:p>
      <w:bookmarkStart w:id="1104" w:name="h_2136"/>
      <w:pPr>
        <w:pStyle w:val="Heading1"/>
        <w:keepNext/>
      </w:pPr>
      <w:r>
        <w:t>177. Wall-crossing operator и предел его корректности</w:t>
      </w:r>
      <w:bookmarkEnd w:id="1104"/>
    </w:p>
    <w:p>
      <w:pPr/>
      <w:r>
        <w:t>Для ориентированного пересечения стены путём γ определён частичный оператор перехода:</w:t>
      </w:r>
    </w:p>
    <w:p>
      <w:bookmarkStart w:id="1870" w:name="f_17_5"/>
      <w:pPr>
        <w:pStyle w:val="Quote"/>
        <w:jc w:val="center"/>
      </w:pPr>
      <w:r>
        <w:t>WC_{γ,t*}: Inv(C_-) ⇀ Inv(C_+).                                           (17.5)</w:t>
      </w:r>
      <w:bookmarkEnd w:id="1870"/>
    </w:p>
    <w:p>
      <w:pPr/>
      <w:r>
        <w:t>Он определён только тогда, когда ветви с обеих сторон идентифицированы через общий degeneration datum. В аддитивном секторе допускается wall-crossing defect</w:t>
      </w:r>
    </w:p>
    <w:p>
      <w:bookmarkStart w:id="1871" w:name="f_17_6"/>
      <w:pPr>
        <w:pStyle w:val="Quote"/>
        <w:jc w:val="center"/>
      </w:pPr>
      <w:r>
        <w:t>Δ_W I = I_+ - T_{-→+}I_-,                                                (17.6)</w:t>
      </w:r>
      <w:bookmarkEnd w:id="1871"/>
    </w:p>
    <w:p>
      <w:pPr/>
      <w:r>
        <w:t>где T_{-→+} является доказанным transport map. Без T_{-→+} разность не типизирована. В общем NAPG-секторе wall-crossing может быть correspondence, span или functor между groupoids, а не числовой скачок.</w:t>
      </w:r>
    </w:p>
    <w:p>
      <w:bookmarkStart w:id="1624" w:name="s_CTHM_17_2"/>
      <w:pPr/>
      <w:r>
        <w:t>Контртеорема 17.2. Равенство размерностей пространств инвариантов по обе стороны стены не задаёт канонического wall-crossing operator. Требуются идентификация ветвей и transport data.</w:t>
      </w:r>
      <w:bookmarkEnd w:id="1624"/>
    </w:p>
    <w:p>
      <w:bookmarkStart w:id="1105" w:name="h_2143"/>
      <w:pPr>
        <w:pStyle w:val="Heading1"/>
        <w:keepNext/>
      </w:pPr>
      <w:r>
        <w:t>178. Бифуркационный локус и reduced equation</w:t>
      </w:r>
      <w:bookmarkEnd w:id="1105"/>
    </w:p>
    <w:p>
      <w:pPr/>
      <w:r>
        <w:t>Пусть K_t(x)=0 является локальным уравнением Кураниши. Бифуркационный локус определяется как множество параметров, где решение существует и линеаризация по x теряет регулярность:</w:t>
      </w:r>
    </w:p>
    <w:p>
      <w:bookmarkStart w:id="1872" w:name="f_17_7"/>
      <w:pPr>
        <w:pStyle w:val="Quote"/>
        <w:jc w:val="center"/>
      </w:pPr>
      <w:r>
        <w:t>Bif(K) = {(t,x): K_t(x)=0,  rank D_xK_t &lt; r_reg}.                         (17.7)</w:t>
      </w:r>
      <w:bookmarkEnd w:id="1872"/>
    </w:p>
    <w:p>
      <w:pPr/>
      <w:r>
        <w:t>Его проекция на параметрическую базу обозначается B=pr_P Bif(K). Для одномерного kernel/cokernel после Lyapunov-Schmidt reduction задача сводится к скалярной функции g(t,a)=0. Типы fold, pitchfork и cusp разрешено употреблять лишь после проверки ненулевых производных, соответствующих нормальным формам.</w:t>
      </w:r>
    </w:p>
    <w:p>
      <w:bookmarkStart w:id="1873" w:name="f_17_8"/>
      <w:pPr>
        <w:pStyle w:val="Quote"/>
        <w:jc w:val="center"/>
      </w:pPr>
      <w:r>
        <w:t>fold: g=0, g_a=0, g_{aa}≠0, g_t≠0;    cusp: g=g_a=g_{aa}=0, g_{aaa}g_t≠0. (17.8)</w:t>
      </w:r>
      <w:bookmarkEnd w:id="1873"/>
    </w:p>
    <w:p>
      <w:pPr/>
      <w:r>
        <w:t>Наличие singular Jacobian является кандидатом бифуркации, но не доказывает число реальных ветвей, их устойчивость или физическую наблюдаемость.</w:t>
      </w:r>
    </w:p>
    <w:p>
      <w:bookmarkStart w:id="1106" w:name="h_2149"/>
      <w:pPr>
        <w:pStyle w:val="Heading1"/>
        <w:keepNext/>
      </w:pPr>
      <w:r>
        <w:t>179. Разделяющая теорема: wall не равен bifurcation</w:t>
      </w:r>
      <w:bookmarkEnd w:id="1106"/>
    </w:p>
    <w:p>
      <w:bookmarkStart w:id="1625" w:name="s_THM_17_3"/>
      <w:pPr/>
      <w:r>
        <w:t>Теорема 17.3. В общем случае W и B не совпадают. Стена может возникать из смены стабильности, домена или стабилизатора при регулярном локальном уравнении; бифуркация может возникать внутри одной камеры выбранной внешней классификации.</w:t>
      </w:r>
      <w:bookmarkEnd w:id="1625"/>
    </w:p>
    <w:p>
      <w:pPr>
        <w:pStyle w:val="ListBullet"/>
      </w:pPr>
      <w:r>
        <w:t>Пример wall без bifurcation: меняется GIT-поляризация и набор допустимых орбит, хотя локальная ветвь остаётся гладкой.</w:t>
      </w:r>
    </w:p>
    <w:p>
      <w:pPr>
        <w:pStyle w:val="ListBullet"/>
      </w:pPr>
      <w:r>
        <w:t>Пример bifurcation без выбранной wall: семейство g(t,a)=a²-t имеет fold при t=0, даже если внешняя chamber decomposition не введена.</w:t>
      </w:r>
    </w:p>
    <w:p>
      <w:pPr>
        <w:pStyle w:val="ListBullet"/>
      </w:pPr>
      <w:r>
        <w:t>Пример ложного совпадения: rank jump численного Jacobian, вызванный плохой обусловленностью, исчезает после интервальной сертификации.</w:t>
      </w:r>
    </w:p>
    <w:p>
      <w:bookmarkStart w:id="1107" w:name="h_2154"/>
      <w:pPr>
        <w:pStyle w:val="Heading1"/>
        <w:keepNext/>
      </w:pPr>
      <w:r>
        <w:t>180. Ветви, нормализация и branch ledger</w:t>
      </w:r>
      <w:bookmarkEnd w:id="1107"/>
    </w:p>
    <w:p>
      <w:pPr/>
      <w:r>
        <w:t>Пусть Z={K=0} - локальный аналитический zero-locus. Для различения ветвей используется нормализация ν: Z~→Z либо эквивалентный branch cover над регулярной частью параметров. Ветвь b определяется как связная компонента нормализованного прообраза после удаления ramification locus.</w:t>
      </w:r>
    </w:p>
    <w:p>
      <w:bookmarkStart w:id="1874" w:name="f_17_9"/>
      <w:pPr>
        <w:pStyle w:val="Quote"/>
        <w:jc w:val="center"/>
      </w:pPr>
      <w:r>
        <w:t>Branch(Z/P) = π₀(Z~ \ Ram(ν)).                                           (17.9)</w:t>
      </w:r>
      <w:bookmarkEnd w:id="1874"/>
    </w:p>
    <w:p>
      <w:pPr/>
      <w:r>
        <w:t>Branch ledger хранит branch_id, local equation, multiplicity, orientation/coorientation, stabilizer, D/Dom, provenance, допустимые продолжения и список точек ветвления. Без branch_id утверждение «та же ветвь после перехода» не имеет проверяемого содержания.</w:t>
      </w:r>
    </w:p>
    <w:p>
      <w:pPr>
        <w:jc w:val="center"/>
      </w:pPr>
      <w:r>
        <w:drawing>
          <wp:inline xmlns:a="http://schemas.openxmlformats.org/drawingml/2006/main" xmlns:pic="http://schemas.openxmlformats.org/drawingml/2006/picture">
            <wp:extent cx="6217920" cy="3464919"/>
            <wp:docPr id="43" name="Picture 43" descr="Рисунок 17.2. Продолжение ветвей и монодромия вдоль допустимого контура. Собственная схема Тома II." title="Рисунок 17.2. Продолжение ветвей и монодромия вдоль допустимого контура. Собственная схема Тома II."/>
            <wp:cNvGraphicFramePr>
              <a:graphicFrameLocks noChangeAspect="1"/>
            </wp:cNvGraphicFramePr>
            <a:graphic>
              <a:graphicData uri="http://schemas.openxmlformats.org/drawingml/2006/picture">
                <pic:pic>
                  <pic:nvPicPr>
                    <pic:cNvPr id="0" name="fig17_2.png" descr="Рисунок 17.2. Продолжение ветвей и монодромия вдоль допустимого контура. Собственная схема Тома II." title="Рисунок 17.2. Продолжение ветвей и монодромия вдоль допустимого контура. Собственная схема Тома II."/>
                    <pic:cNvPicPr/>
                  </pic:nvPicPr>
                  <pic:blipFill>
                    <a:blip r:embed="rId72"/>
                    <a:stretch>
                      <a:fillRect/>
                    </a:stretch>
                  </pic:blipFill>
                  <pic:spPr>
                    <a:xfrm>
                      <a:off x="0" y="0"/>
                      <a:ext cx="6217920" cy="3464919"/>
                    </a:xfrm>
                    <a:prstGeom prst="rect"/>
                  </pic:spPr>
                </pic:pic>
              </a:graphicData>
            </a:graphic>
          </wp:inline>
        </w:drawing>
      </w:r>
    </w:p>
    <w:p>
      <w:pPr>
        <w:pStyle w:val="Caption"/>
        <w:keepNext/>
        <w:jc w:val="center"/>
      </w:pPr>
      <w:r>
        <w:t>Рисунок 17.2. Продолжение ветвей и монодромия вдоль допустимого контура. Собственная схема Тома II.</w:t>
      </w:r>
    </w:p>
    <w:p>
      <w:bookmarkStart w:id="1108" w:name="h_2160"/>
      <w:pPr>
        <w:pStyle w:val="Heading1"/>
        <w:keepNext/>
      </w:pPr>
      <w:r>
        <w:t>181. Монодромия ветвей</w:t>
      </w:r>
      <w:bookmarkEnd w:id="1108"/>
    </w:p>
    <w:p>
      <w:pPr/>
      <w:r>
        <w:t>Пусть U=P\B и над U задан конечный branch cover π:B→U. Для базовой точки t0 и петли γ∈π₁(U,t0) аналитическое продолжение задаёт перестановку ветвей:</w:t>
      </w:r>
    </w:p>
    <w:p>
      <w:bookmarkStart w:id="1875" w:name="f_17_10"/>
      <w:pPr>
        <w:pStyle w:val="Quote"/>
        <w:jc w:val="center"/>
      </w:pPr>
      <w:r>
        <w:t>Mon: π₁(U,t₀) → Perm(B_{t₀}).                                             (17.10)</w:t>
      </w:r>
      <w:bookmarkEnd w:id="1875"/>
    </w:p>
    <w:p>
      <w:pPr/>
      <w:r>
        <w:t>Если на ветви дополнительно живёт локальная система V, возникает линейная монодромия</w:t>
      </w:r>
    </w:p>
    <w:p>
      <w:bookmarkStart w:id="1876" w:name="f_17_11"/>
      <w:pPr>
        <w:pStyle w:val="Quote"/>
        <w:jc w:val="center"/>
      </w:pPr>
      <w:r>
        <w:t>ρ: π₁(U,t₀) → Aut(V_{t₀}).                                                (17.11)</w:t>
      </w:r>
      <w:bookmarkEnd w:id="1876"/>
    </w:p>
    <w:p>
      <w:pPr/>
      <w:r>
        <w:t>Монодромия зависит от выбранного punctured domain и класса допустимых путей. Она не равна holonomy главы 9 автоматически: для их сравнения требуется functor, переводящий branch transport в параллельный перенос соответствующего расслоения.</w:t>
      </w:r>
    </w:p>
    <w:p>
      <w:pPr>
        <w:pStyle w:val="Heading2"/>
        <w:keepNext/>
      </w:pPr>
      <w:r>
        <w:t>17.8.1. Теорема гомотопической инвариантности</w:t>
      </w:r>
    </w:p>
    <w:p>
      <w:bookmarkStart w:id="1626" w:name="s_THM_17_4"/>
      <w:pPr/>
      <w:r>
        <w:t>Теорема 17.4. Если branch cover локально тривиален над U, то продолжение вдоль гомотопных петель с фиксированными концами задаёт одну и ту же перестановку ветвей. Следовательно, Mon факторизуется через фундаментальную группу.</w:t>
      </w:r>
      <w:bookmarkEnd w:id="1626"/>
    </w:p>
    <w:p>
      <w:bookmarkStart w:id="1109" w:name="h_2168"/>
      <w:pPr>
        <w:pStyle w:val="Heading1"/>
        <w:keepNext/>
      </w:pPr>
      <w:r>
        <w:t>182. No-global-label theorem</w:t>
      </w:r>
      <w:bookmarkEnd w:id="1109"/>
    </w:p>
    <w:p>
      <w:bookmarkStart w:id="1627" w:name="s_THM_17_5"/>
      <w:pPr/>
      <w:r>
        <w:t>Теорема 17.5. Если образ Mon нетривиален, глобальная непрерывная нумерация всех ветвей над U невозможна.</w:t>
      </w:r>
      <w:bookmarkEnd w:id="1627"/>
    </w:p>
    <w:p>
      <w:pPr/>
      <w:r>
        <w:t>Доказательство. Глобальная нумерация задавала бы тривиализацию branch cover и вынуждала бы каждую петлю сохранять каждую метку. Это противоречит существованию петли с нетривиальной перестановкой.</w:t>
      </w:r>
    </w:p>
    <w:p>
      <w:pPr/>
      <w:r>
        <w:t>Следствие. Алгоритм KLT-RBD не должен считать переставленные после обхода ветви новыми объектами или, наоборот, насильственно сохранять исходную метку. Требуется хранить monodromy orbit.</w:t>
      </w:r>
    </w:p>
    <w:p>
      <w:bookmarkStart w:id="1110" w:name="h_2172"/>
      <w:pPr>
        <w:pStyle w:val="Heading1"/>
        <w:keepNext/>
      </w:pPr>
      <w:r>
        <w:t>183. Wall-crossing и монодромия: path dependence</w:t>
      </w:r>
      <w:bookmarkEnd w:id="1110"/>
    </w:p>
    <w:p>
      <w:pPr/>
      <w:r>
        <w:t>Для пути γ, пересекающего последовательность стен W_1,...,W_m, полный transport задаётся упорядоченной композицией частичных correspondences:</w:t>
      </w:r>
    </w:p>
    <w:p>
      <w:bookmarkStart w:id="1877" w:name="f_17_12"/>
      <w:pPr>
        <w:pStyle w:val="Quote"/>
        <w:jc w:val="center"/>
      </w:pPr>
      <w:r>
        <w:t>T_γ = WC_m ∘ ... ∘ WC_2 ∘ WC_1.                                         (17.12)</w:t>
      </w:r>
      <w:bookmarkEnd w:id="1877"/>
    </w:p>
    <w:p>
      <w:pPr/>
      <w:r>
        <w:t>Даже при одинаковых концах T_γ может зависеть от гомотопического класса пути в дополнении к higher-codimension discriminant. Путь-независимость требует плоской локальной системы или доказанных braid/cocycle relations между elementary wall operators.</w:t>
      </w:r>
    </w:p>
    <w:p>
      <w:bookmarkStart w:id="1878" w:name="f_17_13"/>
      <w:pPr>
        <w:pStyle w:val="Quote"/>
        <w:jc w:val="center"/>
      </w:pPr>
      <w:r>
        <w:t>WC_i WC_j = WC_j WC_i  или  WC_i WC_j WC_i = WC_j WC_i WC_j            (17.13)</w:t>
      </w:r>
      <w:bookmarkEnd w:id="1878"/>
    </w:p>
    <w:p>
      <w:pPr/>
      <w:r>
        <w:t>выводится только в конкретной модели, а не из самого слова wall-crossing.</w:t>
      </w:r>
    </w:p>
    <w:p>
      <w:bookmarkStart w:id="1111" w:name="h_2178"/>
      <w:pPr>
        <w:pStyle w:val="Heading1"/>
        <w:keepNext/>
      </w:pPr>
      <w:r>
        <w:t>184. Стратифицированная локальная тривиальность</w:t>
      </w:r>
      <w:bookmarkEnd w:id="1111"/>
    </w:p>
    <w:p>
      <w:pPr/>
      <w:r>
        <w:t>В классическом стратифицированном секторе правильный аналог гладкой тривиальности обеспечивается isotopy-type условиями: proper stratified submersion, Whitney regularity и контролируемость. В Томе II это оформляется как сертификат StratTriv(U), а не как автоматическое свойство любого конечного разбиения.</w:t>
      </w:r>
    </w:p>
    <w:p>
      <w:pPr/>
      <w:r>
        <w:t>StratTriv(U) содержит: Whitney (a)/(b) либо явно выбранную замену; frontier condition; properness или локально proper restriction; submersion на каждой страте; control data; совместимость с Kuranishi charts, stabilizers и Evidence-D.</w:t>
      </w:r>
    </w:p>
    <w:p>
      <w:pPr/>
      <w:r>
        <w:t>Условная теорема 17.6. При StratTriv(U) семейство топологически локально тривиально над U по стратам; следовательно, stratified homeomorphism type и конструктивные invariants постоянны внутри U.</w:t>
      </w:r>
    </w:p>
    <w:p>
      <w:bookmarkStart w:id="1112" w:name="h_2182"/>
      <w:pPr>
        <w:pStyle w:val="Heading1"/>
        <w:keepNext/>
      </w:pPr>
      <w:r>
        <w:t>185. Устойчивость переходных инвариантов</w:t>
      </w:r>
      <w:bookmarkEnd w:id="1112"/>
    </w:p>
    <w:p>
      <w:pPr/>
      <w:r>
        <w:t>Пусть I_t(b) - инвариант ветви b. Вводятся три уровня устойчивости:</w:t>
      </w:r>
    </w:p>
    <w:p>
      <w:pPr>
        <w:pStyle w:val="ListBullet"/>
      </w:pPr>
      <w:r>
        <w:t>S0: chamber constancy - дискретный инвариант постоянен внутри камеры;</w:t>
      </w:r>
    </w:p>
    <w:p>
      <w:pPr>
        <w:pStyle w:val="ListBullet"/>
      </w:pPr>
      <w:r>
        <w:t>S1: transport stability - после доказанного branch transport значения совпадают;</w:t>
      </w:r>
    </w:p>
    <w:p>
      <w:pPr>
        <w:pStyle w:val="ListBullet"/>
      </w:pPr>
      <w:r>
        <w:t>S2: quantitative stability - существует оценка ||I_t-T_{s→t}I_s||≤L d(s,t);</w:t>
      </w:r>
    </w:p>
    <w:p>
      <w:pPr>
        <w:pStyle w:val="ListBullet"/>
      </w:pPr>
      <w:r>
        <w:t>S3: wall-controlled stability - односторонние пределы существуют и defect подчинён сертифицированной wall formula.</w:t>
      </w:r>
    </w:p>
    <w:p>
      <w:pPr/>
      <w:r>
        <w:t>Для S2 и S3 обязательны выбор нормы, тривиализация носителей и оценка обусловленности. Стабильность числа ветвей не влечёт стабильности каждой ветви, а стабильность суммы инвариантов не влечёт стабильности слагаемых.</w:t>
      </w:r>
    </w:p>
    <w:p>
      <w:bookmarkStart w:id="1113" w:name="h_2189"/>
      <w:pPr>
        <w:pStyle w:val="Heading1"/>
        <w:keepNext/>
      </w:pPr>
      <w:r>
        <w:t>186. Переходный индекс и проективно-гармонический слой</w:t>
      </w:r>
      <w:bookmarkEnd w:id="1113"/>
    </w:p>
    <w:p>
      <w:pPr/>
      <w:r>
        <w:t>Для сертифицированной ветви b_t вводится структурный переходный профиль</w:t>
      </w:r>
    </w:p>
    <w:p>
      <w:bookmarkStart w:id="1879" w:name="f_17_14"/>
      <w:pPr>
        <w:pStyle w:val="Quote"/>
        <w:jc w:val="center"/>
      </w:pPr>
      <w:r>
        <w:t>P_W(t,b)=(dist(t,W), σ_min(D_xK_t), mult_b, MonOrb_b, η_K, η_H, λ_b, CGI_b). (17.14)</w:t>
      </w:r>
      <w:bookmarkEnd w:id="1879"/>
    </w:p>
    <w:p>
      <w:pPr/>
      <w:r>
        <w:t>Проективно-гармоническая координата λ_b допустима только если реперная четвёрка ветви определена и transport всех четырёх точек согласован. Общий PGL₂-перенос сохраняет λ; изменение λ связано с относительной деформацией репера, сменой D/Dom или выходом из projective class.</w:t>
      </w:r>
    </w:p>
    <w:p>
      <w:pPr/>
      <w:r>
        <w:t>Условие λ=-1 не определяет wall и не отменяет obstruction residual. Оно используется лишь как дополнительный selector после wall, branch и evidence checks.</w:t>
      </w:r>
    </w:p>
    <w:p>
      <w:bookmarkStart w:id="1114" w:name="h_2194"/>
      <w:pPr>
        <w:pStyle w:val="Heading1"/>
        <w:keepNext/>
      </w:pPr>
      <w:r>
        <w:t>187. Совокупный горизонт T2-RP-v0.14</w:t>
      </w:r>
      <w:bookmarkEnd w:id="1114"/>
    </w:p>
    <w:p>
      <w:pPr/>
      <w:r>
        <w:t>К ранее построенным горизонтам добавляется стратифицированно-ветвящийся слой:</w:t>
      </w:r>
    </w:p>
    <w:p>
      <w:bookmarkStart w:id="1880" w:name="f_17_15"/>
      <w:pPr>
        <w:pStyle w:val="Quote"/>
        <w:jc w:val="center"/>
      </w:pPr>
      <w:r>
        <w:t>Δ_WB = Δ_strat ∪ Δ_wall ∪ Δ_bif ∪ Δ_ram ∪ Δ_mon ∪ Δ_path ∪ Δ_inv.        (17.15)</w:t>
      </w:r>
      <w:bookmarkEnd w:id="1880"/>
    </w:p>
    <w:p>
      <w:bookmarkStart w:id="1881" w:name="f_17_16"/>
      <w:pPr>
        <w:pStyle w:val="Quote"/>
        <w:jc w:val="center"/>
      </w:pPr>
      <w:r>
        <w:t>Δ_safe^{v0.14} = Δ_mod ∪ Δ_WB.                                           (17.16)</w:t>
      </w:r>
      <w:bookmarkEnd w:id="1881"/>
    </w:p>
    <w:p>
      <w:pPr/>
      <w:r>
        <w:t>Здесь Δ_strat фиксирует отказ стратификации; Δ_wall - пересечение стены; Δ_bif - потерю regularity reduced equation; Δ_ram - ветвление; Δ_mon - смену monodromy orbit; Δ_path - неопределённость пути; Δ_inv - потерю transport stability инварианта.</w:t>
      </w:r>
    </w:p>
    <w:p>
      <w:bookmarkStart w:id="1115" w:name="h_2199"/>
      <w:pPr>
        <w:pStyle w:val="Heading1"/>
        <w:keepNext/>
      </w:pPr>
      <w:r>
        <w:t>188. Главная условная теорема T2-RP-v0.14</w:t>
      </w:r>
      <w:bookmarkEnd w:id="1115"/>
    </w:p>
    <w:p>
      <w:bookmarkStart w:id="1628" w:name="s_THM_17_7"/>
      <w:pPr/>
      <w:r>
        <w:t>Теорема 17.7 (Stratified wall-crossing-safe predictive theorem). [COND] Пусть на компактном параметрическом интервале или допустимом пути γ:</w:t>
      </w:r>
      <w:bookmarkEnd w:id="1628"/>
    </w:p>
    <w:p>
      <w:pPr>
        <w:pStyle w:val="ListNumber"/>
      </w:pPr>
      <w:r>
        <w:t>задано конечномерное аналитическое/алгебраическое семейство NAPG moduli problems с Kuranishi charts;</w:t>
      </w:r>
    </w:p>
    <w:p>
      <w:pPr>
        <w:pStyle w:val="ListNumber"/>
      </w:pPr>
      <w:r>
        <w:t>существует Whitney-совместимая стратификация и сертификат StratTriv вне Δ_WB;</w:t>
      </w:r>
    </w:p>
    <w:p>
      <w:pPr>
        <w:pStyle w:val="ListNumber"/>
      </w:pPr>
      <w:r>
        <w:t>ветви представлены нормализованным branch cover и снабжены branch ledger;</w:t>
      </w:r>
    </w:p>
    <w:p>
      <w:pPr>
        <w:pStyle w:val="ListNumber"/>
      </w:pPr>
      <w:r>
        <w:t>wall operators типизированы как maps/correspondences и удовлетворяют требуемым cocycle/braid relations;</w:t>
      </w:r>
    </w:p>
    <w:p>
      <w:pPr>
        <w:pStyle w:val="ListNumber"/>
      </w:pPr>
      <w:r>
        <w:t>monodromy representation вычислено на заявленном punctured domain;</w:t>
      </w:r>
    </w:p>
    <w:p>
      <w:pPr>
        <w:pStyle w:val="ListNumber"/>
      </w:pPr>
      <w:r>
        <w:t>переходный инвариант имеет transport maps и сертифицированный уровень устойчивости S0-S3;</w:t>
      </w:r>
    </w:p>
    <w:p>
      <w:pPr>
        <w:pStyle w:val="ListNumber"/>
      </w:pPr>
      <w:r>
        <w:t>Evidence-D, Dom, Hodge-Green, external E, projective, global и moduli blockers закрыты;</w:t>
      </w:r>
    </w:p>
    <w:p>
      <w:pPr>
        <w:pStyle w:val="ListNumber"/>
      </w:pPr>
      <w:r>
        <w:t>γ не пересекает Δ_safe^{v0.14}.</w:t>
      </w:r>
    </w:p>
    <w:p>
      <w:pPr/>
      <w:r>
        <w:t>Тогда stratified moduli type, число ветвей в каждом monodromy orbit и transport class переходного инварианта постоянны вдоль γ. Следовательно, wall-crossing или bifurcation указанного сертифицированного типа внутри модели невозможны:</w:t>
      </w:r>
    </w:p>
    <w:p>
      <w:bookmarkStart w:id="1882" w:name="f_17_17"/>
      <w:pPr>
        <w:pStyle w:val="Quote"/>
        <w:jc w:val="center"/>
      </w:pPr>
      <w:r>
        <w:t>γ∩Δ_safe^{v0.14}=∅  ⇒  NO-WALL-CROSSING-IN-MODEL.                       (17.17)</w:t>
      </w:r>
      <w:bookmarkEnd w:id="1882"/>
    </w:p>
    <w:p>
      <w:pPr/>
      <w:r>
        <w:t>Если γ пересекает сертифицированную стену или Bif(K), система возвращает только CANDIDATE-WALL-CROSSING. Для положительного вывода нужны локальная wall formula, branch matching, post-wall existence и независимый доменный тест.</w:t>
      </w:r>
    </w:p>
    <w:p>
      <w:bookmarkStart w:id="1116" w:name="h_2212"/>
      <w:pPr>
        <w:pStyle w:val="Heading1"/>
        <w:keepNext/>
      </w:pPr>
      <w:r>
        <w:t>189. Blocker-safe вывод</w:t>
      </w:r>
      <w:bookmarkEnd w:id="1116"/>
    </w:p>
    <w:p>
      <w:bookmarkStart w:id="1883" w:name="f_17_18"/>
      <w:pPr>
        <w:pStyle w:val="Quote"/>
        <w:jc w:val="center"/>
      </w:pPr>
      <w:r>
        <w:t>Block_WB = B_strat ∪ B_Whit ∪ B_wall ∪ B_bif ∪ B_branch ∪ B_mon ∪ B_path ∪ B_inv ∪ B_D ∪ B_Dom ∪ B_glue ∪ B_ind. (17.18)</w:t>
      </w:r>
      <w:bookmarkEnd w:id="1883"/>
    </w:p>
    <w:p>
      <w:pPr/>
      <w:r>
        <w:t>Вердикт имеет ровно три значения: NO-WALL-CROSSING-IN-MODEL; CANDIDATE-WALL-CROSSING; ABSTAIN. Формула wall-crossing без branch ledger или transport map переводится в ABSTAIN, даже если график выглядит убедительно. Графики вообще отличаются поразительной уверенностью, особенно когда им не задали области определения.</w:t>
      </w:r>
    </w:p>
    <w:p>
      <w:pPr>
        <w:jc w:val="center"/>
      </w:pPr>
      <w:r>
        <w:drawing>
          <wp:inline xmlns:a="http://schemas.openxmlformats.org/drawingml/2006/main" xmlns:pic="http://schemas.openxmlformats.org/drawingml/2006/picture">
            <wp:extent cx="6217920" cy="3623820"/>
            <wp:docPr id="44" name="Picture 44" descr="Рисунок 17.3. Blocker-safe wall-crossing certificate WC-01-WC-24. Собственная схема Тома II." title="Рисунок 17.3. Blocker-safe wall-crossing certificate WC-01-WC-24. Собственная схема Тома II."/>
            <wp:cNvGraphicFramePr>
              <a:graphicFrameLocks noChangeAspect="1"/>
            </wp:cNvGraphicFramePr>
            <a:graphic>
              <a:graphicData uri="http://schemas.openxmlformats.org/drawingml/2006/picture">
                <pic:pic>
                  <pic:nvPicPr>
                    <pic:cNvPr id="0" name="fig17_3.png" descr="Рисунок 17.3. Blocker-safe wall-crossing certificate WC-01-WC-24. Собственная схема Тома II." title="Рисунок 17.3. Blocker-safe wall-crossing certificate WC-01-WC-24. Собственная схема Тома II."/>
                    <pic:cNvPicPr/>
                  </pic:nvPicPr>
                  <pic:blipFill>
                    <a:blip r:embed="rId73"/>
                    <a:stretch>
                      <a:fillRect/>
                    </a:stretch>
                  </pic:blipFill>
                  <pic:spPr>
                    <a:xfrm>
                      <a:off x="0" y="0"/>
                      <a:ext cx="6217920" cy="3623820"/>
                    </a:xfrm>
                    <a:prstGeom prst="rect"/>
                  </pic:spPr>
                </pic:pic>
              </a:graphicData>
            </a:graphic>
          </wp:inline>
        </w:drawing>
      </w:r>
    </w:p>
    <w:p>
      <w:pPr>
        <w:pStyle w:val="Caption"/>
        <w:keepNext/>
        <w:jc w:val="center"/>
      </w:pPr>
      <w:r>
        <w:t>Рисунок 17.3. Blocker-safe wall-crossing certificate WC-01-WC-24. Собственная схема Тома II.</w:t>
      </w:r>
    </w:p>
    <w:p>
      <w:bookmarkStart w:id="1117" w:name="h_2217"/>
      <w:pPr>
        <w:pStyle w:val="Heading1"/>
        <w:keepNext/>
      </w:pPr>
      <w:r>
        <w:t>190. Контрпримеры и разделяющие модели</w:t>
      </w:r>
      <w:bookmarkEnd w:id="1117"/>
    </w:p>
    <w:p>
      <w:pPr>
        <w:pStyle w:val="ListBullet"/>
      </w:pPr>
      <w:r>
        <w:t>Постоянный tangent rank, меняющийся stabilizer: coarse germ выглядит гладким, но stack stratum меняется.</w:t>
      </w:r>
    </w:p>
    <w:p>
      <w:pPr>
        <w:pStyle w:val="ListBullet"/>
      </w:pPr>
      <w:r>
        <w:t>Одинаковое число ветвей, нетривиальная монодромия: две ветви переставляются после обхода discriminant.</w:t>
      </w:r>
    </w:p>
    <w:p>
      <w:pPr>
        <w:pStyle w:val="ListBullet"/>
      </w:pPr>
      <w:r>
        <w:t>Wall без скачка выбранного инварианта: wall operator нетривиален, но рассматриваемая сумма сохраняется.</w:t>
      </w:r>
    </w:p>
    <w:p>
      <w:pPr>
        <w:pStyle w:val="ListBullet"/>
      </w:pPr>
      <w:r>
        <w:t>Скачок численного инварианта без wall: сменена нормировка или базис без transport map.</w:t>
      </w:r>
    </w:p>
    <w:p>
      <w:pPr>
        <w:pStyle w:val="ListBullet"/>
      </w:pPr>
      <w:r>
        <w:t>Bifurcation candidate без реальных ветвей: комплексные решения существуют, но real domain пуст.</w:t>
      </w:r>
    </w:p>
    <w:p>
      <w:pPr>
        <w:pStyle w:val="ListBullet"/>
      </w:pPr>
      <w:r>
        <w:t>Нулевой Kuranishi residual на стене без globalization: локальный lift не склеивается.</w:t>
      </w:r>
    </w:p>
    <w:p>
      <w:pPr>
        <w:pStyle w:val="ListBullet"/>
      </w:pPr>
      <w:r>
        <w:t>λ=-1 по обе стороны стены при различном D: harmonic value сохраняется, доказательный статус нет.</w:t>
      </w:r>
    </w:p>
    <w:p>
      <w:pPr>
        <w:pStyle w:val="ListBullet"/>
      </w:pPr>
      <w:r>
        <w:t>Нетривиальная монодромия без физического времени: параметрический обход является геометрическим, а не динамическим процессом.</w:t>
      </w:r>
    </w:p>
    <w:p>
      <w:bookmarkStart w:id="1118" w:name="h_2226"/>
      <w:pPr>
        <w:pStyle w:val="Heading1"/>
        <w:keepNext/>
      </w:pPr>
      <w:r>
        <w:t>191. Вычислительный сертификат WC-MON v0.14</w:t>
      </w:r>
      <w:bookmarkEnd w:id="1118"/>
    </w:p>
    <w:p>
      <w:pPr/>
      <w:r>
        <w:t>Минимальный воспроизводимый пакет WC-01-WC-24:</w:t>
      </w:r>
    </w:p>
    <w:p>
      <w:pPr>
        <w:pStyle w:val="ListBullet"/>
      </w:pPr>
      <w:r>
        <w:t>WC-01 parameter/base schema; WC-02 Kuranishi atlas; WC-03 stratum labels; WC-04 frontier test;</w:t>
      </w:r>
    </w:p>
    <w:p>
      <w:pPr>
        <w:pStyle w:val="ListBullet"/>
      </w:pPr>
      <w:r>
        <w:t>WC-05 Whitney-a numerical/symbolic test; WC-06 Whitney-b test; WC-07 control data; WC-08 properness flag;</w:t>
      </w:r>
    </w:p>
    <w:p>
      <w:pPr>
        <w:pStyle w:val="ListBullet"/>
      </w:pPr>
      <w:r>
        <w:t>WC-09 discriminant elimination; WC-10 wall equations; WC-11 chamber decomposition; WC-12 coorientation;</w:t>
      </w:r>
    </w:p>
    <w:p>
      <w:pPr>
        <w:pStyle w:val="ListBullet"/>
      </w:pPr>
      <w:r>
        <w:t>WC-13 branch normalization; WC-14 branch ledger; WC-15 ramification locus; WC-16 multiplicity;</w:t>
      </w:r>
    </w:p>
    <w:p>
      <w:pPr>
        <w:pStyle w:val="ListBullet"/>
      </w:pPr>
      <w:r>
        <w:t>WC-17 continuation along paths; WC-18 monodromy permutations; WC-19 linear local-system monodromy;</w:t>
      </w:r>
    </w:p>
    <w:p>
      <w:pPr>
        <w:pStyle w:val="ListBullet"/>
      </w:pPr>
      <w:r>
        <w:t>WC-20 wall operator typing; WC-21 cocycle/braid tests; WC-22 invariant stability bounds;</w:t>
      </w:r>
    </w:p>
    <w:p>
      <w:pPr>
        <w:pStyle w:val="ListBullet"/>
      </w:pPr>
      <w:r>
        <w:t>WC-23 blocker-safe verdict; WC-24 sources, code, environment and artifact hashes.</w:t>
      </w:r>
    </w:p>
    <w:p>
      <w:pPr>
        <w:pStyle w:val="Heading2"/>
        <w:keepNext/>
      </w:pPr>
      <w:r>
        <w:t>Псевдокод</w:t>
      </w:r>
    </w:p>
    <w:p>
      <w:bookmarkStart w:id="1884" w:name="f_17_19"/>
      <w:pPr>
        <w:pStyle w:val="Quote"/>
        <w:jc w:val="center"/>
      </w:pPr>
      <w:r>
        <w:t>INPUT family K_t, stratification candidate, path γ, branch data, invariant I, D/Dom</w:t>
        <w:br/>
        <w:t>CHECK Kuranishi charts; verify frontier/Whitney/control data; compute discriminant and chambers</w:t>
        <w:br/>
        <w:t>NORMALIZE zero locus; assign branch_id; continue branches; compute Mon and wall operators</w:t>
        <w:br/>
        <w:t>VERIFY transport typing, cocycle relations, stability margins, Evidence-D/Dom</w:t>
        <w:br/>
        <w:t>IF blockers != ∅: ABSTAIN</w:t>
        <w:br/>
        <w:t>ELIF γ∩Δ_safe^{v0.14}=∅: NO-WALL-CROSSING-IN-MODEL</w:t>
        <w:br/>
        <w:t>ELSE: CANDIDATE-WALL-CROSSING + required post-wall tests.                       (17.19)</w:t>
      </w:r>
      <w:bookmarkEnd w:id="1884"/>
    </w:p>
    <w:p>
      <w:bookmarkStart w:id="1119" w:name="h_2237"/>
      <w:pPr>
        <w:pStyle w:val="Heading1"/>
        <w:keepNext/>
      </w:pPr>
      <w:r>
        <w:t>192. Доказательные обязательства T2-PO-197-T2-PO-222</w:t>
      </w:r>
      <w:bookmarkEnd w:id="1119"/>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2438"/>
            <w:shd w:fill="1F4E78"/>
            <w:tcMar>
              <w:top w:w="100" w:type="dxa"/>
              <w:start w:w="100" w:type="dxa"/>
              <w:bottom w:w="100" w:type="dxa"/>
              <w:end w:w="100" w:type="dxa"/>
            </w:tcMar>
          </w:tcPr>
          <w:p>
            <w:r>
              <w:rPr>
                <w:b/>
                <w:color w:val="FFFFFF"/>
              </w:rPr>
              <w:t>PO</w:t>
            </w:r>
          </w:p>
        </w:tc>
        <w:tc>
          <w:tcPr>
            <w:tcW w:type="dxa" w:w="2438"/>
            <w:shd w:fill="1F4E78"/>
            <w:tcMar>
              <w:top w:w="100" w:type="dxa"/>
              <w:start w:w="100" w:type="dxa"/>
              <w:bottom w:w="100" w:type="dxa"/>
              <w:end w:w="100" w:type="dxa"/>
            </w:tcMar>
          </w:tcPr>
          <w:p>
            <w:r>
              <w:rPr>
                <w:b/>
                <w:color w:val="FFFFFF"/>
              </w:rPr>
              <w:t>Обязательство</w:t>
            </w:r>
          </w:p>
        </w:tc>
        <w:tc>
          <w:tcPr>
            <w:tcW w:type="dxa" w:w="2438"/>
            <w:shd w:fill="1F4E78"/>
            <w:tcMar>
              <w:top w:w="100" w:type="dxa"/>
              <w:start w:w="100" w:type="dxa"/>
              <w:bottom w:w="100" w:type="dxa"/>
              <w:end w:w="100" w:type="dxa"/>
            </w:tcMar>
          </w:tcPr>
          <w:p>
            <w:r>
              <w:rPr>
                <w:b/>
                <w:color w:val="FFFFFF"/>
              </w:rPr>
              <w:t>Статус</w:t>
            </w:r>
          </w:p>
        </w:tc>
        <w:tc>
          <w:tcPr>
            <w:tcW w:type="dxa" w:w="2438"/>
            <w:shd w:fill="1F4E78"/>
            <w:tcMar>
              <w:top w:w="100" w:type="dxa"/>
              <w:start w:w="100" w:type="dxa"/>
              <w:bottom w:w="100" w:type="dxa"/>
              <w:end w:w="100" w:type="dxa"/>
            </w:tcMar>
          </w:tcPr>
          <w:p>
            <w:r>
              <w:rPr>
                <w:b/>
                <w:color w:val="FFFFFF"/>
              </w:rPr>
              <w:t>Следующее действие</w:t>
            </w:r>
          </w:p>
        </w:tc>
      </w:tr>
      <w:tr>
        <w:trPr>
          <w:cantSplit/>
        </w:trPr>
        <w:tc>
          <w:tcPr>
            <w:tcW w:type="dxa" w:w="2438"/>
            <w:tcMar>
              <w:top w:w="80" w:type="dxa"/>
              <w:start w:w="90" w:type="dxa"/>
              <w:bottom w:w="80" w:type="dxa"/>
              <w:end w:w="90" w:type="dxa"/>
            </w:tcMar>
            <w:vAlign w:val="center"/>
          </w:tcPr>
          <w:p>
            <w:bookmarkStart w:id="2293" w:name="po_197"/>
            <w:pPr>
              <w:jc w:val="center"/>
            </w:pPr>
            <w:r>
              <w:t>T2-PO-197</w:t>
            </w:r>
            <w:bookmarkEnd w:id="2293"/>
          </w:p>
        </w:tc>
        <w:tc>
          <w:tcPr>
            <w:tcW w:type="dxa" w:w="2438"/>
            <w:tcMar>
              <w:top w:w="80" w:type="dxa"/>
              <w:start w:w="90" w:type="dxa"/>
              <w:bottom w:w="80" w:type="dxa"/>
              <w:end w:w="90" w:type="dxa"/>
            </w:tcMar>
            <w:vAlign w:val="center"/>
          </w:tcPr>
          <w:p>
            <w:r>
              <w:t>Построить конечную допустимую стратификацию moduli carrier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294" w:name="po_198"/>
            <w:pPr>
              <w:jc w:val="center"/>
            </w:pPr>
            <w:r>
              <w:t>T2-PO-198</w:t>
            </w:r>
            <w:bookmarkEnd w:id="2294"/>
          </w:p>
        </w:tc>
        <w:tc>
          <w:tcPr>
            <w:tcW w:type="dxa" w:w="2438"/>
            <w:tcMar>
              <w:top w:w="80" w:type="dxa"/>
              <w:start w:w="90" w:type="dxa"/>
              <w:bottom w:w="80" w:type="dxa"/>
              <w:end w:w="90" w:type="dxa"/>
            </w:tcMar>
            <w:vAlign w:val="center"/>
          </w:tcPr>
          <w:p>
            <w:r>
              <w:t>Проверить frontier condition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295" w:name="po_199"/>
            <w:pPr>
              <w:jc w:val="center"/>
            </w:pPr>
            <w:r>
              <w:t>T2-PO-199</w:t>
            </w:r>
            <w:bookmarkEnd w:id="2295"/>
          </w:p>
        </w:tc>
        <w:tc>
          <w:tcPr>
            <w:tcW w:type="dxa" w:w="2438"/>
            <w:tcMar>
              <w:top w:w="80" w:type="dxa"/>
              <w:start w:w="90" w:type="dxa"/>
              <w:bottom w:w="80" w:type="dxa"/>
              <w:end w:w="90" w:type="dxa"/>
            </w:tcMar>
            <w:vAlign w:val="center"/>
          </w:tcPr>
          <w:p>
            <w:r>
              <w:t>Доказать Whitney (a)</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296" w:name="po_200"/>
            <w:pPr>
              <w:jc w:val="center"/>
            </w:pPr>
            <w:r>
              <w:t>T2-PO-200</w:t>
            </w:r>
            <w:bookmarkEnd w:id="2296"/>
          </w:p>
        </w:tc>
        <w:tc>
          <w:tcPr>
            <w:tcW w:type="dxa" w:w="2438"/>
            <w:tcMar>
              <w:top w:w="80" w:type="dxa"/>
              <w:start w:w="90" w:type="dxa"/>
              <w:bottom w:w="80" w:type="dxa"/>
              <w:end w:w="90" w:type="dxa"/>
            </w:tcMar>
            <w:vAlign w:val="center"/>
          </w:tcPr>
          <w:p>
            <w:r>
              <w:t>Доказать Whitney (b) либо заменяющий control package</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297" w:name="po_201"/>
            <w:pPr>
              <w:jc w:val="center"/>
            </w:pPr>
            <w:r>
              <w:t>T2-PO-201</w:t>
            </w:r>
            <w:bookmarkEnd w:id="2297"/>
          </w:p>
        </w:tc>
        <w:tc>
          <w:tcPr>
            <w:tcW w:type="dxa" w:w="2438"/>
            <w:tcMar>
              <w:top w:w="80" w:type="dxa"/>
              <w:start w:w="90" w:type="dxa"/>
              <w:bottom w:w="80" w:type="dxa"/>
              <w:end w:w="90" w:type="dxa"/>
            </w:tcMar>
            <w:vAlign w:val="center"/>
          </w:tcPr>
          <w:p>
            <w:r>
              <w:t>Построить StratTriv вне discriminant</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298" w:name="po_202"/>
            <w:pPr>
              <w:jc w:val="center"/>
            </w:pPr>
            <w:r>
              <w:t>T2-PO-202</w:t>
            </w:r>
            <w:bookmarkEnd w:id="2298"/>
          </w:p>
        </w:tc>
        <w:tc>
          <w:tcPr>
            <w:tcW w:type="dxa" w:w="2438"/>
            <w:tcMar>
              <w:top w:w="80" w:type="dxa"/>
              <w:start w:w="90" w:type="dxa"/>
              <w:bottom w:w="80" w:type="dxa"/>
              <w:end w:w="90" w:type="dxa"/>
            </w:tcMar>
            <w:vAlign w:val="center"/>
          </w:tcPr>
          <w:p>
            <w:r>
              <w:t>Определить wall equations и coorientation</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299" w:name="po_203"/>
            <w:pPr>
              <w:jc w:val="center"/>
            </w:pPr>
            <w:r>
              <w:t>T2-PO-203</w:t>
            </w:r>
            <w:bookmarkEnd w:id="2299"/>
          </w:p>
        </w:tc>
        <w:tc>
          <w:tcPr>
            <w:tcW w:type="dxa" w:w="2438"/>
            <w:tcMar>
              <w:top w:w="80" w:type="dxa"/>
              <w:start w:w="90" w:type="dxa"/>
              <w:bottom w:w="80" w:type="dxa"/>
              <w:end w:w="90" w:type="dxa"/>
            </w:tcMar>
            <w:vAlign w:val="center"/>
          </w:tcPr>
          <w:p>
            <w:r>
              <w:t>Доказать chamber constancy</w:t>
            </w:r>
          </w:p>
        </w:tc>
        <w:tc>
          <w:tcPr>
            <w:tcW w:type="dxa" w:w="2438"/>
            <w:tcMar>
              <w:top w:w="80" w:type="dxa"/>
              <w:start w:w="90" w:type="dxa"/>
              <w:bottom w:w="80" w:type="dxa"/>
              <w:end w:w="90" w:type="dxa"/>
            </w:tcMar>
            <w:vAlign w:val="center"/>
          </w:tcPr>
          <w:p>
            <w:pPr>
              <w:jc w:val="center"/>
            </w:pPr>
            <w:r>
              <w:t>THM при ModTriv</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00" w:name="po_204"/>
            <w:pPr>
              <w:jc w:val="center"/>
            </w:pPr>
            <w:r>
              <w:t>T2-PO-204</w:t>
            </w:r>
            <w:bookmarkEnd w:id="2300"/>
          </w:p>
        </w:tc>
        <w:tc>
          <w:tcPr>
            <w:tcW w:type="dxa" w:w="2438"/>
            <w:tcMar>
              <w:top w:w="80" w:type="dxa"/>
              <w:start w:w="90" w:type="dxa"/>
              <w:bottom w:w="80" w:type="dxa"/>
              <w:end w:w="90" w:type="dxa"/>
            </w:tcMar>
            <w:vAlign w:val="center"/>
          </w:tcPr>
          <w:p>
            <w:r>
              <w:t>Типизировать wall operator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01" w:name="po_205"/>
            <w:pPr>
              <w:jc w:val="center"/>
            </w:pPr>
            <w:r>
              <w:t>T2-PO-205</w:t>
            </w:r>
            <w:bookmarkEnd w:id="2301"/>
          </w:p>
        </w:tc>
        <w:tc>
          <w:tcPr>
            <w:tcW w:type="dxa" w:w="2438"/>
            <w:tcMar>
              <w:top w:w="80" w:type="dxa"/>
              <w:start w:w="90" w:type="dxa"/>
              <w:bottom w:w="80" w:type="dxa"/>
              <w:end w:w="90" w:type="dxa"/>
            </w:tcMar>
            <w:vAlign w:val="center"/>
          </w:tcPr>
          <w:p>
            <w:r>
              <w:t>Доказать branch normalization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02" w:name="po_206"/>
            <w:pPr>
              <w:jc w:val="center"/>
            </w:pPr>
            <w:r>
              <w:t>T2-PO-206</w:t>
            </w:r>
            <w:bookmarkEnd w:id="2302"/>
          </w:p>
        </w:tc>
        <w:tc>
          <w:tcPr>
            <w:tcW w:type="dxa" w:w="2438"/>
            <w:tcMar>
              <w:top w:w="80" w:type="dxa"/>
              <w:start w:w="90" w:type="dxa"/>
              <w:bottom w:w="80" w:type="dxa"/>
              <w:end w:w="90" w:type="dxa"/>
            </w:tcMar>
            <w:vAlign w:val="center"/>
          </w:tcPr>
          <w:p>
            <w:r>
              <w:t>Сертифицировать multiplicities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03" w:name="po_207"/>
            <w:pPr>
              <w:jc w:val="center"/>
            </w:pPr>
            <w:r>
              <w:t>T2-PO-207</w:t>
            </w:r>
            <w:bookmarkEnd w:id="2303"/>
          </w:p>
        </w:tc>
        <w:tc>
          <w:tcPr>
            <w:tcW w:type="dxa" w:w="2438"/>
            <w:tcMar>
              <w:top w:w="80" w:type="dxa"/>
              <w:start w:w="90" w:type="dxa"/>
              <w:bottom w:w="80" w:type="dxa"/>
              <w:end w:w="90" w:type="dxa"/>
            </w:tcMar>
            <w:vAlign w:val="center"/>
          </w:tcPr>
          <w:p>
            <w:r>
              <w:t>Построить ramification locus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04" w:name="po_208"/>
            <w:pPr>
              <w:jc w:val="center"/>
            </w:pPr>
            <w:r>
              <w:t>T2-PO-208</w:t>
            </w:r>
            <w:bookmarkEnd w:id="2304"/>
          </w:p>
        </w:tc>
        <w:tc>
          <w:tcPr>
            <w:tcW w:type="dxa" w:w="2438"/>
            <w:tcMar>
              <w:top w:w="80" w:type="dxa"/>
              <w:start w:w="90" w:type="dxa"/>
              <w:bottom w:w="80" w:type="dxa"/>
              <w:end w:w="90" w:type="dxa"/>
            </w:tcMar>
            <w:vAlign w:val="center"/>
          </w:tcPr>
          <w:p>
            <w:r>
              <w:t>Вычислить branch monodromy</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05" w:name="po_209"/>
            <w:pPr>
              <w:jc w:val="center"/>
            </w:pPr>
            <w:r>
              <w:t>T2-PO-209</w:t>
            </w:r>
            <w:bookmarkEnd w:id="2305"/>
          </w:p>
        </w:tc>
        <w:tc>
          <w:tcPr>
            <w:tcW w:type="dxa" w:w="2438"/>
            <w:tcMar>
              <w:top w:w="80" w:type="dxa"/>
              <w:start w:w="90" w:type="dxa"/>
              <w:bottom w:w="80" w:type="dxa"/>
              <w:end w:w="90" w:type="dxa"/>
            </w:tcMar>
            <w:vAlign w:val="center"/>
          </w:tcPr>
          <w:p>
            <w:r>
              <w:t>Доказать homotopy invariance продолжения</w:t>
            </w:r>
          </w:p>
        </w:tc>
        <w:tc>
          <w:tcPr>
            <w:tcW w:type="dxa" w:w="2438"/>
            <w:tcMar>
              <w:top w:w="80" w:type="dxa"/>
              <w:start w:w="90" w:type="dxa"/>
              <w:bottom w:w="80" w:type="dxa"/>
              <w:end w:w="90" w:type="dxa"/>
            </w:tcMar>
            <w:vAlign w:val="center"/>
          </w:tcPr>
          <w:p>
            <w:pPr>
              <w:jc w:val="center"/>
            </w:pPr>
            <w:r>
              <w:t>THM при cover</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06" w:name="po_210"/>
            <w:pPr>
              <w:jc w:val="center"/>
            </w:pPr>
            <w:r>
              <w:t>T2-PO-210</w:t>
            </w:r>
            <w:bookmarkEnd w:id="2306"/>
          </w:p>
        </w:tc>
        <w:tc>
          <w:tcPr>
            <w:tcW w:type="dxa" w:w="2438"/>
            <w:tcMar>
              <w:top w:w="80" w:type="dxa"/>
              <w:start w:w="90" w:type="dxa"/>
              <w:bottom w:w="80" w:type="dxa"/>
              <w:end w:w="90" w:type="dxa"/>
            </w:tcMar>
            <w:vAlign w:val="center"/>
          </w:tcPr>
          <w:p>
            <w:r>
              <w:t>Проверить no-global-label criterion</w:t>
            </w:r>
          </w:p>
        </w:tc>
        <w:tc>
          <w:tcPr>
            <w:tcW w:type="dxa" w:w="2438"/>
            <w:tcMar>
              <w:top w:w="80" w:type="dxa"/>
              <w:start w:w="90" w:type="dxa"/>
              <w:bottom w:w="80" w:type="dxa"/>
              <w:end w:w="90" w:type="dxa"/>
            </w:tcMar>
            <w:vAlign w:val="center"/>
          </w:tcPr>
          <w:p>
            <w:pPr>
              <w:jc w:val="center"/>
            </w:pPr>
            <w:r>
              <w:t>THM</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07" w:name="po_211"/>
            <w:pPr>
              <w:jc w:val="center"/>
            </w:pPr>
            <w:r>
              <w:t>T2-PO-211</w:t>
            </w:r>
            <w:bookmarkEnd w:id="2307"/>
          </w:p>
        </w:tc>
        <w:tc>
          <w:tcPr>
            <w:tcW w:type="dxa" w:w="2438"/>
            <w:tcMar>
              <w:top w:w="80" w:type="dxa"/>
              <w:start w:w="90" w:type="dxa"/>
              <w:bottom w:w="80" w:type="dxa"/>
              <w:end w:w="90" w:type="dxa"/>
            </w:tcMar>
            <w:vAlign w:val="center"/>
          </w:tcPr>
          <w:p>
            <w:r>
              <w:t>Различить wall и bifurcation loci</w:t>
            </w:r>
          </w:p>
        </w:tc>
        <w:tc>
          <w:tcPr>
            <w:tcW w:type="dxa" w:w="2438"/>
            <w:tcMar>
              <w:top w:w="80" w:type="dxa"/>
              <w:start w:w="90" w:type="dxa"/>
              <w:bottom w:w="80" w:type="dxa"/>
              <w:end w:w="90" w:type="dxa"/>
            </w:tcMar>
            <w:vAlign w:val="center"/>
          </w:tcPr>
          <w:p>
            <w:pPr>
              <w:jc w:val="center"/>
            </w:pPr>
            <w:r>
              <w:t>THM/EX</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08" w:name="po_212"/>
            <w:pPr>
              <w:jc w:val="center"/>
            </w:pPr>
            <w:r>
              <w:t>T2-PO-212</w:t>
            </w:r>
            <w:bookmarkEnd w:id="2308"/>
          </w:p>
        </w:tc>
        <w:tc>
          <w:tcPr>
            <w:tcW w:type="dxa" w:w="2438"/>
            <w:tcMar>
              <w:top w:w="80" w:type="dxa"/>
              <w:start w:w="90" w:type="dxa"/>
              <w:bottom w:w="80" w:type="dxa"/>
              <w:end w:w="90" w:type="dxa"/>
            </w:tcMar>
            <w:vAlign w:val="center"/>
          </w:tcPr>
          <w:p>
            <w:r>
              <w:t>Доказать reduced bifurcation normal form</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09" w:name="po_213"/>
            <w:pPr>
              <w:jc w:val="center"/>
            </w:pPr>
            <w:r>
              <w:t>T2-PO-213</w:t>
            </w:r>
            <w:bookmarkEnd w:id="2309"/>
          </w:p>
        </w:tc>
        <w:tc>
          <w:tcPr>
            <w:tcW w:type="dxa" w:w="2438"/>
            <w:tcMar>
              <w:top w:w="80" w:type="dxa"/>
              <w:start w:w="90" w:type="dxa"/>
              <w:bottom w:w="80" w:type="dxa"/>
              <w:end w:w="90" w:type="dxa"/>
            </w:tcMar>
            <w:vAlign w:val="center"/>
          </w:tcPr>
          <w:p>
            <w:r>
              <w:t>Проверить path-independence либо braid relations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10" w:name="po_214"/>
            <w:pPr>
              <w:jc w:val="center"/>
            </w:pPr>
            <w:r>
              <w:t>T2-PO-214</w:t>
            </w:r>
            <w:bookmarkEnd w:id="2310"/>
          </w:p>
        </w:tc>
        <w:tc>
          <w:tcPr>
            <w:tcW w:type="dxa" w:w="2438"/>
            <w:tcMar>
              <w:top w:w="80" w:type="dxa"/>
              <w:start w:w="90" w:type="dxa"/>
              <w:bottom w:w="80" w:type="dxa"/>
              <w:end w:w="90" w:type="dxa"/>
            </w:tcMar>
            <w:vAlign w:val="center"/>
          </w:tcPr>
          <w:p>
            <w:r>
              <w:t>Построить transport для переходного инварианта</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11" w:name="po_215"/>
            <w:pPr>
              <w:jc w:val="center"/>
            </w:pPr>
            <w:r>
              <w:t>T2-PO-215</w:t>
            </w:r>
            <w:bookmarkEnd w:id="2311"/>
          </w:p>
        </w:tc>
        <w:tc>
          <w:tcPr>
            <w:tcW w:type="dxa" w:w="2438"/>
            <w:tcMar>
              <w:top w:w="80" w:type="dxa"/>
              <w:start w:w="90" w:type="dxa"/>
              <w:bottom w:w="80" w:type="dxa"/>
              <w:end w:w="90" w:type="dxa"/>
            </w:tcMar>
            <w:vAlign w:val="center"/>
          </w:tcPr>
          <w:p>
            <w:r>
              <w:t>Сертифицировать уровень устойчивости S0-S3</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12" w:name="po_216"/>
            <w:pPr>
              <w:jc w:val="center"/>
            </w:pPr>
            <w:r>
              <w:t>T2-PO-216</w:t>
            </w:r>
            <w:bookmarkEnd w:id="2312"/>
          </w:p>
        </w:tc>
        <w:tc>
          <w:tcPr>
            <w:tcW w:type="dxa" w:w="2438"/>
            <w:tcMar>
              <w:top w:w="80" w:type="dxa"/>
              <w:start w:w="90" w:type="dxa"/>
              <w:bottom w:w="80" w:type="dxa"/>
              <w:end w:w="90" w:type="dxa"/>
            </w:tcMar>
            <w:vAlign w:val="center"/>
          </w:tcPr>
          <w:p>
            <w:r>
              <w:t>Согласовать λ с branch transport</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13" w:name="po_217"/>
            <w:pPr>
              <w:jc w:val="center"/>
            </w:pPr>
            <w:r>
              <w:t>T2-PO-217</w:t>
            </w:r>
            <w:bookmarkEnd w:id="2313"/>
          </w:p>
        </w:tc>
        <w:tc>
          <w:tcPr>
            <w:tcW w:type="dxa" w:w="2438"/>
            <w:tcMar>
              <w:top w:w="80" w:type="dxa"/>
              <w:start w:w="90" w:type="dxa"/>
              <w:bottom w:w="80" w:type="dxa"/>
              <w:end w:w="90" w:type="dxa"/>
            </w:tcMar>
            <w:vAlign w:val="center"/>
          </w:tcPr>
          <w:p>
            <w:r>
              <w:t>Согласовать Δ_WB с Δ_mod</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14" w:name="po_218"/>
            <w:pPr>
              <w:jc w:val="center"/>
            </w:pPr>
            <w:r>
              <w:t>T2-PO-218</w:t>
            </w:r>
            <w:bookmarkEnd w:id="2314"/>
          </w:p>
        </w:tc>
        <w:tc>
          <w:tcPr>
            <w:tcW w:type="dxa" w:w="2438"/>
            <w:tcMar>
              <w:top w:w="80" w:type="dxa"/>
              <w:start w:w="90" w:type="dxa"/>
              <w:bottom w:w="80" w:type="dxa"/>
              <w:end w:w="90" w:type="dxa"/>
            </w:tcMar>
            <w:vAlign w:val="center"/>
          </w:tcPr>
          <w:p>
            <w:r>
              <w:t>Интервально сертифицировать расстояние до wall</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15" w:name="po_219"/>
            <w:pPr>
              <w:jc w:val="center"/>
            </w:pPr>
            <w:r>
              <w:t>T2-PO-219</w:t>
            </w:r>
            <w:bookmarkEnd w:id="2315"/>
          </w:p>
        </w:tc>
        <w:tc>
          <w:tcPr>
            <w:tcW w:type="dxa" w:w="2438"/>
            <w:tcMar>
              <w:top w:w="80" w:type="dxa"/>
              <w:start w:w="90" w:type="dxa"/>
              <w:bottom w:w="80" w:type="dxa"/>
              <w:end w:w="90" w:type="dxa"/>
            </w:tcMar>
            <w:vAlign w:val="center"/>
          </w:tcPr>
          <w:p>
            <w:r>
              <w:t>Согласовать wall layer с Π_E и β_Ass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16" w:name="po_220"/>
            <w:pPr>
              <w:jc w:val="center"/>
            </w:pPr>
            <w:r>
              <w:t>T2-PO-220</w:t>
            </w:r>
            <w:bookmarkEnd w:id="2316"/>
          </w:p>
        </w:tc>
        <w:tc>
          <w:tcPr>
            <w:tcW w:type="dxa" w:w="2438"/>
            <w:tcMar>
              <w:top w:w="80" w:type="dxa"/>
              <w:start w:w="90" w:type="dxa"/>
              <w:bottom w:w="80" w:type="dxa"/>
              <w:end w:w="90" w:type="dxa"/>
            </w:tcMar>
            <w:vAlign w:val="center"/>
          </w:tcPr>
          <w:p>
            <w:r>
              <w:t>Построить независимый domain wall-run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17" w:name="po_221"/>
            <w:pPr>
              <w:jc w:val="center"/>
            </w:pPr>
            <w:r>
              <w:t>T2-PO-221</w:t>
            </w:r>
            <w:bookmarkEnd w:id="2317"/>
          </w:p>
        </w:tc>
        <w:tc>
          <w:tcPr>
            <w:tcW w:type="dxa" w:w="2438"/>
            <w:tcMar>
              <w:top w:w="80" w:type="dxa"/>
              <w:start w:w="90" w:type="dxa"/>
              <w:bottom w:w="80" w:type="dxa"/>
              <w:end w:w="90" w:type="dxa"/>
            </w:tcMar>
            <w:vAlign w:val="center"/>
          </w:tcPr>
          <w:p>
            <w:r>
              <w:t>Проверить физическую редукцию отдельно</w:t>
            </w:r>
          </w:p>
        </w:tc>
        <w:tc>
          <w:tcPr>
            <w:tcW w:type="dxa" w:w="2438"/>
            <w:tcMar>
              <w:top w:w="80" w:type="dxa"/>
              <w:start w:w="90" w:type="dxa"/>
              <w:bottom w:w="80" w:type="dxa"/>
              <w:end w:w="90" w:type="dxa"/>
            </w:tcMar>
            <w:vAlign w:val="center"/>
          </w:tcPr>
          <w:p>
            <w:pPr>
              <w:jc w:val="center"/>
            </w:pPr>
            <w:r>
              <w:t>PHY-HYP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rPr>
          <w:cantSplit/>
        </w:trPr>
        <w:tc>
          <w:tcPr>
            <w:tcW w:type="dxa" w:w="2438"/>
            <w:tcMar>
              <w:top w:w="80" w:type="dxa"/>
              <w:start w:w="90" w:type="dxa"/>
              <w:bottom w:w="80" w:type="dxa"/>
              <w:end w:w="90" w:type="dxa"/>
            </w:tcMar>
            <w:vAlign w:val="center"/>
          </w:tcPr>
          <w:p>
            <w:bookmarkStart w:id="2318" w:name="po_222"/>
            <w:pPr>
              <w:jc w:val="center"/>
            </w:pPr>
            <w:r>
              <w:t>T2-PO-222</w:t>
            </w:r>
            <w:bookmarkEnd w:id="2318"/>
          </w:p>
        </w:tc>
        <w:tc>
          <w:tcPr>
            <w:tcW w:type="dxa" w:w="2438"/>
            <w:tcMar>
              <w:top w:w="80" w:type="dxa"/>
              <w:start w:w="90" w:type="dxa"/>
              <w:bottom w:w="80" w:type="dxa"/>
              <w:end w:w="90" w:type="dxa"/>
            </w:tcMar>
            <w:vAlign w:val="center"/>
          </w:tcPr>
          <w:p>
            <w:r>
              <w:t>Заморозить WC-MON certificate и хеши</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bl>
    <w:p>
      <w:bookmarkStart w:id="1120" w:name="h_2238"/>
      <w:pPr>
        <w:pStyle w:val="Heading1"/>
        <w:keepNext/>
      </w:pPr>
      <w:r>
        <w:t>193. Prior art, граница авторского вклада и контрольная точка</w:t>
      </w:r>
      <w:bookmarkEnd w:id="1120"/>
    </w:p>
    <w:p>
      <w:pPr/>
      <w:r>
        <w:t>Классический prior art включает стратификации Уитни и условия (a)/(b); леммы изотопии Тома и стратифицированную локальную тривиальность; дискриминанты и монодромию особенностей; variation of GIT и wall-crossing; bifurcation theory и Lyapunov-Schmidt reduction; локальные системы и продолжение ветвей. Эти конструкции не заявляются как новые.</w:t>
      </w:r>
    </w:p>
    <w:p>
      <w:pPr/>
      <w:r>
        <w:t>Авторский слой Курпишева в главе состоит в их типизированном соединении с NAPG/KLT-RBD: wall и bifurcation loci включаются в совокупный blocker-safe горизонт; ветви получают Reper/D/Dom ledger; монодромия отделяется от голономии и физической динамики; отрицательный прогноз формулируется через отсутствие пересечения сертифицированного горизонта; положительный выход ограничивается статусом candidate.</w:t>
      </w:r>
    </w:p>
    <w:p>
      <w:pPr/>
      <w:r>
        <w:t>[V0.14-1] Whitney, H. Tangents to an Analytic Variety. Annals of Mathematics 81 (1965), 496-549.</w:t>
      </w:r>
    </w:p>
    <w:p>
      <w:pPr/>
      <w:r>
        <w:t>[V0.14-2] Thom, R. Ensembles et morphismes stratifiés. Bulletin of the AMS 75 (1969), 240-284.</w:t>
      </w:r>
    </w:p>
    <w:p>
      <w:pPr/>
      <w:r>
        <w:t>[V0.14-3] Mather, J. N. Notes on Topological Stability. Harvard notes (1970); published survey editions.</w:t>
      </w:r>
    </w:p>
    <w:p>
      <w:pPr/>
      <w:r>
        <w:t>[V0.14-4] Milnor, J. Singular Points of Complex Hypersurfaces. Annals of Mathematics Studies 61, Princeton, 1968.</w:t>
      </w:r>
    </w:p>
    <w:p>
      <w:pPr/>
      <w:r>
        <w:t>[V0.14-5] Goresky, M.; MacPherson, R. Stratified Morse Theory. Springer, 1988.</w:t>
      </w:r>
    </w:p>
    <w:p>
      <w:pPr/>
      <w:r>
        <w:t>[V0.14-6] Dolgachev, I.; Hu, Y. Variation of Geometric Invariant Theory Quotients. IHES Publ. Math. 87 (1998), 5-56.</w:t>
      </w:r>
    </w:p>
    <w:p>
      <w:pPr/>
      <w:r>
        <w:t>[V0.14-7] Thaddeus, M. Geometric Invariant Theory and Flips. JAMS 9 (1996), 691-723.</w:t>
      </w:r>
    </w:p>
    <w:p>
      <w:pPr/>
      <w:r>
        <w:t>[V0.14-8] Golubitsky, M.; Schaeffer, D. Singularities and Groups in Bifurcation Theory. Springer, 1985.</w:t>
      </w:r>
    </w:p>
    <w:p>
      <w:pPr/>
      <w:r>
        <w:t>[V0.14-9] Kurpishev, I. B. Том I v197 RU; Том II T2-RP-v0.1-v0.13.</w:t>
      </w:r>
    </w:p>
    <w:p>
      <w:bookmarkStart w:id="1885" w:name="f_17_20"/>
      <w:pPr>
        <w:pStyle w:val="Quote"/>
        <w:jc w:val="center"/>
      </w:pPr>
      <w:r>
        <w:t>truth_layer_promotion=0; checkpoint=T2-RP-v0.14; next=T2-RP-v0.15.          (17.20)</w:t>
      </w:r>
      <w:bookmarkEnd w:id="1885"/>
    </w:p>
    <w:p>
      <w:pPr>
        <w:pStyle w:val="Lead"/>
      </w:pPr>
      <w:r>
        <w:t>Глава 17 построила стратифицированно-ветвящуюся машину предсказательного метода: chamber constancy, wall certificates, bifurcation loci, branch normalization, monodromy и transport stability сведены в единый blocker-safe контур. Главный доказательный результат остаётся отрицательным: вне сертифицированного горизонта переход данного типа невозможен внутри модели.</w:t>
      </w:r>
    </w:p>
    <w:p>
      <w:pPr>
        <w:pStyle w:val="Small"/>
      </w:pPr>
      <w:r>
        <w:t>Следующая сборка tom2_v0_15 развивает главу 18: derived/stacky global moduli, gluing local Kuranishi charts, descent of obstruction theories, virtual tangent/obstruction complexes и условия существования глобального предсказательного носителя.</w:t>
      </w:r>
    </w:p>
    <w:p>
      <w:pPr>
        <w:pStyle w:val="Small"/>
      </w:pPr>
      <w:r>
        <w:t>checkpoint=T2-RP-v0.14; source=T2-RP-v0.13; truth_layer_promotion=0; next=T2-RP-v0.15.</w:t>
      </w:r>
    </w:p>
    <w:p>
      <w:r>
        <w:br w:type="page"/>
      </w:r>
    </w:p>
    <w:p>
      <w:bookmarkStart w:id="1121" w:name="h_2255"/>
      <w:pPr>
        <w:pStyle w:val="Heading1"/>
        <w:keepNext/>
      </w:pPr>
      <w:r>
        <w:t>Глава 18. Глобальные derived/stacky-пространства модулей и предсказательный носитель</w:t>
      </w:r>
      <w:bookmarkEnd w:id="1121"/>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4876"/>
            <w:vAlign w:val="center"/>
            <w:shd w:fill="173D67"/>
            <w:tcMar>
              <w:top w:w="120" w:type="dxa"/>
              <w:start w:w="140" w:type="dxa"/>
              <w:bottom w:w="120" w:type="dxa"/>
              <w:end w:w="140" w:type="dxa"/>
            </w:tcMar>
          </w:tcPr>
          <w:p>
            <w:pPr>
              <w:spacing w:after="0"/>
              <w:jc w:val="center"/>
            </w:pPr>
            <w:r>
              <w:rPr>
                <w:b/>
                <w:color w:val="FFFFFF"/>
              </w:rPr>
            </w:r>
            <w:r>
              <w:rPr>
                <w:b/>
                <w:color w:val="FFFFFF"/>
              </w:rPr>
              <w:t>ОНТОЛОГИЯ</w:t>
            </w:r>
          </w:p>
        </w:tc>
        <w:tc>
          <w:tcPr>
            <w:tcW w:type="dxa" w:w="4876"/>
            <w:vAlign w:val="center"/>
            <w:shd w:fill="F4F7FA"/>
            <w:tcMar>
              <w:top w:w="120" w:type="dxa"/>
              <w:start w:w="140" w:type="dxa"/>
              <w:bottom w:w="120" w:type="dxa"/>
              <w:end w:w="140" w:type="dxa"/>
            </w:tcMar>
          </w:tcPr>
          <w:p>
            <w:pPr>
              <w:spacing w:after="0"/>
            </w:pPr>
            <w:r/>
            <w:r>
              <w:t>Глобальный объект модулей в общем случае является не множеством решений, а группоидом, стеком или derived-объектом, сохраняющим автоморфизмы, несовершенную трансверсальность и направления препятствий.</w:t>
            </w:r>
          </w:p>
        </w:tc>
      </w:tr>
      <w:tr>
        <w:trPr>
          <w:cantSplit/>
        </w:trPr>
        <w:tc>
          <w:tcPr>
            <w:tcW w:type="dxa" w:w="4876"/>
            <w:vAlign w:val="center"/>
            <w:shd w:fill="2F65A0"/>
            <w:tcMar>
              <w:top w:w="120" w:type="dxa"/>
              <w:start w:w="140" w:type="dxa"/>
              <w:bottom w:w="120" w:type="dxa"/>
              <w:end w:w="140" w:type="dxa"/>
            </w:tcMar>
          </w:tcPr>
          <w:p>
            <w:pPr>
              <w:spacing w:after="0"/>
              <w:jc w:val="center"/>
            </w:pPr>
            <w:r>
              <w:rPr>
                <w:b/>
                <w:color w:val="FFFFFF"/>
              </w:rPr>
            </w:r>
            <w:r>
              <w:rPr>
                <w:b/>
                <w:color w:val="FFFFFF"/>
              </w:rPr>
              <w:t>ГНОСЕОЛОГИЯ</w:t>
            </w:r>
          </w:p>
        </w:tc>
        <w:tc>
          <w:tcPr>
            <w:tcW w:type="dxa" w:w="4876"/>
            <w:vAlign w:val="center"/>
            <w:shd w:fill="F4F7FA"/>
            <w:tcMar>
              <w:top w:w="120" w:type="dxa"/>
              <w:start w:w="140" w:type="dxa"/>
              <w:bottom w:w="120" w:type="dxa"/>
              <w:end w:w="140" w:type="dxa"/>
            </w:tcMar>
          </w:tcPr>
          <w:p>
            <w:pPr>
              <w:spacing w:after="0"/>
            </w:pPr>
            <w:r/>
            <w:r>
              <w:t>Локальная карта Кураниши является представлением знания, но не самим глобальным объектом. Достоверность глобального вывода требует склейки, тройной и высшей когерентности, а также независимости от выбранного атласа.</w:t>
            </w:r>
          </w:p>
        </w:tc>
      </w:tr>
      <w:tr>
        <w:trPr>
          <w:cantSplit/>
        </w:trPr>
        <w:tc>
          <w:tcPr>
            <w:tcW w:type="dxa" w:w="4876"/>
            <w:vAlign w:val="center"/>
            <w:shd w:fill="A67217"/>
            <w:tcMar>
              <w:top w:w="120" w:type="dxa"/>
              <w:start w:w="140" w:type="dxa"/>
              <w:bottom w:w="120" w:type="dxa"/>
              <w:end w:w="140" w:type="dxa"/>
            </w:tcMar>
          </w:tcPr>
          <w:p>
            <w:pPr>
              <w:spacing w:after="0"/>
              <w:jc w:val="center"/>
            </w:pPr>
            <w:r>
              <w:rPr>
                <w:b/>
                <w:color w:val="FFFFFF"/>
              </w:rPr>
            </w:r>
            <w:r>
              <w:rPr>
                <w:b/>
                <w:color w:val="FFFFFF"/>
              </w:rPr>
              <w:t>ФЕНОМЕНОЛОГИЯ</w:t>
            </w:r>
          </w:p>
        </w:tc>
        <w:tc>
          <w:tcPr>
            <w:tcW w:type="dxa" w:w="4876"/>
            <w:vAlign w:val="center"/>
            <w:shd w:fill="F4F7FA"/>
            <w:tcMar>
              <w:top w:w="120" w:type="dxa"/>
              <w:start w:w="140" w:type="dxa"/>
              <w:bottom w:w="120" w:type="dxa"/>
              <w:end w:w="140" w:type="dxa"/>
            </w:tcMar>
          </w:tcPr>
          <w:p>
            <w:pPr>
              <w:spacing w:after="0"/>
            </w:pPr>
            <w:r/>
            <w:r>
              <w:t>Наблюдаемая ветвь является локальным проявлением moduli carrier. При обходе дискриминанта её метка может измениться посредством монодромии, хотя сам глобальный stack остаётся тем же.</w:t>
            </w:r>
          </w:p>
        </w:tc>
      </w:tr>
      <w:tr>
        <w:trPr>
          <w:cantSplit/>
        </w:trPr>
        <w:tc>
          <w:tcPr>
            <w:tcW w:type="dxa" w:w="4876"/>
            <w:vAlign w:val="center"/>
            <w:shd w:fill="A43636"/>
            <w:tcMar>
              <w:top w:w="120" w:type="dxa"/>
              <w:start w:w="140" w:type="dxa"/>
              <w:bottom w:w="120" w:type="dxa"/>
              <w:end w:w="140" w:type="dxa"/>
            </w:tcMar>
          </w:tcPr>
          <w:p>
            <w:pPr>
              <w:spacing w:after="0"/>
              <w:jc w:val="center"/>
            </w:pPr>
            <w:r>
              <w:rPr>
                <w:b/>
                <w:color w:val="FFFFFF"/>
              </w:rPr>
            </w:r>
            <w:r>
              <w:rPr>
                <w:b/>
                <w:color w:val="FFFFFF"/>
              </w:rPr>
              <w:t>ГРАНИЦА</w:t>
            </w:r>
          </w:p>
        </w:tc>
        <w:tc>
          <w:tcPr>
            <w:tcW w:type="dxa" w:w="4876"/>
            <w:vAlign w:val="center"/>
            <w:shd w:fill="F4F7FA"/>
            <w:tcMar>
              <w:top w:w="120" w:type="dxa"/>
              <w:start w:w="140" w:type="dxa"/>
              <w:bottom w:w="120" w:type="dxa"/>
              <w:end w:w="140" w:type="dxa"/>
            </w:tcMar>
          </w:tcPr>
          <w:p>
            <w:pPr>
              <w:spacing w:after="0"/>
            </w:pPr>
            <w:r/>
            <w:r>
              <w:t>Derived-структура, perfect obstruction theory и virtual class являются математическими носителями. Они не задают физическое время, вероятность события, причинность или экспериментальное подтверждение.</w:t>
            </w:r>
          </w:p>
        </w:tc>
      </w:tr>
    </w:tbl>
    <w:p>
      <w:bookmarkStart w:id="1122" w:name="h_2256"/>
      <w:pPr>
        <w:pStyle w:val="Heading1"/>
        <w:keepNext/>
      </w:pPr>
      <w:r>
        <w:t>194. Три уровня глобального пространства модулей</w:t>
      </w:r>
      <w:bookmarkEnd w:id="1122"/>
    </w:p>
    <w:p>
      <w:pPr/>
      <w:r>
        <w:t>Для одной и той же задачи необходимо различать три уровня. Coarse moduli space |𝔐| хранит классы изоморфизма как точки, но обычно забывает стабилизаторы и высшие морфизмы. Stack 𝔐 сохраняет объекты, изоморфизмы и descent. Derived stack 𝔐ᵈᵉʳ дополнительно сохраняет не transverse-пересечения, cotangent complex и высшие obstruction directions.</w:t>
      </w:r>
    </w:p>
    <w:p>
      <w:bookmarkStart w:id="1886" w:name="f_18_1"/>
      <w:pPr>
        <w:pStyle w:val="Quote"/>
        <w:jc w:val="center"/>
      </w:pPr>
      <w:r>
        <w:rPr>
          <w:rFonts w:ascii="Cambria Math" w:hAnsi="Cambria Math"/>
          <w:sz w:val="21"/>
        </w:rPr>
        <w:t>|𝔐|  ←  𝔐  ←  𝔐ᵈᵉʳ.                                                     (18.1)</w:t>
      </w:r>
      <w:bookmarkEnd w:id="1886"/>
    </w:p>
    <w:p>
      <w:pPr/>
      <w:r>
        <w:t>Отображения в (18.1) являются забывающими. Восстановление справа налево в общем случае невозможно: одинаковый coarse space может соответствовать различным стабилизаторам и различным derived enhancements.</w:t>
      </w:r>
    </w:p>
    <w:p>
      <w:bookmarkStart w:id="1629" w:name="s_DEF_18_1"/>
      <w:pPr/>
      <w:r>
        <w:t>Определение 18.1. Глобальным NAPG-moduli object называется stacky/derived-объект 𝔐_N вместе с атласом, виртуальным касательным комплексом и структурами D/Dom, удовлетворяющими условиям разделов 195-205. До их проверки термин «глобальное пространство модулей» используется только как рабочее обозначение.</w:t>
      </w:r>
      <w:bookmarkEnd w:id="1629"/>
    </w:p>
    <w:p>
      <w:bookmarkStart w:id="1123" w:name="h_2261"/>
      <w:pPr>
        <w:pStyle w:val="Heading1"/>
        <w:keepNext/>
      </w:pPr>
      <w:r>
        <w:t>195. Локальные карты Кураниши и footprints</w:t>
      </w:r>
      <w:bookmarkEnd w:id="1123"/>
    </w:p>
    <w:p>
      <w:pPr/>
      <w:r>
        <w:t>Локальная карта задаётся пятёркой</w:t>
      </w:r>
    </w:p>
    <w:p>
      <w:bookmarkStart w:id="1887" w:name="f_18_2"/>
      <w:pPr>
        <w:pStyle w:val="Quote"/>
        <w:jc w:val="center"/>
      </w:pPr>
      <w:r>
        <w:rPr>
          <w:rFonts w:ascii="Cambria Math" w:hAnsi="Cambria Math"/>
          <w:sz w:val="21"/>
        </w:rPr>
        <w:t>𝒦ᵢ=(Uᵢ,Eᵢ,sᵢ,Gᵢ,ψᵢ),                                              (18.2)</w:t>
      </w:r>
      <w:bookmarkEnd w:id="1887"/>
    </w:p>
    <w:p>
      <w:pPr/>
      <w:r>
        <w:t>где Uᵢ - гладкое конечномерное пространство или орбифолдная карта; Eᵢ→Uᵢ - obstruction bundle; sᵢ - секция; Gᵢ - конечная или Lie-группа допустимых симметрий; ψᵢ:sᵢ⁻¹(0)/Gᵢ→Fᵢ⊂|𝔐| - homeomorphism на footprint. В NAPG-карте дополнительно фиксируются допустимая частичная операция, структурные данные 𝔊, Reper-слой и Evidence-D.</w:t>
      </w:r>
    </w:p>
    <w:p>
      <w:bookmarkStart w:id="1888" w:name="f_18_3"/>
      <w:pPr>
        <w:pStyle w:val="Quote"/>
        <w:jc w:val="center"/>
      </w:pPr>
      <w:r>
        <w:rPr>
          <w:rFonts w:ascii="Cambria Math" w:hAnsi="Cambria Math"/>
          <w:sz w:val="21"/>
        </w:rPr>
        <w:t>vdim(𝒦ᵢ)=dim Uᵢ-rank Eᵢ-dim Gᵢ                           (18.3)</w:t>
      </w:r>
      <w:bookmarkEnd w:id="1888"/>
    </w:p>
    <w:p>
      <w:pPr/>
      <w:r>
        <w:t>в регулярном локальном секторе. Формула (18.3) является Euler characteristic виртуального tangent complex, но не утверждает гладкость нулевого локуса.</w:t>
      </w:r>
    </w:p>
    <w:p>
      <w:bookmarkStart w:id="1124" w:name="h_2267"/>
      <w:pPr>
        <w:pStyle w:val="Heading1"/>
        <w:keepNext/>
      </w:pPr>
      <w:r>
        <w:t>196. Coordinate changes и слабая 2-когерентность</w:t>
      </w:r>
      <w:bookmarkEnd w:id="1124"/>
    </w:p>
    <w:p>
      <w:pPr/>
      <w:r>
        <w:t>На overlap Fᵢⱼ требуется coordinate change Φᵢⱼ, включающий базовое отображение φᵢⱼ, отображение obstruction bundles ĥφᵢⱼ, гомоморфизм стабилизаторов и совместимость секций:</w:t>
      </w:r>
    </w:p>
    <w:p>
      <w:bookmarkStart w:id="1889" w:name="f_18_4"/>
      <w:pPr>
        <w:pStyle w:val="Quote"/>
        <w:jc w:val="center"/>
      </w:pPr>
      <w:r>
        <w:rPr>
          <w:rFonts w:ascii="Cambria Math" w:hAnsi="Cambria Math"/>
          <w:sz w:val="21"/>
        </w:rPr>
        <w:t>sⱼ∘φᵢⱼ = ĥφᵢⱼ∘sᵢ.                                             (18.4)</w:t>
      </w:r>
      <w:bookmarkEnd w:id="1889"/>
    </w:p>
    <w:p>
      <w:pPr/>
      <w:r>
        <w:t>На тройном overlap обычного равенства карт обычно слишком много. Требуется 2-изоморфизм</w:t>
      </w:r>
    </w:p>
    <w:p>
      <w:bookmarkStart w:id="1890" w:name="f_18_5"/>
      <w:pPr>
        <w:pStyle w:val="Quote"/>
        <w:jc w:val="center"/>
      </w:pPr>
      <w:r>
        <w:rPr>
          <w:rFonts w:ascii="Cambria Math" w:hAnsi="Cambria Math"/>
          <w:sz w:val="21"/>
        </w:rPr>
        <w:t>αᵢⱼₖ: Φⱼₖ∘Φᵢⱼ ⇒ Φᵢₖ,                                           (18.5)</w:t>
      </w:r>
      <w:bookmarkEnd w:id="1890"/>
    </w:p>
    <w:p>
      <w:pPr/>
      <w:r>
        <w:t>а на четверных overlap - pentagon/coherence condition для α. Пара попарно согласованных карт без (18.5) и высшей когерентности не задаёт глобальный stack.</w:t>
      </w:r>
    </w:p>
    <w:p>
      <w:pPr>
        <w:jc w:val="center"/>
      </w:pPr>
      <w:r>
        <w:drawing>
          <wp:inline xmlns:a="http://schemas.openxmlformats.org/drawingml/2006/main" xmlns:pic="http://schemas.openxmlformats.org/drawingml/2006/picture">
            <wp:extent cx="6080760" cy="3547110"/>
            <wp:docPr id="46" name="Picture 46" descr="Рисунок 18.1. Homotopy-coherent descent локальных карт Кураниши к глобальному derived/stacky-носителю. Собственная схема Тома II." title="Рисунок 18.1. Homotopy-coherent descent локальных карт Кураниши к глобальному derived/stacky-носителю. Собственная схема Тома II."/>
            <wp:cNvGraphicFramePr>
              <a:graphicFrameLocks noChangeAspect="1"/>
            </wp:cNvGraphicFramePr>
            <a:graphic>
              <a:graphicData uri="http://schemas.openxmlformats.org/drawingml/2006/picture">
                <pic:pic>
                  <pic:nvPicPr>
                    <pic:cNvPr id="0" name="fig18_1.png" descr="Рисунок 18.1. Homotopy-coherent descent локальных карт Кураниши к глобальному derived/stacky-носителю. Собственная схема Тома II." title="Рисунок 18.1. Homotopy-coherent descent локальных карт Кураниши к глобальному derived/stacky-носителю. Собственная схема"/>
                    <pic:cNvPicPr/>
                  </pic:nvPicPr>
                  <pic:blipFill>
                    <a:blip r:embed="rId74"/>
                    <a:stretch>
                      <a:fillRect/>
                    </a:stretch>
                  </pic:blipFill>
                  <pic:spPr>
                    <a:xfrm>
                      <a:off x="0" y="0"/>
                      <a:ext cx="6080760" cy="3547110"/>
                    </a:xfrm>
                    <a:prstGeom prst="rect"/>
                  </pic:spPr>
                </pic:pic>
              </a:graphicData>
            </a:graphic>
          </wp:inline>
        </w:drawing>
      </w:r>
    </w:p>
    <w:p>
      <w:pPr>
        <w:pStyle w:val="Caption"/>
        <w:keepNext/>
        <w:jc w:val="center"/>
      </w:pPr>
      <w:r>
        <w:t>Рисунок 18.1. Homotopy-coherent descent локальных карт Кураниши к глобальному derived/stacky-носителю. Собственная схема Тома II.</w:t>
      </w:r>
    </w:p>
    <w:p>
      <w:bookmarkStart w:id="1125" w:name="h_2275"/>
      <w:pPr>
        <w:pStyle w:val="Heading1"/>
        <w:keepNext/>
      </w:pPr>
      <w:r>
        <w:t>197. Čech nerve и effective descent</w:t>
      </w:r>
      <w:bookmarkEnd w:id="1125"/>
    </w:p>
    <w:p>
      <w:pPr/>
      <w:r>
        <w:t>Пусть U₀=⨿ᵢUᵢ, а U_• - Čech nerve атласа. Глобальность формулируется как эквивалентность объекта с totalization косимплициальной диаграммы:</w:t>
      </w:r>
    </w:p>
    <w:p>
      <w:bookmarkStart w:id="1891" w:name="f_18_6"/>
      <w:pPr>
        <w:pStyle w:val="Quote"/>
        <w:jc w:val="center"/>
      </w:pPr>
      <w:r>
        <w:rPr>
          <w:rFonts w:ascii="Cambria Math" w:hAnsi="Cambria Math"/>
          <w:sz w:val="21"/>
        </w:rPr>
        <w:t>𝔐(U)  ≃  Tot(𝔐(U_•)).                                            (18.6)</w:t>
      </w:r>
      <w:bookmarkEnd w:id="1891"/>
    </w:p>
    <w:p>
      <w:pPr/>
      <w:r>
        <w:t>Условие (18.6) включает существование локальных объектов, equivalences на двойных overlap, 2-morphisms на тройных overlap и все higher coherences. В 1-категориальном секторе оно редуцируется к обычному cocycle gluing; в stacky/derived-секторе требуется homotopy-coherent descent.</w:t>
      </w:r>
    </w:p>
    <w:p>
      <w:bookmarkStart w:id="1630" w:name="s_THM_18_2"/>
      <w:pPr/>
      <w:r>
        <w:t>Теорема 18.2 (Descent no-shortcut). [THM в выбранной 2-категории] Если данные ограничены только объектами на Uᵢ и эквивалентностями на Uᵢⱼ, но тройная когерентность не задана, то из них не следует существование глобального объекта. Доказательство: obstruction to descent находится именно в несогласованности композиций на Uᵢⱼₖ; без её тривиализации totalization не определён.</w:t>
      </w:r>
      <w:bookmarkEnd w:id="1630"/>
    </w:p>
    <w:p>
      <w:bookmarkStart w:id="1126" w:name="h_2280"/>
      <w:pPr>
        <w:pStyle w:val="Heading1"/>
        <w:keepNext/>
      </w:pPr>
      <w:r>
        <w:t>198. Виртуальный касательный комплекс</w:t>
      </w:r>
      <w:bookmarkEnd w:id="1126"/>
    </w:p>
    <w:p>
      <w:pPr/>
      <w:r>
        <w:t>В точке x локальной quotient/Kuranishi-карты естественно возникает трёхчленный комплекс</w:t>
      </w:r>
    </w:p>
    <w:p>
      <w:bookmarkStart w:id="1892" w:name="f_18_7"/>
      <w:pPr>
        <w:pStyle w:val="Quote"/>
        <w:jc w:val="center"/>
      </w:pPr>
      <w:r>
        <w:rPr>
          <w:rFonts w:ascii="Cambria Math" w:hAnsi="Cambria Math"/>
          <w:sz w:val="21"/>
        </w:rPr>
        <w:t>𝕋ₓᵛⁱʳ=[ 𝔤ₓ  →  TₓUᵢ  →  Eᵢ,ₓ ],                               (18.7)</w:t>
      </w:r>
      <w:bookmarkEnd w:id="1892"/>
    </w:p>
    <w:p>
      <w:pPr/>
      <w:r>
        <w:t>размещённый в степенях -1,0,+1. Его когомологии имеют строго различные роли:</w:t>
      </w:r>
    </w:p>
    <w:p>
      <w:pPr>
        <w:pStyle w:val="ListBullet"/>
      </w:pPr>
      <w:r>
        <w:t>H⁻¹(𝕋ₓᵛⁱʳ) - инфинитезимальные автоморфизмы и стабилизаторы;</w:t>
      </w:r>
    </w:p>
    <w:p>
      <w:pPr>
        <w:pStyle w:val="ListBullet"/>
      </w:pPr>
      <w:r>
        <w:t>H⁰(𝕋ₓᵛⁱʳ) - допустимые инфинитезимальные деформации по модулю gauge;</w:t>
      </w:r>
    </w:p>
    <w:p>
      <w:pPr>
        <w:pStyle w:val="ListBullet"/>
      </w:pPr>
      <w:r>
        <w:t>H¹(𝕋ₓᵛⁱʳ) - первичные obstruction directions.</w:t>
      </w:r>
    </w:p>
    <w:p>
      <w:bookmarkStart w:id="1893" w:name="f_18_8"/>
      <w:pPr>
        <w:pStyle w:val="Quote"/>
        <w:jc w:val="center"/>
      </w:pPr>
      <w:r>
        <w:rPr>
          <w:rFonts w:ascii="Cambria Math" w:hAnsi="Cambria Math"/>
          <w:sz w:val="21"/>
        </w:rPr>
        <w:t>vdimₓ = -dim H⁻¹ + dim H⁰ - dim H¹.                         (18.8)</w:t>
      </w:r>
      <w:bookmarkEnd w:id="1893"/>
    </w:p>
    <w:p>
      <w:pPr/>
      <w:r>
        <w:t>Квазиизоморфные комплексы имеют одинаковые когомологии и Euler characteristic. Поэтому предсказательный профиль должен зависеть от quasi-isomorphism class, а не от выбранного числа локальных переменных и уравнений.</w:t>
      </w:r>
    </w:p>
    <w:p>
      <w:pPr>
        <w:jc w:val="center"/>
      </w:pPr>
      <w:r>
        <w:drawing>
          <wp:inline xmlns:a="http://schemas.openxmlformats.org/drawingml/2006/main" xmlns:pic="http://schemas.openxmlformats.org/drawingml/2006/picture">
            <wp:extent cx="6080760" cy="3547110"/>
            <wp:docPr id="47" name="Picture 47" descr="Рисунок 18.2. Трёхчленный виртуальный касательный комплекс: автоморфизмы, деформации и препятствия. Собственная схема Тома II." title="Рисунок 18.2. Трёхчленный виртуальный касательный комплекс: автоморфизмы, деформации и препятствия. Собственная схема Тома II."/>
            <wp:cNvGraphicFramePr>
              <a:graphicFrameLocks noChangeAspect="1"/>
            </wp:cNvGraphicFramePr>
            <a:graphic>
              <a:graphicData uri="http://schemas.openxmlformats.org/drawingml/2006/picture">
                <pic:pic>
                  <pic:nvPicPr>
                    <pic:cNvPr id="0" name="fig18_2.png" descr="Рисунок 18.2. Трёхчленный виртуальный касательный комплекс: автоморфизмы, деформации и препятствия. Собственная схема Тома II." title="Рисунок 18.2. Трёхчленный виртуальный касательный комплекс: автоморфизмы, деформации и препятствия. Собственная схема То"/>
                    <pic:cNvPicPr/>
                  </pic:nvPicPr>
                  <pic:blipFill>
                    <a:blip r:embed="rId75"/>
                    <a:stretch>
                      <a:fillRect/>
                    </a:stretch>
                  </pic:blipFill>
                  <pic:spPr>
                    <a:xfrm>
                      <a:off x="0" y="0"/>
                      <a:ext cx="6080760" cy="3547110"/>
                    </a:xfrm>
                    <a:prstGeom prst="rect"/>
                  </pic:spPr>
                </pic:pic>
              </a:graphicData>
            </a:graphic>
          </wp:inline>
        </w:drawing>
      </w:r>
    </w:p>
    <w:p>
      <w:pPr>
        <w:pStyle w:val="Caption"/>
        <w:keepNext/>
        <w:jc w:val="center"/>
      </w:pPr>
      <w:r>
        <w:t>Рисунок 18.2. Трёхчленный виртуальный касательный комплекс: автоморфизмы, деформации и препятствия. Собственная схема Тома II.</w:t>
      </w:r>
    </w:p>
    <w:p>
      <w:bookmarkStart w:id="1127" w:name="h_2291"/>
      <w:pPr>
        <w:pStyle w:val="Heading1"/>
        <w:keepNext/>
      </w:pPr>
      <w:r>
        <w:t>199. Perfect obstruction theory и intrinsic normal cone</w:t>
      </w:r>
      <w:bookmarkEnd w:id="1127"/>
    </w:p>
    <w:p>
      <w:pPr/>
      <w:r>
        <w:t>В Deligne-Mumford-подобном алгебро-геометрическом секторе perfect obstruction theory задаётся морфизмом</w:t>
      </w:r>
    </w:p>
    <w:p>
      <w:bookmarkStart w:id="1894" w:name="f_18_9"/>
      <w:pPr>
        <w:pStyle w:val="Quote"/>
        <w:jc w:val="center"/>
      </w:pPr>
      <w:r>
        <w:rPr>
          <w:rFonts w:ascii="Cambria Math" w:hAnsi="Cambria Math"/>
          <w:sz w:val="21"/>
        </w:rPr>
        <w:t>φ:E•→L_𝔐,   E• perfect,   amp(E•)⊂[-1,0],                  (18.9)</w:t>
      </w:r>
      <w:bookmarkEnd w:id="1894"/>
    </w:p>
    <w:p>
      <w:pPr/>
      <w:r>
        <w:t>для которого h⁰(φ) является изоморфизмом, а h⁻¹(φ) - эпиморфизмом. Виртуальный tangent complex равен (E•)∨; obstruction sheaf задаётся h¹((E•)∨). Для общих Artin/stacky-задач амплитуда может включать степень -1 tangent automorphisms и требует более широкого комплекса.</w:t>
      </w:r>
    </w:p>
    <w:p>
      <w:bookmarkStart w:id="1895" w:name="f_18_10"/>
      <w:pPr>
        <w:pStyle w:val="Quote"/>
        <w:jc w:val="center"/>
      </w:pPr>
      <w:r>
        <w:rPr>
          <w:rFonts w:ascii="Cambria Math" w:hAnsi="Cambria Math"/>
          <w:sz w:val="21"/>
        </w:rPr>
        <w:t>Ob_𝔐 = h¹((E•)∨),    𝔑_𝔐=h¹/h⁰(L_𝔐∨).                         (18.10)</w:t>
      </w:r>
      <w:bookmarkEnd w:id="1895"/>
    </w:p>
    <w:p>
      <w:pPr/>
      <w:r>
        <w:t>Intrinsic normal cone 𝔠_𝔐 вкладывается в соответствующий vector-bundle stack после выбора perfect obstruction theory. Этот аппарат позволяет строить virtual fundamental class при дополнительных properness/orientation гипотезах. В Томе II он используется как глобальный носитель препятствий, а не как свидетельство физической реализации.</w:t>
      </w:r>
    </w:p>
    <w:p>
      <w:bookmarkStart w:id="1128" w:name="h_2297"/>
      <w:pPr>
        <w:pStyle w:val="Heading1"/>
        <w:keepNext/>
      </w:pPr>
      <w:r>
        <w:t>200. Склейка локальных obstruction theories</w:t>
      </w:r>
      <w:bookmarkEnd w:id="1128"/>
    </w:p>
    <w:p>
      <w:pPr/>
      <w:r>
        <w:t>Пусть на Uᵢ заданы perfect complexes Eᵢ• и quasi-isomorphisms qᵢⱼ:Eᵢ•|Uᵢⱼ→Eⱼ•|Uᵢⱼ. На тройных overlap требуется гомотопия</w:t>
      </w:r>
    </w:p>
    <w:p>
      <w:bookmarkStart w:id="1896" w:name="f_18_11"/>
      <w:pPr>
        <w:pStyle w:val="Quote"/>
        <w:jc w:val="center"/>
      </w:pPr>
      <w:r>
        <w:rPr>
          <w:rFonts w:ascii="Cambria Math" w:hAnsi="Cambria Math"/>
          <w:sz w:val="21"/>
        </w:rPr>
        <w:t>qⱼₖ∘qᵢⱼ  ≃  qᵢₖ,                                               (18.11)</w:t>
      </w:r>
      <w:bookmarkEnd w:id="1896"/>
    </w:p>
    <w:p>
      <w:pPr/>
      <w:r>
        <w:t>совместимая с higher coherences. В stable ∞-category perfect complexes удовлетворяют descent, но выбранные строгие модели не склеиваются одним равенством матриц.</w:t>
      </w:r>
    </w:p>
    <w:p>
      <w:pPr/>
      <w:r>
        <w:t>В центрально-абелевом секторе дефект строгой склейки можно записать как</w:t>
      </w:r>
    </w:p>
    <w:p>
      <w:bookmarkStart w:id="1897" w:name="f_18_12"/>
      <w:pPr>
        <w:pStyle w:val="Quote"/>
        <w:jc w:val="center"/>
      </w:pPr>
      <w:r>
        <w:rPr>
          <w:rFonts w:ascii="Cambria Math" w:hAnsi="Cambria Math"/>
          <w:sz w:val="21"/>
        </w:rPr>
        <w:t>cᵢⱼₖ=qᵢₖ⁻¹ qⱼₖ qᵢⱼ ∈ Z,    [c]∈Čech H²(X,Z).                  (18.12)</w:t>
      </w:r>
      <w:bookmarkEnd w:id="1897"/>
    </w:p>
    <w:p>
      <w:pPr/>
      <w:r>
        <w:t>При указанных central-band гипотезах исчезновение [c] является условием strictification. В общем nonabelian/higher случае универсальный один класс H² не заявляется: корректным объектом остаётся homotopy totalization.</w:t>
      </w:r>
    </w:p>
    <w:p>
      <w:bookmarkStart w:id="1129" w:name="h_2304"/>
      <w:pPr>
        <w:pStyle w:val="Heading1"/>
        <w:keepNext/>
      </w:pPr>
      <w:r>
        <w:t>201. Детерминант, ориентация и виртуальная размерность</w:t>
      </w:r>
      <w:bookmarkEnd w:id="1129"/>
    </w:p>
    <w:p>
      <w:bookmarkStart w:id="1898" w:name="f_18_13"/>
      <w:pPr>
        <w:pStyle w:val="Quote"/>
        <w:jc w:val="center"/>
      </w:pPr>
      <w:r>
        <w:rPr>
          <w:rFonts w:ascii="Cambria Math" w:hAnsi="Cambria Math"/>
          <w:sz w:val="21"/>
        </w:rPr>
        <w:t>det(𝕋ᵛⁱʳ)=⊗ⱼ(det Hʲ(𝕋ᵛⁱʳ))^{(-1)ʲ}.                         (18.13)</w:t>
      </w:r>
      <w:bookmarkEnd w:id="1898"/>
    </w:p>
    <w:p>
      <w:pPr/>
      <w:r>
        <w:t>Ориентация является дополнительной структурой на determinant line и необходима для знаковых virtual invariants. Равенство vdim=0 не означает отсутствие obstruction или stabilizer: вклады H⁻¹ и H¹ могут взаимно компенсироваться в Euler characteristic.</w:t>
      </w:r>
    </w:p>
    <w:p>
      <w:bookmarkStart w:id="1631" w:name="s_THM_18_3"/>
      <w:pPr/>
      <w:r>
        <w:t>Теорема 18.3 (Presentation invariance). [THM] Quasi-isomorphism виртуальных комплексов сохраняет их cohomology dimensions, Euler characteristic и determinant line up to canonical isomorphism. Следовательно, эти данные допустимы как инварианты moduli presentation при наличии согласованного descent.</w:t>
      </w:r>
      <w:bookmarkEnd w:id="1631"/>
    </w:p>
    <w:p>
      <w:bookmarkStart w:id="1130" w:name="h_2308"/>
      <w:pPr>
        <w:pStyle w:val="Heading1"/>
        <w:keepNext/>
      </w:pPr>
      <w:r>
        <w:t>202. Branch stack и монодромия</w:t>
      </w:r>
      <w:bookmarkEnd w:id="1130"/>
    </w:p>
    <w:p>
      <w:pPr/>
      <w:r>
        <w:t>В регулярном ветвящемся секторе локальные ветви собираются не обязательно в глобально пронумерованное множество, а в étale/covering stack 𝔅→P\Δ. Монодромия задаёт действие</w:t>
      </w:r>
    </w:p>
    <w:p>
      <w:bookmarkStart w:id="1899" w:name="f_18_14"/>
      <w:pPr>
        <w:pStyle w:val="Quote"/>
        <w:jc w:val="center"/>
      </w:pPr>
      <w:r>
        <w:rPr>
          <w:rFonts w:ascii="Cambria Math" w:hAnsi="Cambria Math"/>
          <w:sz w:val="21"/>
        </w:rPr>
        <w:t>Mon:π₁(P\Δ,p₀)→Perm(𝔅_{p₀}).                                 (18.14)</w:t>
      </w:r>
      <w:bookmarkEnd w:id="1899"/>
    </w:p>
    <w:p>
      <w:pPr/>
      <w:r>
        <w:t>Нетривиальное действие запрещает глобальную маркировку ветвей. Stacky branch carrier хранит орбиты и stabilizers, тогда как coarse branch count их забывает. Это продолжает главу 17, но теперь branch ledger является частью глобального descent package.</w:t>
      </w:r>
    </w:p>
    <w:p>
      <w:bookmarkStart w:id="1131" w:name="h_2312"/>
      <w:pPr>
        <w:pStyle w:val="Heading1"/>
        <w:keepNext/>
      </w:pPr>
      <w:r>
        <w:t>203. Глобальный предсказательный носитель KLT-RBD</w:t>
      </w:r>
      <w:bookmarkEnd w:id="1131"/>
    </w:p>
    <w:p>
      <w:bookmarkStart w:id="1632" w:name="s_DEF_18_4"/>
      <w:pPr/>
      <w:r>
        <w:t>Определение 18.4. Глобальный предсказательный носитель задаётся кортежем</w:t>
      </w:r>
      <w:bookmarkEnd w:id="1632"/>
    </w:p>
    <w:p>
      <w:bookmarkStart w:id="1900" w:name="f_18_15"/>
      <w:pPr>
        <w:pStyle w:val="Quote"/>
        <w:jc w:val="center"/>
      </w:pPr>
      <w:r>
        <w:rPr>
          <w:rFonts w:ascii="Cambria Math" w:hAnsi="Cambria Math"/>
          <w:sz w:val="21"/>
        </w:rPr>
        <w:t>PredCar_N=(𝔐_Nᵈᵉʳ→P, 𝕋ᵛⁱʳ, Ob_N, 𝔠_N, 𝔅_N, Rep_N, λ_N, D_N, Dom_N, E_N). (18.15)</w:t>
      </w:r>
      <w:bookmarkEnd w:id="1900"/>
    </w:p>
    <w:p>
      <w:pPr/>
      <w:r>
        <w:t>Компоненты имеют следующие роли: 𝔐_Nᵈᵉʳ - глобальный moduli object; 𝕋ᵛⁱʳ - virtual tangent complex; Ob_N и 𝔠_N - obstruction sheaf/cone; 𝔅_N - branch stack; Rep_N - Reper atlas; λ_N - проективно-гармоническая координата; D_N - Evidence-D; Dom_N - admissible domain; E_N - внешний комплекс и мост Π_E.</w:t>
      </w:r>
    </w:p>
    <w:p>
      <w:pPr/>
      <w:r>
        <w:t>Существование PredCar_N разрешается только при десяти сертификатах: effective atlas descent; coordinate-change coherence; derived/perfect enhancement; perfectness и фиксированная amplitude; branch descent; Reper descent; Evidence-D descent; Dom compatibility; глобальная определённость λ вне полюсов; независимый воспроизводимый вычислительный пакет.</w:t>
      </w:r>
    </w:p>
    <w:p>
      <w:bookmarkStart w:id="1132" w:name="h_2317"/>
      <w:pPr>
        <w:pStyle w:val="Heading1"/>
        <w:keepNext/>
      </w:pPr>
      <w:r>
        <w:t>204. Local-to-global no-go theorem</w:t>
      </w:r>
      <w:bookmarkEnd w:id="1132"/>
    </w:p>
    <w:p>
      <w:bookmarkStart w:id="1633" w:name="s_THM_18_5"/>
      <w:pPr/>
      <w:r>
        <w:t>Теорема 18.5. [THM] Исчезновение всех локальных obstruction classes не влечёт существование глобального объекта. Пусть локальные объекты ξᵢ существуют и локально liftable, а на overlap выбраны equivalences gᵢⱼ. На тройном overlap возникает</w:t>
      </w:r>
      <w:bookmarkEnd w:id="1633"/>
    </w:p>
    <w:p>
      <w:bookmarkStart w:id="1901" w:name="f_18_16"/>
      <w:pPr>
        <w:pStyle w:val="Quote"/>
        <w:jc w:val="center"/>
      </w:pPr>
      <w:r>
        <w:rPr>
          <w:rFonts w:ascii="Cambria Math" w:hAnsi="Cambria Math"/>
          <w:sz w:val="21"/>
        </w:rPr>
        <w:t>cᵢⱼₖ=gₖᵢ gⱼₖ gᵢⱼ.                                              (18.16)</w:t>
      </w:r>
      <w:bookmarkEnd w:id="1901"/>
    </w:p>
    <w:p>
      <w:pPr/>
      <w:r>
        <w:t>Если cᵢⱼₖ задаёт нетривиальный descent class или не допускает coherent trivialization, глобальный объект отсутствует, хотя все локальные Kuranishi residuals равны нулю. Следовательно:</w:t>
      </w:r>
    </w:p>
    <w:p>
      <w:bookmarkStart w:id="1902" w:name="f_18_17"/>
      <w:pPr>
        <w:pStyle w:val="Quote"/>
        <w:jc w:val="center"/>
      </w:pPr>
      <w:r>
        <w:rPr>
          <w:rFonts w:ascii="Cambria Math" w:hAnsi="Cambria Math"/>
          <w:sz w:val="21"/>
        </w:rPr>
        <w:t>local lift + local obstruction=0  ⇏  global lift.                    (18.17)</w:t>
      </w:r>
      <w:bookmarkEnd w:id="1902"/>
    </w:p>
    <w:p>
      <w:pPr/>
      <w:r>
        <w:t>Это основной запрет главы: локальная разрешимость не является глобальным событием. Иначе атлас превращается в империю независимых районов, каждый из которых объявил себя всей планетой.</w:t>
      </w:r>
    </w:p>
    <w:p>
      <w:bookmarkStart w:id="1133" w:name="h_2323"/>
      <w:pPr>
        <w:pStyle w:val="Heading1"/>
        <w:keepNext/>
      </w:pPr>
      <w:r>
        <w:t>205. Coarse-moduli no-go theorem</w:t>
      </w:r>
      <w:bookmarkEnd w:id="1133"/>
    </w:p>
    <w:p>
      <w:bookmarkStart w:id="1634" w:name="s_THM_18_6"/>
      <w:pPr/>
      <w:r>
        <w:t>Теорема 18.6. [THM] Coarse moduli space не определяет stacky/derived moduli object. Например, quotient stack [A¹/μ₂] имеет coarse space A¹, но сохраняет нетривиальный stabilizer μ₂ в образе нуля; обычное A¹ имеет тот же coarse тип без такого stabilizer. Их virtual tangent profiles различаются.</w:t>
      </w:r>
      <w:bookmarkEnd w:id="1634"/>
    </w:p>
    <w:p>
      <w:bookmarkStart w:id="1903" w:name="f_18_18"/>
      <w:pPr>
        <w:pStyle w:val="Quote"/>
        <w:jc w:val="center"/>
      </w:pPr>
      <w:r>
        <w:rPr>
          <w:rFonts w:ascii="Cambria Math" w:hAnsi="Cambria Math"/>
          <w:sz w:val="21"/>
        </w:rPr>
        <w:t>|𝔐₁|≅|𝔐₂|  ⇏  𝔐₁≃𝔐₂  и  ⇏  𝔐₁ᵈᵉʳ≃𝔐₂ᵈᵉʳ.                (18.18)</w:t>
      </w:r>
      <w:bookmarkEnd w:id="1903"/>
    </w:p>
    <w:p>
      <w:bookmarkStart w:id="1134" w:name="h_2326"/>
      <w:pPr>
        <w:pStyle w:val="Heading1"/>
        <w:keepNext/>
      </w:pPr>
      <w:r>
        <w:t>206. Глобальные невязки и условная численная реализация</w:t>
      </w:r>
      <w:bookmarkEnd w:id="1134"/>
    </w:p>
    <w:p>
      <w:pPr/>
      <w:r>
        <w:t>После выбора метрик, тривиализаций и uniform spectral gap вводятся три раздельные невязки:</w:t>
      </w:r>
    </w:p>
    <w:p>
      <w:bookmarkStart w:id="1904" w:name="f_18_19"/>
      <w:pPr>
        <w:pStyle w:val="Quote"/>
        <w:jc w:val="center"/>
      </w:pPr>
      <w:r>
        <w:rPr>
          <w:rFonts w:ascii="Cambria Math" w:hAnsi="Cambria Math"/>
          <w:sz w:val="21"/>
        </w:rPr>
        <w:t>η_desc = ||defect of higher descent||,   η_ob = ||h(ob)||,   η_ext = ||Π_E(ob)||. (18.19)</w:t>
      </w:r>
      <w:bookmarkEnd w:id="1904"/>
    </w:p>
    <w:p>
      <w:pPr/>
      <w:r>
        <w:t>Их нельзя складывать без нормировки, потому что они живут в разных носителях. Для решения используется blocker vector, а не одно магическое число. Численная малость η_desc не заменяет точную 2-когерентность, если interval certificate не исключает ноль/неноль однозначно.</w:t>
      </w:r>
    </w:p>
    <w:p>
      <w:bookmarkStart w:id="1135" w:name="h_2330"/>
      <w:pPr>
        <w:pStyle w:val="Heading1"/>
        <w:keepNext/>
      </w:pPr>
      <w:r>
        <w:t>207. Глобальный переходный горизонт</w:t>
      </w:r>
      <w:bookmarkEnd w:id="1135"/>
    </w:p>
    <w:p>
      <w:bookmarkStart w:id="1905" w:name="f_18_20"/>
      <w:pPr>
        <w:pStyle w:val="Quote"/>
        <w:jc w:val="center"/>
      </w:pPr>
      <w:r>
        <w:rPr>
          <w:rFonts w:ascii="Cambria Math" w:hAnsi="Cambria Math"/>
          <w:sz w:val="21"/>
        </w:rPr>
        <w:t>Δ_stack = Δ_desc ∪ Δ_coh ∪ Δ_perf ∪ Δ_amp ∪ Δ_vrank ∪ Δ_orient ∪ Δ_branch ∪ Δ_mon ∪ Δ_Rep ∪ Δ_D ∪ Δ_Dom ∪ Δ_ext ∪ Δ_ind. (18.20)</w:t>
      </w:r>
      <w:bookmarkEnd w:id="1905"/>
    </w:p>
    <w:p>
      <w:bookmarkStart w:id="1906" w:name="f_18_21"/>
      <w:pPr>
        <w:pStyle w:val="Quote"/>
        <w:jc w:val="center"/>
      </w:pPr>
      <w:r>
        <w:rPr>
          <w:rFonts w:ascii="Cambria Math" w:hAnsi="Cambria Math"/>
          <w:sz w:val="21"/>
        </w:rPr>
        <w:t>Δ_safe^{v0.15}=Δ_safe^{v0.14}∪Δ_stack.                              (18.21)</w:t>
      </w:r>
      <w:bookmarkEnd w:id="1906"/>
    </w:p>
    <w:p>
      <w:pPr/>
      <w:r>
        <w:t>Здесь Δ_desc - отказ effective descent; Δ_coh - нарушение higher coherence; Δ_perf - потеря perfectness; Δ_amp - изменение Tor-amplitude; Δ_vrank - изменение virtual cohomology ranks; Δ_orient - потеря orientation data; Δ_branch и Δ_mon - ветвление и монодромия; остальные компоненты фиксируют Reper, D/Dom, внешний E-мост и независимость проверки.</w:t>
      </w:r>
    </w:p>
    <w:p>
      <w:bookmarkStart w:id="1136" w:name="h_2334"/>
      <w:pPr>
        <w:pStyle w:val="Heading1"/>
        <w:keepNext/>
      </w:pPr>
      <w:r>
        <w:t>208. Глобальный структурный профиль</w:t>
      </w:r>
      <w:bookmarkEnd w:id="1136"/>
    </w:p>
    <w:p>
      <w:bookmarkStart w:id="1907" w:name="f_18_22"/>
      <w:pPr>
        <w:pStyle w:val="Quote"/>
        <w:jc w:val="center"/>
      </w:pPr>
      <w:r>
        <w:rPr>
          <w:rFonts w:ascii="Cambria Math" w:hAnsi="Cambria Math"/>
          <w:sz w:val="21"/>
        </w:rPr>
        <w:t>P_stack(p)=([amp 𝕋ᵛⁱʳ], h⁻¹,h⁰,h¹, vdim, [det], [desc], MonOrb, η_ob, η_ext, λ, CGI). (18.22)</w:t>
      </w:r>
      <w:bookmarkEnd w:id="1907"/>
    </w:p>
    <w:p>
      <w:pPr/>
      <w:r>
        <w:t>Профиль сравнивается только после transport между fibres и идентификации ветвей. Сырые координаты Kuranishi charts, число локальных уравнений и имена ветвей не являются глобальными инвариантами.</w:t>
      </w:r>
    </w:p>
    <w:p>
      <w:bookmarkStart w:id="1137" w:name="h_2337"/>
      <w:pPr>
        <w:pStyle w:val="Heading1"/>
        <w:keepNext/>
      </w:pPr>
      <w:r>
        <w:t>209. Главная условная теорема T2-RP-v0.15</w:t>
      </w:r>
      <w:bookmarkEnd w:id="1137"/>
    </w:p>
    <w:p>
      <w:bookmarkStart w:id="1635" w:name="s_THM_18_7"/>
      <w:pPr/>
      <w:r>
        <w:t>Теорема 18.7 (Global-stack-safe predictive theorem). [COND] Пусть над связной камерой U параметрического пространства выполнены условия:</w:t>
      </w:r>
      <w:bookmarkEnd w:id="1635"/>
    </w:p>
    <w:p>
      <w:pPr/>
      <w:r>
        <w:t>1. задан proper или контролируемо локально тривиальный stacky/derived family 𝔐ᵈᵉʳ→U;</w:t>
      </w:r>
    </w:p>
    <w:p>
      <w:pPr/>
      <w:r>
        <w:t>2. локальные Kuranishi charts образуют effective homotopy-coherent descent datum;</w:t>
      </w:r>
    </w:p>
    <w:p>
      <w:pPr/>
      <w:r>
        <w:t>3. виртуальные tangent complexes perfect и связаны quasi-isomorphisms постоянной amplitude;</w:t>
      </w:r>
    </w:p>
    <w:p>
      <w:pPr/>
      <w:r>
        <w:t>4. cohomology ranks, determinant/orientation class и branch monodromy orbit сертифицированы;</w:t>
      </w:r>
    </w:p>
    <w:p>
      <w:pPr/>
      <w:r>
        <w:t>5. Reper atlas, λ, Evidence-D, Dom и внешний E-мост спускаются и совместимы;</w:t>
      </w:r>
    </w:p>
    <w:p>
      <w:pPr/>
      <w:r>
        <w:t>6. предыдущие Hodge-Green, Kuranishi, wall-crossing и globalization blockers закрыты;</w:t>
      </w:r>
    </w:p>
    <w:p>
      <w:pPr/>
      <w:r>
        <w:t>7. путь γ⊂U не пересекает Δ_safe^{v0.15};</w:t>
      </w:r>
    </w:p>
    <w:p>
      <w:pPr/>
      <w:r>
        <w:t>8. для запрещающего вывода существует uniform positive residual margin соответствующего obstruction class.</w:t>
      </w:r>
    </w:p>
    <w:p>
      <w:pPr/>
      <w:r>
        <w:t>Тогда глобальный профиль P_stack постоянен вдоль γ с точностью до доказанного transport, и переход, требующий изменения этого профиля или исчезновения uniformly nonzero global obstruction, невозможен внутри заявленной модели.</w:t>
      </w:r>
    </w:p>
    <w:p>
      <w:bookmarkStart w:id="1908" w:name="f_18_23"/>
      <w:pPr>
        <w:pStyle w:val="Quote"/>
        <w:jc w:val="center"/>
      </w:pPr>
      <w:r>
        <w:rPr>
          <w:rFonts w:ascii="Cambria Math" w:hAnsi="Cambria Math"/>
          <w:sz w:val="21"/>
        </w:rPr>
        <w:t>γ∩Δ_safe^{v0.15}=∅  ⇒  NO-GLOBAL-TRANSITION-IN-MODEL.             (18.23)</w:t>
      </w:r>
      <w:bookmarkEnd w:id="1908"/>
    </w:p>
    <w:p>
      <w:pPr/>
      <w:r>
        <w:t>Если γ пересекает Δ_stack либо глобальная obstruction residual допускает ноль, система возвращает только CANDIDATE-GLOBAL-TRANSITION. Положительный вывод требует существования post-transition global object, branch matching и независимой проверки.</w:t>
      </w:r>
    </w:p>
    <w:p>
      <w:bookmarkStart w:id="1138" w:name="h_2350"/>
      <w:pPr>
        <w:pStyle w:val="Heading1"/>
        <w:keepNext/>
      </w:pPr>
      <w:r>
        <w:t>210. Blocker-safe вердикт</w:t>
      </w:r>
      <w:bookmarkEnd w:id="1138"/>
    </w:p>
    <w:p>
      <w:bookmarkStart w:id="1909" w:name="f_18_24"/>
      <w:pPr>
        <w:pStyle w:val="Quote"/>
        <w:jc w:val="center"/>
      </w:pPr>
      <w:r>
        <w:rPr>
          <w:rFonts w:ascii="Cambria Math" w:hAnsi="Cambria Math"/>
          <w:sz w:val="21"/>
        </w:rPr>
        <w:t>Block_stack=B_atlas∪B_2coc∪B_eff∪B_perf∪B_amp∪B_vtan∪B_branch∪B_Rep∪B_D∪B_Dom∪B_E∪B_ind. (18.24)</w:t>
      </w:r>
      <w:bookmarkEnd w:id="1909"/>
    </w:p>
    <w:p>
      <w:pPr/>
      <w:r>
        <w:t>Допустимы ровно три результата: NO-GLOBAL-TRANSITION-IN-MODEL; CANDIDATE-GLOBAL-TRANSITION; ABSTAIN. Наличие локального zero-locus при ненулевом Block_stack всегда приводит к ABSTAIN.</w:t>
      </w:r>
    </w:p>
    <w:p>
      <w:pPr>
        <w:jc w:val="center"/>
      </w:pPr>
      <w:r>
        <w:drawing>
          <wp:inline xmlns:a="http://schemas.openxmlformats.org/drawingml/2006/main" xmlns:pic="http://schemas.openxmlformats.org/drawingml/2006/picture">
            <wp:extent cx="6080760" cy="3716020"/>
            <wp:docPr id="48" name="Picture 48" descr="Рисунок 18.3. Глобальный predictive carrier и blocker-safe трёхзначный вердикт. Собственная схема Тома II." title="Рисунок 18.3. Глобальный predictive carrier и blocker-safe трёхзначный вердикт. Собственная схема Тома II."/>
            <wp:cNvGraphicFramePr>
              <a:graphicFrameLocks noChangeAspect="1"/>
            </wp:cNvGraphicFramePr>
            <a:graphic>
              <a:graphicData uri="http://schemas.openxmlformats.org/drawingml/2006/picture">
                <pic:pic>
                  <pic:nvPicPr>
                    <pic:cNvPr id="0" name="fig18_3.png" descr="Рисунок 18.3. Глобальный predictive carrier и blocker-safe трёхзначный вердикт. Собственная схема Тома II." title="Рисунок 18.3. Глобальный predictive carrier и blocker-safe трёхзначный вердикт. Собственная схема Тома II."/>
                    <pic:cNvPicPr/>
                  </pic:nvPicPr>
                  <pic:blipFill>
                    <a:blip r:embed="rId76"/>
                    <a:stretch>
                      <a:fillRect/>
                    </a:stretch>
                  </pic:blipFill>
                  <pic:spPr>
                    <a:xfrm>
                      <a:off x="0" y="0"/>
                      <a:ext cx="6080760" cy="3716020"/>
                    </a:xfrm>
                    <a:prstGeom prst="rect"/>
                  </pic:spPr>
                </pic:pic>
              </a:graphicData>
            </a:graphic>
          </wp:inline>
        </w:drawing>
      </w:r>
    </w:p>
    <w:p>
      <w:pPr>
        <w:pStyle w:val="Caption"/>
        <w:keepNext/>
        <w:jc w:val="center"/>
      </w:pPr>
      <w:r>
        <w:t>Рисунок 18.3. Глобальный predictive carrier и blocker-safe трёхзначный вердикт. Собственная схема Тома II.</w:t>
      </w:r>
    </w:p>
    <w:p>
      <w:bookmarkStart w:id="1139" w:name="h_2355"/>
      <w:pPr>
        <w:pStyle w:val="Heading1"/>
        <w:keepNext/>
      </w:pPr>
      <w:r>
        <w:t>211. Контрпримеры и разделяющие модели</w:t>
      </w:r>
      <w:bookmarkEnd w:id="1139"/>
    </w:p>
    <w:p>
      <w:pPr>
        <w:pStyle w:val="ListBullet"/>
      </w:pPr>
      <w:r>
        <w:t>Локальные нулевые Kuranishi maps при нетривиальном gerbe/descent class: локальные решения есть, глобального объекта нет.</w:t>
      </w:r>
    </w:p>
    <w:p>
      <w:pPr>
        <w:pStyle w:val="ListBullet"/>
      </w:pPr>
      <w:r>
        <w:t>Одинаковый coarse space при различных stabilizers: stacky тип различается.</w:t>
      </w:r>
    </w:p>
    <w:p>
      <w:pPr>
        <w:pStyle w:val="ListBullet"/>
      </w:pPr>
      <w:r>
        <w:t>Одинаковая virtual dimension при различных H⁻¹ и H¹: cancellation скрывает автоморфизмы и obstruction directions.</w:t>
      </w:r>
    </w:p>
    <w:p>
      <w:pPr>
        <w:pStyle w:val="ListBullet"/>
      </w:pPr>
      <w:r>
        <w:t>Perfect complexes одной Euler characteristic, но не quasi-isomorphic: предсказательный tangent type различается.</w:t>
      </w:r>
    </w:p>
    <w:p>
      <w:pPr>
        <w:pStyle w:val="ListBullet"/>
      </w:pPr>
      <w:r>
        <w:t>Склеенный stack без склеенного Evidence-D: математический объект существует, авторизованный Reper-кандидат отсутствует.</w:t>
      </w:r>
    </w:p>
    <w:p>
      <w:pPr>
        <w:pStyle w:val="ListBullet"/>
      </w:pPr>
      <w:r>
        <w:t>Глобальный λ=-1 при невалидном Dom: harmonic selector определён формально, но prediction gate закрыт.</w:t>
      </w:r>
    </w:p>
    <w:p>
      <w:pPr>
        <w:pStyle w:val="ListBullet"/>
      </w:pPr>
      <w:r>
        <w:t>Нетривиальный virtual class без временной динамики: enumerative invariant не является событием.</w:t>
      </w:r>
    </w:p>
    <w:p>
      <w:pPr>
        <w:pStyle w:val="ListBullet"/>
      </w:pPr>
      <w:r>
        <w:t>Численно малый descent defect без интервального сертификата: нельзя отличить ноль от плохо обусловленного ненуля.</w:t>
      </w:r>
    </w:p>
    <w:p>
      <w:bookmarkStart w:id="1140" w:name="h_2364"/>
      <w:pPr>
        <w:pStyle w:val="Heading1"/>
        <w:keepNext/>
      </w:pPr>
      <w:r>
        <w:t>212. Вычислительный сертификат STACK-GLOB v0.15</w:t>
      </w:r>
      <w:bookmarkEnd w:id="1140"/>
    </w:p>
    <w:p>
      <w:pPr>
        <w:pStyle w:val="ListBullet"/>
      </w:pPr>
      <w:r>
        <w:t>STACK-01 atlas inventory; STACK-02 footprint cover; STACK-03 coordinate-change typing; STACK-04 pairwise compatibility;</w:t>
      </w:r>
    </w:p>
    <w:p>
      <w:pPr>
        <w:pStyle w:val="ListBullet"/>
      </w:pPr>
      <w:r>
        <w:t>STACK-05 triple 2-cocycle; STACK-06 quadruple coherence; STACK-07 stabilizer groups; STACK-08 Morita/equivalence checks;</w:t>
      </w:r>
    </w:p>
    <w:p>
      <w:pPr>
        <w:pStyle w:val="ListBullet"/>
      </w:pPr>
      <w:r>
        <w:t>STACK-09 Čech nerve; STACK-10 totalization/effective descent; STACK-11 local tangent complexes; STACK-12 quasi-isomorphisms;</w:t>
      </w:r>
    </w:p>
    <w:p>
      <w:pPr>
        <w:pStyle w:val="ListBullet"/>
      </w:pPr>
      <w:r>
        <w:t>STACK-13 amplitude; STACK-14 cohomology ranks; STACK-15 virtual dimension; STACK-16 determinant/orientation;</w:t>
      </w:r>
    </w:p>
    <w:p>
      <w:pPr>
        <w:pStyle w:val="ListBullet"/>
      </w:pPr>
      <w:r>
        <w:t>STACK-17 local obstruction sections; STACK-18 global obstruction sheaf/cone; STACK-19 branch stack; STACK-20 monodromy;</w:t>
      </w:r>
    </w:p>
    <w:p>
      <w:pPr>
        <w:pStyle w:val="ListBullet"/>
      </w:pPr>
      <w:r>
        <w:t>STACK-21 Reper descent; STACK-22 Evidence-D descent; STACK-23 Dom descent; STACK-24 λ invariance and pole checks;</w:t>
      </w:r>
    </w:p>
    <w:p>
      <w:pPr>
        <w:pStyle w:val="ListBullet"/>
      </w:pPr>
      <w:r>
        <w:t>STACK-25 external E/Π_E compatibility; STACK-26 global horizon; STACK-27 blocker-safe verdict; STACK-28 code/data/environment hashes.</w:t>
      </w:r>
    </w:p>
    <w:p>
      <w:pPr>
        <w:pStyle w:val="Heading2"/>
        <w:keepNext/>
      </w:pPr>
      <w:r>
        <w:t>Псевдокод</w:t>
      </w:r>
    </w:p>
    <w:p>
      <w:pPr>
        <w:pStyle w:val="Quote"/>
        <w:jc w:val="center"/>
      </w:pPr>
      <w:r>
        <w:rPr>
          <w:rFonts w:ascii="Cambria Math" w:hAnsi="Cambria Math"/>
          <w:sz w:val="21"/>
        </w:rPr>
        <w:t>INPUT local charts 𝒦ᵢ, coordinate changes Φᵢⱼ, 2-morphisms αᵢⱼₖ, virtual complexes, path γ, Reper/D/Dom/E data</w:t>
        <w:br/>
        <w:t>CHECK footprints; verify pairwise maps; verify triple and quadruple coherence</w:t>
        <w:br/>
        <w:t>BUILD Čech nerve and test effective descent</w:t>
        <w:br/>
        <w:t>GLUE virtual complexes up to quasi-isomorphism; compute H⁻¹,H⁰,H¹, vdim, determinant</w:t>
        <w:br/>
        <w:t>BUILD branch stack and monodromy; descend Reper, D, Dom and λ</w:t>
        <w:br/>
        <w:t>COMPUTE Δ_stack and residual margins</w:t>
        <w:br/>
        <w:t>IF blockers≠∅: ABSTAIN</w:t>
        <w:br/>
        <w:t>ELSE IF γ∩Δ_safe=∅ and residual≥ε: NO-GLOBAL-TRANSITION-IN-MODEL</w:t>
        <w:br/>
        <w:t>ELSE: CANDIDATE-GLOBAL-TRANSITION</w:t>
      </w:r>
    </w:p>
    <w:p>
      <w:bookmarkStart w:id="1141" w:name="h_2374"/>
      <w:pPr>
        <w:pStyle w:val="Heading1"/>
        <w:keepNext/>
      </w:pPr>
      <w:r>
        <w:t>213. Доказательные обязательства T2-PO-223-T2-PO-252</w:t>
      </w:r>
      <w:bookmarkEnd w:id="1141"/>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2438"/>
            <w:vAlign w:val="center"/>
            <w:shd w:fill="173D67"/>
          </w:tcPr>
          <w:p>
            <w:pPr>
              <w:spacing w:after="0"/>
            </w:pPr>
            <w:r>
              <w:rPr>
                <w:b/>
                <w:color w:val="FFFFFF"/>
              </w:rPr>
            </w:r>
            <w:r>
              <w:rPr>
                <w:b/>
                <w:color w:val="FFFFFF"/>
              </w:rPr>
              <w:t>PO</w:t>
            </w:r>
          </w:p>
        </w:tc>
        <w:tc>
          <w:tcPr>
            <w:tcW w:type="dxa" w:w="2438"/>
            <w:vAlign w:val="center"/>
            <w:shd w:fill="173D67"/>
          </w:tcPr>
          <w:p>
            <w:pPr>
              <w:spacing w:after="0"/>
            </w:pPr>
            <w:r>
              <w:rPr>
                <w:b/>
                <w:color w:val="FFFFFF"/>
              </w:rPr>
            </w:r>
            <w:r>
              <w:rPr>
                <w:b/>
                <w:color w:val="FFFFFF"/>
              </w:rPr>
              <w:t>Обязательство</w:t>
            </w:r>
          </w:p>
        </w:tc>
        <w:tc>
          <w:tcPr>
            <w:tcW w:type="dxa" w:w="2438"/>
            <w:vAlign w:val="center"/>
            <w:shd w:fill="173D67"/>
          </w:tcPr>
          <w:p>
            <w:pPr>
              <w:spacing w:after="0"/>
            </w:pPr>
            <w:r>
              <w:rPr>
                <w:b/>
                <w:color w:val="FFFFFF"/>
              </w:rPr>
            </w:r>
            <w:r>
              <w:rPr>
                <w:b/>
                <w:color w:val="FFFFFF"/>
              </w:rPr>
              <w:t>Статус</w:t>
            </w:r>
          </w:p>
        </w:tc>
        <w:tc>
          <w:tcPr>
            <w:tcW w:type="dxa" w:w="2438"/>
            <w:vAlign w:val="center"/>
            <w:shd w:fill="173D67"/>
          </w:tcPr>
          <w:p>
            <w:pPr>
              <w:spacing w:after="0"/>
            </w:pPr>
            <w:r>
              <w:rPr>
                <w:b/>
                <w:color w:val="FFFFFF"/>
              </w:rPr>
            </w:r>
            <w:r>
              <w:rPr>
                <w:b/>
                <w:color w:val="FFFFFF"/>
              </w:rPr>
              <w:t>Условие закрытия</w:t>
            </w:r>
          </w:p>
        </w:tc>
      </w:tr>
      <w:tr>
        <w:trPr>
          <w:cantSplit/>
        </w:trPr>
        <w:tc>
          <w:tcPr>
            <w:tcW w:type="dxa" w:w="2438"/>
            <w:vAlign w:val="center"/>
            <w:tcMar>
              <w:top w:w="80" w:type="dxa"/>
              <w:start w:w="100" w:type="dxa"/>
              <w:bottom w:w="80" w:type="dxa"/>
              <w:end w:w="100" w:type="dxa"/>
            </w:tcMar>
          </w:tcPr>
          <w:p>
            <w:bookmarkStart w:id="2319" w:name="po_223"/>
            <w:pPr>
              <w:spacing w:after="0"/>
              <w:jc w:val="center"/>
            </w:pPr>
            <w:r/>
            <w:r>
              <w:t>T2-PO-223</w:t>
            </w:r>
            <w:bookmarkEnd w:id="2319"/>
          </w:p>
        </w:tc>
        <w:tc>
          <w:tcPr>
            <w:tcW w:type="dxa" w:w="2438"/>
            <w:vAlign w:val="center"/>
            <w:tcMar>
              <w:top w:w="80" w:type="dxa"/>
              <w:start w:w="100" w:type="dxa"/>
              <w:bottom w:w="80" w:type="dxa"/>
              <w:end w:w="100" w:type="dxa"/>
            </w:tcMar>
          </w:tcPr>
          <w:p>
            <w:pPr>
              <w:spacing w:after="0"/>
            </w:pPr>
            <w:r/>
            <w:r>
              <w:t>Определить 2-категорию локальных NAPG-Kuranishi charts.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Полная спецификация объектов, 1- и 2-морфизмов.</w:t>
            </w:r>
          </w:p>
        </w:tc>
      </w:tr>
      <w:tr>
        <w:trPr>
          <w:cantSplit/>
        </w:trPr>
        <w:tc>
          <w:tcPr>
            <w:tcW w:type="dxa" w:w="2438"/>
            <w:vAlign w:val="center"/>
            <w:tcMar>
              <w:top w:w="80" w:type="dxa"/>
              <w:start w:w="100" w:type="dxa"/>
              <w:bottom w:w="80" w:type="dxa"/>
              <w:end w:w="100" w:type="dxa"/>
            </w:tcMar>
          </w:tcPr>
          <w:p>
            <w:bookmarkStart w:id="2320" w:name="po_224"/>
            <w:pPr>
              <w:spacing w:after="0"/>
              <w:jc w:val="center"/>
            </w:pPr>
            <w:r/>
            <w:r>
              <w:t>T2-PO-224</w:t>
            </w:r>
            <w:bookmarkEnd w:id="2320"/>
          </w:p>
        </w:tc>
        <w:tc>
          <w:tcPr>
            <w:tcW w:type="dxa" w:w="2438"/>
            <w:vAlign w:val="center"/>
            <w:tcMar>
              <w:top w:w="80" w:type="dxa"/>
              <w:start w:w="100" w:type="dxa"/>
              <w:bottom w:w="80" w:type="dxa"/>
              <w:end w:w="100" w:type="dxa"/>
            </w:tcMar>
          </w:tcPr>
          <w:p>
            <w:pPr>
              <w:spacing w:after="0"/>
            </w:pPr>
            <w:r/>
            <w:r>
              <w:t>Доказать покрытие footprints.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atlas certificate.</w:t>
            </w:r>
          </w:p>
        </w:tc>
      </w:tr>
      <w:tr>
        <w:trPr>
          <w:cantSplit/>
        </w:trPr>
        <w:tc>
          <w:tcPr>
            <w:tcW w:type="dxa" w:w="2438"/>
            <w:vAlign w:val="center"/>
            <w:tcMar>
              <w:top w:w="80" w:type="dxa"/>
              <w:start w:w="100" w:type="dxa"/>
              <w:bottom w:w="80" w:type="dxa"/>
              <w:end w:w="100" w:type="dxa"/>
            </w:tcMar>
          </w:tcPr>
          <w:p>
            <w:bookmarkStart w:id="2321" w:name="po_225"/>
            <w:pPr>
              <w:spacing w:after="0"/>
              <w:jc w:val="center"/>
            </w:pPr>
            <w:r/>
            <w:r>
              <w:t>T2-PO-225</w:t>
            </w:r>
            <w:bookmarkEnd w:id="2321"/>
          </w:p>
        </w:tc>
        <w:tc>
          <w:tcPr>
            <w:tcW w:type="dxa" w:w="2438"/>
            <w:vAlign w:val="center"/>
            <w:tcMar>
              <w:top w:w="80" w:type="dxa"/>
              <w:start w:w="100" w:type="dxa"/>
              <w:bottom w:w="80" w:type="dxa"/>
              <w:end w:w="100" w:type="dxa"/>
            </w:tcMar>
          </w:tcPr>
          <w:p>
            <w:pPr>
              <w:spacing w:after="0"/>
            </w:pPr>
            <w:r/>
            <w:r>
              <w:t>Типизировать coordinate changes.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Проверка (18.4) на каждой модели.</w:t>
            </w:r>
          </w:p>
        </w:tc>
      </w:tr>
      <w:tr>
        <w:trPr>
          <w:cantSplit/>
        </w:trPr>
        <w:tc>
          <w:tcPr>
            <w:tcW w:type="dxa" w:w="2438"/>
            <w:vAlign w:val="center"/>
            <w:tcMar>
              <w:top w:w="80" w:type="dxa"/>
              <w:start w:w="100" w:type="dxa"/>
              <w:bottom w:w="80" w:type="dxa"/>
              <w:end w:w="100" w:type="dxa"/>
            </w:tcMar>
          </w:tcPr>
          <w:p>
            <w:bookmarkStart w:id="2322" w:name="po_226"/>
            <w:pPr>
              <w:spacing w:after="0"/>
              <w:jc w:val="center"/>
            </w:pPr>
            <w:r/>
            <w:r>
              <w:t>T2-PO-226</w:t>
            </w:r>
            <w:bookmarkEnd w:id="2322"/>
          </w:p>
        </w:tc>
        <w:tc>
          <w:tcPr>
            <w:tcW w:type="dxa" w:w="2438"/>
            <w:vAlign w:val="center"/>
            <w:tcMar>
              <w:top w:w="80" w:type="dxa"/>
              <w:start w:w="100" w:type="dxa"/>
              <w:bottom w:w="80" w:type="dxa"/>
              <w:end w:w="100" w:type="dxa"/>
            </w:tcMar>
          </w:tcPr>
          <w:p>
            <w:pPr>
              <w:spacing w:after="0"/>
            </w:pPr>
            <w:r/>
            <w:r>
              <w:t>Построить triple 2-cocycle.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Явные αᵢⱼₖ.</w:t>
            </w:r>
          </w:p>
        </w:tc>
      </w:tr>
      <w:tr>
        <w:trPr>
          <w:cantSplit/>
        </w:trPr>
        <w:tc>
          <w:tcPr>
            <w:tcW w:type="dxa" w:w="2438"/>
            <w:vAlign w:val="center"/>
            <w:tcMar>
              <w:top w:w="80" w:type="dxa"/>
              <w:start w:w="100" w:type="dxa"/>
              <w:bottom w:w="80" w:type="dxa"/>
              <w:end w:w="100" w:type="dxa"/>
            </w:tcMar>
          </w:tcPr>
          <w:p>
            <w:bookmarkStart w:id="2323" w:name="po_227"/>
            <w:pPr>
              <w:spacing w:after="0"/>
              <w:jc w:val="center"/>
            </w:pPr>
            <w:r/>
            <w:r>
              <w:t>T2-PO-227</w:t>
            </w:r>
            <w:bookmarkEnd w:id="2323"/>
          </w:p>
        </w:tc>
        <w:tc>
          <w:tcPr>
            <w:tcW w:type="dxa" w:w="2438"/>
            <w:vAlign w:val="center"/>
            <w:tcMar>
              <w:top w:w="80" w:type="dxa"/>
              <w:start w:w="100" w:type="dxa"/>
              <w:bottom w:w="80" w:type="dxa"/>
              <w:end w:w="100" w:type="dxa"/>
            </w:tcMar>
          </w:tcPr>
          <w:p>
            <w:pPr>
              <w:spacing w:after="0"/>
            </w:pPr>
            <w:r/>
            <w:r>
              <w:t>Проверить quadruple coherence.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Pentagon/higher homotopy certificate.</w:t>
            </w:r>
          </w:p>
        </w:tc>
      </w:tr>
      <w:tr>
        <w:trPr>
          <w:cantSplit/>
        </w:trPr>
        <w:tc>
          <w:tcPr>
            <w:tcW w:type="dxa" w:w="2438"/>
            <w:vAlign w:val="center"/>
            <w:tcMar>
              <w:top w:w="80" w:type="dxa"/>
              <w:start w:w="100" w:type="dxa"/>
              <w:bottom w:w="80" w:type="dxa"/>
              <w:end w:w="100" w:type="dxa"/>
            </w:tcMar>
          </w:tcPr>
          <w:p>
            <w:bookmarkStart w:id="2324" w:name="po_228"/>
            <w:pPr>
              <w:spacing w:after="0"/>
              <w:jc w:val="center"/>
            </w:pPr>
            <w:r/>
            <w:r>
              <w:t>T2-PO-228</w:t>
            </w:r>
            <w:bookmarkEnd w:id="2324"/>
          </w:p>
        </w:tc>
        <w:tc>
          <w:tcPr>
            <w:tcW w:type="dxa" w:w="2438"/>
            <w:vAlign w:val="center"/>
            <w:tcMar>
              <w:top w:w="80" w:type="dxa"/>
              <w:start w:w="100" w:type="dxa"/>
              <w:bottom w:w="80" w:type="dxa"/>
              <w:end w:w="100" w:type="dxa"/>
            </w:tcMar>
          </w:tcPr>
          <w:p>
            <w:pPr>
              <w:spacing w:after="0"/>
            </w:pPr>
            <w:r/>
            <w:r>
              <w:t>Классифицировать stabilizers.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Stacky local models.</w:t>
            </w:r>
          </w:p>
        </w:tc>
      </w:tr>
      <w:tr>
        <w:trPr>
          <w:cantSplit/>
        </w:trPr>
        <w:tc>
          <w:tcPr>
            <w:tcW w:type="dxa" w:w="2438"/>
            <w:vAlign w:val="center"/>
            <w:tcMar>
              <w:top w:w="80" w:type="dxa"/>
              <w:start w:w="100" w:type="dxa"/>
              <w:bottom w:w="80" w:type="dxa"/>
              <w:end w:w="100" w:type="dxa"/>
            </w:tcMar>
          </w:tcPr>
          <w:p>
            <w:bookmarkStart w:id="2325" w:name="po_229"/>
            <w:pPr>
              <w:spacing w:after="0"/>
              <w:jc w:val="center"/>
            </w:pPr>
            <w:r/>
            <w:r>
              <w:t>T2-PO-229</w:t>
            </w:r>
            <w:bookmarkEnd w:id="2325"/>
          </w:p>
        </w:tc>
        <w:tc>
          <w:tcPr>
            <w:tcW w:type="dxa" w:w="2438"/>
            <w:vAlign w:val="center"/>
            <w:tcMar>
              <w:top w:w="80" w:type="dxa"/>
              <w:start w:w="100" w:type="dxa"/>
              <w:bottom w:w="80" w:type="dxa"/>
              <w:end w:w="100" w:type="dxa"/>
            </w:tcMar>
          </w:tcPr>
          <w:p>
            <w:pPr>
              <w:spacing w:after="0"/>
            </w:pPr>
            <w:r/>
            <w:r>
              <w:t>Доказать Morita/presentation invariance.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Equivalence of atlases.</w:t>
            </w:r>
          </w:p>
        </w:tc>
      </w:tr>
      <w:tr>
        <w:trPr>
          <w:cantSplit/>
        </w:trPr>
        <w:tc>
          <w:tcPr>
            <w:tcW w:type="dxa" w:w="2438"/>
            <w:vAlign w:val="center"/>
            <w:tcMar>
              <w:top w:w="80" w:type="dxa"/>
              <w:start w:w="100" w:type="dxa"/>
              <w:bottom w:w="80" w:type="dxa"/>
              <w:end w:w="100" w:type="dxa"/>
            </w:tcMar>
          </w:tcPr>
          <w:p>
            <w:bookmarkStart w:id="2326" w:name="po_230"/>
            <w:pPr>
              <w:spacing w:after="0"/>
              <w:jc w:val="center"/>
            </w:pPr>
            <w:r/>
            <w:r>
              <w:t>T2-PO-230</w:t>
            </w:r>
            <w:bookmarkEnd w:id="2326"/>
          </w:p>
        </w:tc>
        <w:tc>
          <w:tcPr>
            <w:tcW w:type="dxa" w:w="2438"/>
            <w:vAlign w:val="center"/>
            <w:tcMar>
              <w:top w:w="80" w:type="dxa"/>
              <w:start w:w="100" w:type="dxa"/>
              <w:bottom w:w="80" w:type="dxa"/>
              <w:end w:w="100" w:type="dxa"/>
            </w:tcMar>
          </w:tcPr>
          <w:p>
            <w:pPr>
              <w:spacing w:after="0"/>
            </w:pPr>
            <w:r/>
            <w:r>
              <w:t>Построить global derived enhancement.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Controlling ∞/L∞-model.</w:t>
            </w:r>
          </w:p>
        </w:tc>
      </w:tr>
      <w:tr>
        <w:trPr>
          <w:cantSplit/>
        </w:trPr>
        <w:tc>
          <w:tcPr>
            <w:tcW w:type="dxa" w:w="2438"/>
            <w:vAlign w:val="center"/>
            <w:tcMar>
              <w:top w:w="80" w:type="dxa"/>
              <w:start w:w="100" w:type="dxa"/>
              <w:bottom w:w="80" w:type="dxa"/>
              <w:end w:w="100" w:type="dxa"/>
            </w:tcMar>
          </w:tcPr>
          <w:p>
            <w:bookmarkStart w:id="2327" w:name="po_231"/>
            <w:pPr>
              <w:spacing w:after="0"/>
              <w:jc w:val="center"/>
            </w:pPr>
            <w:r/>
            <w:r>
              <w:t>T2-PO-231</w:t>
            </w:r>
            <w:bookmarkEnd w:id="2327"/>
          </w:p>
        </w:tc>
        <w:tc>
          <w:tcPr>
            <w:tcW w:type="dxa" w:w="2438"/>
            <w:vAlign w:val="center"/>
            <w:tcMar>
              <w:top w:w="80" w:type="dxa"/>
              <w:start w:w="100" w:type="dxa"/>
              <w:bottom w:w="80" w:type="dxa"/>
              <w:end w:w="100" w:type="dxa"/>
            </w:tcMar>
          </w:tcPr>
          <w:p>
            <w:pPr>
              <w:spacing w:after="0"/>
            </w:pPr>
            <w:r/>
            <w:r>
              <w:t>Построить virtual tangent complex.</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Локальный трёхчленный сектор.</w:t>
            </w:r>
          </w:p>
        </w:tc>
      </w:tr>
      <w:tr>
        <w:trPr>
          <w:cantSplit/>
        </w:trPr>
        <w:tc>
          <w:tcPr>
            <w:tcW w:type="dxa" w:w="2438"/>
            <w:vAlign w:val="center"/>
            <w:tcMar>
              <w:top w:w="80" w:type="dxa"/>
              <w:start w:w="100" w:type="dxa"/>
              <w:bottom w:w="80" w:type="dxa"/>
              <w:end w:w="100" w:type="dxa"/>
            </w:tcMar>
          </w:tcPr>
          <w:p>
            <w:bookmarkStart w:id="2328" w:name="po_232"/>
            <w:pPr>
              <w:spacing w:after="0"/>
              <w:jc w:val="center"/>
            </w:pPr>
            <w:r/>
            <w:r>
              <w:t>T2-PO-232</w:t>
            </w:r>
            <w:bookmarkEnd w:id="2328"/>
          </w:p>
        </w:tc>
        <w:tc>
          <w:tcPr>
            <w:tcW w:type="dxa" w:w="2438"/>
            <w:vAlign w:val="center"/>
            <w:tcMar>
              <w:top w:w="80" w:type="dxa"/>
              <w:start w:w="100" w:type="dxa"/>
              <w:bottom w:w="80" w:type="dxa"/>
              <w:end w:w="100" w:type="dxa"/>
            </w:tcMar>
          </w:tcPr>
          <w:p>
            <w:pPr>
              <w:spacing w:after="0"/>
            </w:pPr>
            <w:r/>
            <w:r>
              <w:t>Доказать существование perfect obstruction theory.</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BF-type morphism E•→L_𝔐.</w:t>
            </w:r>
          </w:p>
        </w:tc>
      </w:tr>
      <w:tr>
        <w:trPr>
          <w:cantSplit/>
        </w:trPr>
        <w:tc>
          <w:tcPr>
            <w:tcW w:type="dxa" w:w="2438"/>
            <w:vAlign w:val="center"/>
            <w:tcMar>
              <w:top w:w="80" w:type="dxa"/>
              <w:start w:w="100" w:type="dxa"/>
              <w:bottom w:w="80" w:type="dxa"/>
              <w:end w:w="100" w:type="dxa"/>
            </w:tcMar>
          </w:tcPr>
          <w:p>
            <w:bookmarkStart w:id="2329" w:name="po_233"/>
            <w:pPr>
              <w:spacing w:after="0"/>
              <w:jc w:val="center"/>
            </w:pPr>
            <w:r/>
            <w:r>
              <w:t>T2-PO-233</w:t>
            </w:r>
            <w:bookmarkEnd w:id="2329"/>
          </w:p>
        </w:tc>
        <w:tc>
          <w:tcPr>
            <w:tcW w:type="dxa" w:w="2438"/>
            <w:vAlign w:val="center"/>
            <w:tcMar>
              <w:top w:w="80" w:type="dxa"/>
              <w:start w:w="100" w:type="dxa"/>
              <w:bottom w:w="80" w:type="dxa"/>
              <w:end w:w="100" w:type="dxa"/>
            </w:tcMar>
          </w:tcPr>
          <w:p>
            <w:pPr>
              <w:spacing w:after="0"/>
            </w:pPr>
            <w:r/>
            <w:r>
              <w:t>Зафиксировать Tor-amplitude.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Проверка perfectness.</w:t>
            </w:r>
          </w:p>
        </w:tc>
      </w:tr>
      <w:tr>
        <w:trPr>
          <w:cantSplit/>
        </w:trPr>
        <w:tc>
          <w:tcPr>
            <w:tcW w:type="dxa" w:w="2438"/>
            <w:vAlign w:val="center"/>
            <w:tcMar>
              <w:top w:w="80" w:type="dxa"/>
              <w:start w:w="100" w:type="dxa"/>
              <w:bottom w:w="80" w:type="dxa"/>
              <w:end w:w="100" w:type="dxa"/>
            </w:tcMar>
          </w:tcPr>
          <w:p>
            <w:bookmarkStart w:id="2330" w:name="po_234"/>
            <w:pPr>
              <w:spacing w:after="0"/>
              <w:jc w:val="center"/>
            </w:pPr>
            <w:r/>
            <w:r>
              <w:t>T2-PO-234</w:t>
            </w:r>
            <w:bookmarkEnd w:id="2330"/>
          </w:p>
        </w:tc>
        <w:tc>
          <w:tcPr>
            <w:tcW w:type="dxa" w:w="2438"/>
            <w:vAlign w:val="center"/>
            <w:tcMar>
              <w:top w:w="80" w:type="dxa"/>
              <w:start w:w="100" w:type="dxa"/>
              <w:bottom w:w="80" w:type="dxa"/>
              <w:end w:w="100" w:type="dxa"/>
            </w:tcMar>
          </w:tcPr>
          <w:p>
            <w:pPr>
              <w:spacing w:after="0"/>
            </w:pPr>
            <w:r/>
            <w:r>
              <w:t>Построить obstruction sheaf и cone.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Global POT/derived enhancement.</w:t>
            </w:r>
          </w:p>
        </w:tc>
      </w:tr>
      <w:tr>
        <w:trPr>
          <w:cantSplit/>
        </w:trPr>
        <w:tc>
          <w:tcPr>
            <w:tcW w:type="dxa" w:w="2438"/>
            <w:vAlign w:val="center"/>
            <w:tcMar>
              <w:top w:w="80" w:type="dxa"/>
              <w:start w:w="100" w:type="dxa"/>
              <w:bottom w:w="80" w:type="dxa"/>
              <w:end w:w="100" w:type="dxa"/>
            </w:tcMar>
          </w:tcPr>
          <w:p>
            <w:bookmarkStart w:id="2331" w:name="po_235"/>
            <w:pPr>
              <w:spacing w:after="0"/>
              <w:jc w:val="center"/>
            </w:pPr>
            <w:r/>
            <w:r>
              <w:t>T2-PO-235</w:t>
            </w:r>
            <w:bookmarkEnd w:id="2331"/>
          </w:p>
        </w:tc>
        <w:tc>
          <w:tcPr>
            <w:tcW w:type="dxa" w:w="2438"/>
            <w:vAlign w:val="center"/>
            <w:tcMar>
              <w:top w:w="80" w:type="dxa"/>
              <w:start w:w="100" w:type="dxa"/>
              <w:bottom w:w="80" w:type="dxa"/>
              <w:end w:w="100" w:type="dxa"/>
            </w:tcMar>
          </w:tcPr>
          <w:p>
            <w:pPr>
              <w:spacing w:after="0"/>
            </w:pPr>
            <w:r/>
            <w:r>
              <w:t>Склеить local obstruction theories.</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Homotopy-coherent quasi-isomorphisms.</w:t>
            </w:r>
          </w:p>
        </w:tc>
      </w:tr>
      <w:tr>
        <w:trPr>
          <w:cantSplit/>
        </w:trPr>
        <w:tc>
          <w:tcPr>
            <w:tcW w:type="dxa" w:w="2438"/>
            <w:vAlign w:val="center"/>
            <w:tcMar>
              <w:top w:w="80" w:type="dxa"/>
              <w:start w:w="100" w:type="dxa"/>
              <w:bottom w:w="80" w:type="dxa"/>
              <w:end w:w="100" w:type="dxa"/>
            </w:tcMar>
          </w:tcPr>
          <w:p>
            <w:bookmarkStart w:id="2332" w:name="po_236"/>
            <w:pPr>
              <w:spacing w:after="0"/>
              <w:jc w:val="center"/>
            </w:pPr>
            <w:r/>
            <w:r>
              <w:t>T2-PO-236</w:t>
            </w:r>
            <w:bookmarkEnd w:id="2332"/>
          </w:p>
        </w:tc>
        <w:tc>
          <w:tcPr>
            <w:tcW w:type="dxa" w:w="2438"/>
            <w:vAlign w:val="center"/>
            <w:tcMar>
              <w:top w:w="80" w:type="dxa"/>
              <w:start w:w="100" w:type="dxa"/>
              <w:bottom w:w="80" w:type="dxa"/>
              <w:end w:w="100" w:type="dxa"/>
            </w:tcMar>
          </w:tcPr>
          <w:p>
            <w:pPr>
              <w:spacing w:after="0"/>
            </w:pPr>
            <w:r/>
            <w:r>
              <w:t>Вычислить descent obstruction.</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Central band либо full totalization.</w:t>
            </w:r>
          </w:p>
        </w:tc>
      </w:tr>
      <w:tr>
        <w:trPr>
          <w:cantSplit/>
        </w:trPr>
        <w:tc>
          <w:tcPr>
            <w:tcW w:type="dxa" w:w="2438"/>
            <w:vAlign w:val="center"/>
            <w:tcMar>
              <w:top w:w="80" w:type="dxa"/>
              <w:start w:w="100" w:type="dxa"/>
              <w:bottom w:w="80" w:type="dxa"/>
              <w:end w:w="100" w:type="dxa"/>
            </w:tcMar>
          </w:tcPr>
          <w:p>
            <w:bookmarkStart w:id="2333" w:name="po_237"/>
            <w:pPr>
              <w:spacing w:after="0"/>
              <w:jc w:val="center"/>
            </w:pPr>
            <w:r/>
            <w:r>
              <w:t>T2-PO-237</w:t>
            </w:r>
            <w:bookmarkEnd w:id="2333"/>
          </w:p>
        </w:tc>
        <w:tc>
          <w:tcPr>
            <w:tcW w:type="dxa" w:w="2438"/>
            <w:vAlign w:val="center"/>
            <w:tcMar>
              <w:top w:w="80" w:type="dxa"/>
              <w:start w:w="100" w:type="dxa"/>
              <w:bottom w:w="80" w:type="dxa"/>
              <w:end w:w="100" w:type="dxa"/>
            </w:tcMar>
          </w:tcPr>
          <w:p>
            <w:pPr>
              <w:spacing w:after="0"/>
            </w:pPr>
            <w:r/>
            <w:r>
              <w:t>Доказать сохранение perfectness при descent.</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Derived descent theorem в выбранной категории.</w:t>
            </w:r>
          </w:p>
        </w:tc>
      </w:tr>
      <w:tr>
        <w:trPr>
          <w:cantSplit/>
        </w:trPr>
        <w:tc>
          <w:tcPr>
            <w:tcW w:type="dxa" w:w="2438"/>
            <w:vAlign w:val="center"/>
            <w:tcMar>
              <w:top w:w="80" w:type="dxa"/>
              <w:start w:w="100" w:type="dxa"/>
              <w:bottom w:w="80" w:type="dxa"/>
              <w:end w:w="100" w:type="dxa"/>
            </w:tcMar>
          </w:tcPr>
          <w:p>
            <w:bookmarkStart w:id="2334" w:name="po_238"/>
            <w:pPr>
              <w:spacing w:after="0"/>
              <w:jc w:val="center"/>
            </w:pPr>
            <w:r/>
            <w:r>
              <w:t>T2-PO-238</w:t>
            </w:r>
            <w:bookmarkEnd w:id="2334"/>
          </w:p>
        </w:tc>
        <w:tc>
          <w:tcPr>
            <w:tcW w:type="dxa" w:w="2438"/>
            <w:vAlign w:val="center"/>
            <w:tcMar>
              <w:top w:w="80" w:type="dxa"/>
              <w:start w:w="100" w:type="dxa"/>
              <w:bottom w:w="80" w:type="dxa"/>
              <w:end w:w="100" w:type="dxa"/>
            </w:tcMar>
          </w:tcPr>
          <w:p>
            <w:pPr>
              <w:spacing w:after="0"/>
            </w:pPr>
            <w:r/>
            <w:r>
              <w:t>Построить determinant/orientation data.</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Orientation line certificate.</w:t>
            </w:r>
          </w:p>
        </w:tc>
      </w:tr>
      <w:tr>
        <w:trPr>
          <w:cantSplit/>
        </w:trPr>
        <w:tc>
          <w:tcPr>
            <w:tcW w:type="dxa" w:w="2438"/>
            <w:vAlign w:val="center"/>
            <w:tcMar>
              <w:top w:w="80" w:type="dxa"/>
              <w:start w:w="100" w:type="dxa"/>
              <w:bottom w:w="80" w:type="dxa"/>
              <w:end w:w="100" w:type="dxa"/>
            </w:tcMar>
          </w:tcPr>
          <w:p>
            <w:bookmarkStart w:id="2335" w:name="po_239"/>
            <w:pPr>
              <w:spacing w:after="0"/>
              <w:jc w:val="center"/>
            </w:pPr>
            <w:r/>
            <w:r>
              <w:t>T2-PO-239</w:t>
            </w:r>
            <w:bookmarkEnd w:id="2335"/>
          </w:p>
        </w:tc>
        <w:tc>
          <w:tcPr>
            <w:tcW w:type="dxa" w:w="2438"/>
            <w:vAlign w:val="center"/>
            <w:tcMar>
              <w:top w:w="80" w:type="dxa"/>
              <w:start w:w="100" w:type="dxa"/>
              <w:bottom w:w="80" w:type="dxa"/>
              <w:end w:w="100" w:type="dxa"/>
            </w:tcMar>
          </w:tcPr>
          <w:p>
            <w:pPr>
              <w:spacing w:after="0"/>
            </w:pPr>
            <w:r/>
            <w:r>
              <w:t>Построить branch stack.</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Normalization/étale sector.</w:t>
            </w:r>
          </w:p>
        </w:tc>
      </w:tr>
      <w:tr>
        <w:trPr>
          <w:cantSplit/>
        </w:trPr>
        <w:tc>
          <w:tcPr>
            <w:tcW w:type="dxa" w:w="2438"/>
            <w:vAlign w:val="center"/>
            <w:tcMar>
              <w:top w:w="80" w:type="dxa"/>
              <w:start w:w="100" w:type="dxa"/>
              <w:bottom w:w="80" w:type="dxa"/>
              <w:end w:w="100" w:type="dxa"/>
            </w:tcMar>
          </w:tcPr>
          <w:p>
            <w:bookmarkStart w:id="2336" w:name="po_240"/>
            <w:pPr>
              <w:spacing w:after="0"/>
              <w:jc w:val="center"/>
            </w:pPr>
            <w:r/>
            <w:r>
              <w:t>T2-PO-240</w:t>
            </w:r>
            <w:bookmarkEnd w:id="2336"/>
          </w:p>
        </w:tc>
        <w:tc>
          <w:tcPr>
            <w:tcW w:type="dxa" w:w="2438"/>
            <w:vAlign w:val="center"/>
            <w:tcMar>
              <w:top w:w="80" w:type="dxa"/>
              <w:start w:w="100" w:type="dxa"/>
              <w:bottom w:w="80" w:type="dxa"/>
              <w:end w:w="100" w:type="dxa"/>
            </w:tcMar>
          </w:tcPr>
          <w:p>
            <w:pPr>
              <w:spacing w:after="0"/>
            </w:pPr>
            <w:r/>
            <w:r>
              <w:t>Вычислить monodromy.</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branch cover.</w:t>
            </w:r>
          </w:p>
        </w:tc>
      </w:tr>
      <w:tr>
        <w:trPr>
          <w:cantSplit/>
        </w:trPr>
        <w:tc>
          <w:tcPr>
            <w:tcW w:type="dxa" w:w="2438"/>
            <w:vAlign w:val="center"/>
            <w:tcMar>
              <w:top w:w="80" w:type="dxa"/>
              <w:start w:w="100" w:type="dxa"/>
              <w:bottom w:w="80" w:type="dxa"/>
              <w:end w:w="100" w:type="dxa"/>
            </w:tcMar>
          </w:tcPr>
          <w:p>
            <w:bookmarkStart w:id="2337" w:name="po_241"/>
            <w:pPr>
              <w:spacing w:after="0"/>
              <w:jc w:val="center"/>
            </w:pPr>
            <w:r/>
            <w:r>
              <w:t>T2-PO-241</w:t>
            </w:r>
            <w:bookmarkEnd w:id="2337"/>
          </w:p>
        </w:tc>
        <w:tc>
          <w:tcPr>
            <w:tcW w:type="dxa" w:w="2438"/>
            <w:vAlign w:val="center"/>
            <w:tcMar>
              <w:top w:w="80" w:type="dxa"/>
              <w:start w:w="100" w:type="dxa"/>
              <w:bottom w:w="80" w:type="dxa"/>
              <w:end w:w="100" w:type="dxa"/>
            </w:tcMar>
          </w:tcPr>
          <w:p>
            <w:pPr>
              <w:spacing w:after="0"/>
            </w:pPr>
            <w:r/>
            <w:r>
              <w:t>Доказать Reper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четырёх точек.</w:t>
            </w:r>
          </w:p>
        </w:tc>
      </w:tr>
      <w:tr>
        <w:trPr>
          <w:cantSplit/>
        </w:trPr>
        <w:tc>
          <w:tcPr>
            <w:tcW w:type="dxa" w:w="2438"/>
            <w:vAlign w:val="center"/>
            <w:tcMar>
              <w:top w:w="80" w:type="dxa"/>
              <w:start w:w="100" w:type="dxa"/>
              <w:bottom w:w="80" w:type="dxa"/>
              <w:end w:w="100" w:type="dxa"/>
            </w:tcMar>
          </w:tcPr>
          <w:p>
            <w:bookmarkStart w:id="2338" w:name="po_242"/>
            <w:pPr>
              <w:spacing w:after="0"/>
              <w:jc w:val="center"/>
            </w:pPr>
            <w:r/>
            <w:r>
              <w:t>T2-PO-242</w:t>
            </w:r>
            <w:bookmarkEnd w:id="2338"/>
          </w:p>
        </w:tc>
        <w:tc>
          <w:tcPr>
            <w:tcW w:type="dxa" w:w="2438"/>
            <w:vAlign w:val="center"/>
            <w:tcMar>
              <w:top w:w="80" w:type="dxa"/>
              <w:start w:w="100" w:type="dxa"/>
              <w:bottom w:w="80" w:type="dxa"/>
              <w:end w:w="100" w:type="dxa"/>
            </w:tcMar>
          </w:tcPr>
          <w:p>
            <w:pPr>
              <w:spacing w:after="0"/>
            </w:pPr>
            <w:r/>
            <w:r>
              <w:t>Доказать Evidence-D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Provenance functor и cocycle.</w:t>
            </w:r>
          </w:p>
        </w:tc>
      </w:tr>
      <w:tr>
        <w:trPr>
          <w:cantSplit/>
        </w:trPr>
        <w:tc>
          <w:tcPr>
            <w:tcW w:type="dxa" w:w="2438"/>
            <w:vAlign w:val="center"/>
            <w:tcMar>
              <w:top w:w="80" w:type="dxa"/>
              <w:start w:w="100" w:type="dxa"/>
              <w:bottom w:w="80" w:type="dxa"/>
              <w:end w:w="100" w:type="dxa"/>
            </w:tcMar>
          </w:tcPr>
          <w:p>
            <w:bookmarkStart w:id="2339" w:name="po_243"/>
            <w:pPr>
              <w:spacing w:after="0"/>
              <w:jc w:val="center"/>
            </w:pPr>
            <w:r/>
            <w:r>
              <w:t>T2-PO-243</w:t>
            </w:r>
            <w:bookmarkEnd w:id="2339"/>
          </w:p>
        </w:tc>
        <w:tc>
          <w:tcPr>
            <w:tcW w:type="dxa" w:w="2438"/>
            <w:vAlign w:val="center"/>
            <w:tcMar>
              <w:top w:w="80" w:type="dxa"/>
              <w:start w:w="100" w:type="dxa"/>
              <w:bottom w:w="80" w:type="dxa"/>
              <w:end w:w="100" w:type="dxa"/>
            </w:tcMar>
          </w:tcPr>
          <w:p>
            <w:pPr>
              <w:spacing w:after="0"/>
            </w:pPr>
            <w:r/>
            <w:r>
              <w:t>Доказать Dom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admissible domains.</w:t>
            </w:r>
          </w:p>
        </w:tc>
      </w:tr>
      <w:tr>
        <w:trPr>
          <w:cantSplit/>
        </w:trPr>
        <w:tc>
          <w:tcPr>
            <w:tcW w:type="dxa" w:w="2438"/>
            <w:vAlign w:val="center"/>
            <w:tcMar>
              <w:top w:w="80" w:type="dxa"/>
              <w:start w:w="100" w:type="dxa"/>
              <w:bottom w:w="80" w:type="dxa"/>
              <w:end w:w="100" w:type="dxa"/>
            </w:tcMar>
          </w:tcPr>
          <w:p>
            <w:bookmarkStart w:id="2340" w:name="po_244"/>
            <w:pPr>
              <w:spacing w:after="0"/>
              <w:jc w:val="center"/>
            </w:pPr>
            <w:r/>
            <w:r>
              <w:t>T2-PO-244</w:t>
            </w:r>
            <w:bookmarkEnd w:id="2340"/>
          </w:p>
        </w:tc>
        <w:tc>
          <w:tcPr>
            <w:tcW w:type="dxa" w:w="2438"/>
            <w:vAlign w:val="center"/>
            <w:tcMar>
              <w:top w:w="80" w:type="dxa"/>
              <w:start w:w="100" w:type="dxa"/>
              <w:bottom w:w="80" w:type="dxa"/>
              <w:end w:w="100" w:type="dxa"/>
            </w:tcMar>
          </w:tcPr>
          <w:p>
            <w:pPr>
              <w:spacing w:after="0"/>
            </w:pPr>
            <w:r/>
            <w:r>
              <w:t>Доказать глобальность λ.</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Projective transitions и pole exclusion.</w:t>
            </w:r>
          </w:p>
        </w:tc>
      </w:tr>
      <w:tr>
        <w:trPr>
          <w:cantSplit/>
        </w:trPr>
        <w:tc>
          <w:tcPr>
            <w:tcW w:type="dxa" w:w="2438"/>
            <w:vAlign w:val="center"/>
            <w:tcMar>
              <w:top w:w="80" w:type="dxa"/>
              <w:start w:w="100" w:type="dxa"/>
              <w:bottom w:w="80" w:type="dxa"/>
              <w:end w:w="100" w:type="dxa"/>
            </w:tcMar>
          </w:tcPr>
          <w:p>
            <w:bookmarkStart w:id="2341" w:name="po_245"/>
            <w:pPr>
              <w:spacing w:after="0"/>
              <w:jc w:val="center"/>
            </w:pPr>
            <w:r/>
            <w:r>
              <w:t>T2-PO-245</w:t>
            </w:r>
            <w:bookmarkEnd w:id="2341"/>
          </w:p>
        </w:tc>
        <w:tc>
          <w:tcPr>
            <w:tcW w:type="dxa" w:w="2438"/>
            <w:vAlign w:val="center"/>
            <w:tcMar>
              <w:top w:w="80" w:type="dxa"/>
              <w:start w:w="100" w:type="dxa"/>
              <w:bottom w:w="80" w:type="dxa"/>
              <w:end w:w="100" w:type="dxa"/>
            </w:tcMar>
          </w:tcPr>
          <w:p>
            <w:pPr>
              <w:spacing w:after="0"/>
            </w:pPr>
            <w:r/>
            <w:r>
              <w:t>Согласовать global carrier с Π_E.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Natural transformation on stack.</w:t>
            </w:r>
          </w:p>
        </w:tc>
      </w:tr>
      <w:tr>
        <w:trPr>
          <w:cantSplit/>
        </w:trPr>
        <w:tc>
          <w:tcPr>
            <w:tcW w:type="dxa" w:w="2438"/>
            <w:vAlign w:val="center"/>
            <w:tcMar>
              <w:top w:w="80" w:type="dxa"/>
              <w:start w:w="100" w:type="dxa"/>
              <w:bottom w:w="80" w:type="dxa"/>
              <w:end w:w="100" w:type="dxa"/>
            </w:tcMar>
          </w:tcPr>
          <w:p>
            <w:bookmarkStart w:id="2342" w:name="po_246"/>
            <w:pPr>
              <w:spacing w:after="0"/>
              <w:jc w:val="center"/>
            </w:pPr>
            <w:r/>
            <w:r>
              <w:t>T2-PO-246</w:t>
            </w:r>
            <w:bookmarkEnd w:id="2342"/>
          </w:p>
        </w:tc>
        <w:tc>
          <w:tcPr>
            <w:tcW w:type="dxa" w:w="2438"/>
            <w:vAlign w:val="center"/>
            <w:tcMar>
              <w:top w:w="80" w:type="dxa"/>
              <w:start w:w="100" w:type="dxa"/>
              <w:bottom w:w="80" w:type="dxa"/>
              <w:end w:w="100" w:type="dxa"/>
            </w:tcMar>
          </w:tcPr>
          <w:p>
            <w:pPr>
              <w:spacing w:after="0"/>
            </w:pPr>
            <w:r/>
            <w:r>
              <w:t>Доказать существование PredCar_N.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Закрыть PO-223-245.</w:t>
            </w:r>
          </w:p>
        </w:tc>
      </w:tr>
      <w:tr>
        <w:trPr>
          <w:cantSplit/>
        </w:trPr>
        <w:tc>
          <w:tcPr>
            <w:tcW w:type="dxa" w:w="2438"/>
            <w:vAlign w:val="center"/>
            <w:tcMar>
              <w:top w:w="80" w:type="dxa"/>
              <w:start w:w="100" w:type="dxa"/>
              <w:bottom w:w="80" w:type="dxa"/>
              <w:end w:w="100" w:type="dxa"/>
            </w:tcMar>
          </w:tcPr>
          <w:p>
            <w:bookmarkStart w:id="2343" w:name="po_247"/>
            <w:pPr>
              <w:spacing w:after="0"/>
              <w:jc w:val="center"/>
            </w:pPr>
            <w:r/>
            <w:r>
              <w:t>T2-PO-247</w:t>
            </w:r>
            <w:bookmarkEnd w:id="2343"/>
          </w:p>
        </w:tc>
        <w:tc>
          <w:tcPr>
            <w:tcW w:type="dxa" w:w="2438"/>
            <w:vAlign w:val="center"/>
            <w:tcMar>
              <w:top w:w="80" w:type="dxa"/>
              <w:start w:w="100" w:type="dxa"/>
              <w:bottom w:w="80" w:type="dxa"/>
              <w:end w:w="100" w:type="dxa"/>
            </w:tcMar>
          </w:tcPr>
          <w:p>
            <w:pPr>
              <w:spacing w:after="0"/>
            </w:pPr>
            <w:r/>
            <w:r>
              <w:t>Доказать invariant profile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Local triviality + transport.</w:t>
            </w:r>
          </w:p>
        </w:tc>
      </w:tr>
      <w:tr>
        <w:trPr>
          <w:cantSplit/>
        </w:trPr>
        <w:tc>
          <w:tcPr>
            <w:tcW w:type="dxa" w:w="2438"/>
            <w:vAlign w:val="center"/>
            <w:tcMar>
              <w:top w:w="80" w:type="dxa"/>
              <w:start w:w="100" w:type="dxa"/>
              <w:bottom w:w="80" w:type="dxa"/>
              <w:end w:w="100" w:type="dxa"/>
            </w:tcMar>
          </w:tcPr>
          <w:p>
            <w:bookmarkStart w:id="2344" w:name="po_248"/>
            <w:pPr>
              <w:spacing w:after="0"/>
              <w:jc w:val="center"/>
            </w:pPr>
            <w:r/>
            <w:r>
              <w:t>T2-PO-248</w:t>
            </w:r>
            <w:bookmarkEnd w:id="2344"/>
          </w:p>
        </w:tc>
        <w:tc>
          <w:tcPr>
            <w:tcW w:type="dxa" w:w="2438"/>
            <w:vAlign w:val="center"/>
            <w:tcMar>
              <w:top w:w="80" w:type="dxa"/>
              <w:start w:w="100" w:type="dxa"/>
              <w:bottom w:w="80" w:type="dxa"/>
              <w:end w:w="100" w:type="dxa"/>
            </w:tcMar>
          </w:tcPr>
          <w:p>
            <w:pPr>
              <w:spacing w:after="0"/>
            </w:pPr>
            <w:r/>
            <w:r>
              <w:t>Зафиксировать local-to-global no-go.</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Теорема 18.5.</w:t>
            </w:r>
          </w:p>
        </w:tc>
      </w:tr>
      <w:tr>
        <w:trPr>
          <w:cantSplit/>
        </w:trPr>
        <w:tc>
          <w:tcPr>
            <w:tcW w:type="dxa" w:w="2438"/>
            <w:vAlign w:val="center"/>
            <w:tcMar>
              <w:top w:w="80" w:type="dxa"/>
              <w:start w:w="100" w:type="dxa"/>
              <w:bottom w:w="80" w:type="dxa"/>
              <w:end w:w="100" w:type="dxa"/>
            </w:tcMar>
          </w:tcPr>
          <w:p>
            <w:bookmarkStart w:id="2345" w:name="po_249"/>
            <w:pPr>
              <w:spacing w:after="0"/>
              <w:jc w:val="center"/>
            </w:pPr>
            <w:r/>
            <w:r>
              <w:t>T2-PO-249</w:t>
            </w:r>
            <w:bookmarkEnd w:id="2345"/>
          </w:p>
        </w:tc>
        <w:tc>
          <w:tcPr>
            <w:tcW w:type="dxa" w:w="2438"/>
            <w:vAlign w:val="center"/>
            <w:tcMar>
              <w:top w:w="80" w:type="dxa"/>
              <w:start w:w="100" w:type="dxa"/>
              <w:bottom w:w="80" w:type="dxa"/>
              <w:end w:w="100" w:type="dxa"/>
            </w:tcMar>
          </w:tcPr>
          <w:p>
            <w:pPr>
              <w:spacing w:after="0"/>
            </w:pPr>
            <w:r/>
            <w:r>
              <w:t>Доказать global horizon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Uniform family hypotheses.</w:t>
            </w:r>
          </w:p>
        </w:tc>
      </w:tr>
      <w:tr>
        <w:trPr>
          <w:cantSplit/>
        </w:trPr>
        <w:tc>
          <w:tcPr>
            <w:tcW w:type="dxa" w:w="2438"/>
            <w:vAlign w:val="center"/>
            <w:tcMar>
              <w:top w:w="80" w:type="dxa"/>
              <w:start w:w="100" w:type="dxa"/>
              <w:bottom w:w="80" w:type="dxa"/>
              <w:end w:w="100" w:type="dxa"/>
            </w:tcMar>
          </w:tcPr>
          <w:p>
            <w:bookmarkStart w:id="2346" w:name="po_250"/>
            <w:pPr>
              <w:spacing w:after="0"/>
              <w:jc w:val="center"/>
            </w:pPr>
            <w:r/>
            <w:r>
              <w:t>T2-PO-250</w:t>
            </w:r>
            <w:bookmarkEnd w:id="2346"/>
          </w:p>
        </w:tc>
        <w:tc>
          <w:tcPr>
            <w:tcW w:type="dxa" w:w="2438"/>
            <w:vAlign w:val="center"/>
            <w:tcMar>
              <w:top w:w="80" w:type="dxa"/>
              <w:start w:w="100" w:type="dxa"/>
              <w:bottom w:w="80" w:type="dxa"/>
              <w:end w:w="100" w:type="dxa"/>
            </w:tcMar>
          </w:tcPr>
          <w:p>
            <w:pPr>
              <w:spacing w:after="0"/>
            </w:pPr>
            <w:r/>
            <w:r>
              <w:t>Построить interval/numerical descent certificate.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Validated numerics.</w:t>
            </w:r>
          </w:p>
        </w:tc>
      </w:tr>
      <w:tr>
        <w:trPr>
          <w:cantSplit/>
        </w:trPr>
        <w:tc>
          <w:tcPr>
            <w:tcW w:type="dxa" w:w="2438"/>
            <w:vAlign w:val="center"/>
            <w:tcMar>
              <w:top w:w="80" w:type="dxa"/>
              <w:start w:w="100" w:type="dxa"/>
              <w:bottom w:w="80" w:type="dxa"/>
              <w:end w:w="100" w:type="dxa"/>
            </w:tcMar>
          </w:tcPr>
          <w:p>
            <w:bookmarkStart w:id="2347" w:name="po_251"/>
            <w:pPr>
              <w:spacing w:after="0"/>
              <w:jc w:val="center"/>
            </w:pPr>
            <w:r/>
            <w:r>
              <w:t>T2-PO-251</w:t>
            </w:r>
            <w:bookmarkEnd w:id="2347"/>
          </w:p>
        </w:tc>
        <w:tc>
          <w:tcPr>
            <w:tcW w:type="dxa" w:w="2438"/>
            <w:vAlign w:val="center"/>
            <w:tcMar>
              <w:top w:w="80" w:type="dxa"/>
              <w:start w:w="100" w:type="dxa"/>
              <w:bottom w:w="80" w:type="dxa"/>
              <w:end w:w="100" w:type="dxa"/>
            </w:tcMar>
          </w:tcPr>
          <w:p>
            <w:pPr>
              <w:spacing w:after="0"/>
            </w:pPr>
            <w:r/>
            <w:r>
              <w:t>Выполнить независимый STACK-RUN.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Независимый код, данные и hashes.</w:t>
            </w:r>
          </w:p>
        </w:tc>
      </w:tr>
      <w:tr>
        <w:trPr>
          <w:cantSplit/>
        </w:trPr>
        <w:tc>
          <w:tcPr>
            <w:tcW w:type="dxa" w:w="2438"/>
            <w:vAlign w:val="center"/>
            <w:tcMar>
              <w:top w:w="80" w:type="dxa"/>
              <w:start w:w="100" w:type="dxa"/>
              <w:bottom w:w="80" w:type="dxa"/>
              <w:end w:w="100" w:type="dxa"/>
            </w:tcMar>
          </w:tcPr>
          <w:p>
            <w:bookmarkStart w:id="2348" w:name="po_252"/>
            <w:pPr>
              <w:spacing w:after="0"/>
              <w:jc w:val="center"/>
            </w:pPr>
            <w:r/>
            <w:r>
              <w:t>T2-PO-252</w:t>
            </w:r>
            <w:bookmarkEnd w:id="2348"/>
          </w:p>
        </w:tc>
        <w:tc>
          <w:tcPr>
            <w:tcW w:type="dxa" w:w="2438"/>
            <w:vAlign w:val="center"/>
            <w:tcMar>
              <w:top w:w="80" w:type="dxa"/>
              <w:start w:w="100" w:type="dxa"/>
              <w:bottom w:w="80" w:type="dxa"/>
              <w:end w:w="100" w:type="dxa"/>
            </w:tcMar>
          </w:tcPr>
          <w:p>
            <w:pPr>
              <w:spacing w:after="0"/>
            </w:pPr>
            <w:r/>
            <w:r>
              <w:t>Заблокировать автоматический физический экспорт.</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truth_layer_promotion=0; B8.</w:t>
            </w:r>
          </w:p>
        </w:tc>
      </w:tr>
    </w:tbl>
    <w:p>
      <w:bookmarkStart w:id="1142" w:name="h_2375"/>
      <w:pPr>
        <w:pStyle w:val="Heading1"/>
        <w:keepNext/>
      </w:pPr>
      <w:r>
        <w:t>214. Prior art и граница авторского вклада</w:t>
      </w:r>
      <w:bookmarkEnd w:id="1142"/>
    </w:p>
    <w:p>
      <w:pPr/>
      <w:r>
        <w:t>Классический prior art главы включает cotangent complexes и obstruction theories; intrinsic normal cone и perfect obstruction theory; homotopical/derived algebraic geometry; derived smooth manifolds; Kuranishi atlases и Kuranishi 2-categories. Авторский слой Курпишева состоит в blocker-safe соединении этих аппаратов с NAPG/KLT-RBD: глобальный carrier обязан одновременно сохранять derived tangent type, branch monodromy, Reper-четвёрку, Evidence-D, Dom, внешний E-мост и отрицательный режим воздержания.</w:t>
      </w:r>
    </w:p>
    <w:p>
      <w:pPr/>
      <w:r>
        <w:t xml:space="preserve">[V0.15-1] Behrend, K.; Fantechi, B. The Intrinsic Normal Cone. Invent. Math. 128 (1997), 45-88. arXiv: alg-geom/9601010. </w:t>
      </w:r>
      <w:hyperlink r:id="rId77">
        <w:r>
          <w:rPr>
            <w:color w:val="2F65A0"/>
            <w:u w:val="single"/>
          </w:rPr>
          <w:t>[источник]</w:t>
        </w:r>
      </w:hyperlink>
    </w:p>
    <w:p>
      <w:pPr/>
      <w:r>
        <w:t xml:space="preserve">[V0.15-2] Toën, B.; Vezzosi, G. Homotopical Algebraic Geometry II: Geometric Stacks and Applications. Mem. AMS 193 (2008), no. 902. arXiv: math/0404373. </w:t>
      </w:r>
      <w:hyperlink r:id="rId78">
        <w:r>
          <w:rPr>
            <w:color w:val="2F65A0"/>
            <w:u w:val="single"/>
          </w:rPr>
          <w:t>[источник]</w:t>
        </w:r>
      </w:hyperlink>
    </w:p>
    <w:p>
      <w:pPr/>
      <w:r>
        <w:t xml:space="preserve">[V0.15-3] Spivak, D. I. Derived Smooth Manifolds. Duke Math. J. 153 (2010), 55-128. arXiv: 0810.5174. </w:t>
      </w:r>
      <w:hyperlink r:id="rId79">
        <w:r>
          <w:rPr>
            <w:color w:val="2F65A0"/>
            <w:u w:val="single"/>
          </w:rPr>
          <w:t>[источник]</w:t>
        </w:r>
      </w:hyperlink>
    </w:p>
    <w:p>
      <w:pPr/>
      <w:r>
        <w:t xml:space="preserve">[V0.15-4] Joyce, D. A New Definition of Kuranishi Space. arXiv: 1409.6908. </w:t>
      </w:r>
      <w:hyperlink r:id="rId80">
        <w:r>
          <w:rPr>
            <w:color w:val="2F65A0"/>
            <w:u w:val="single"/>
          </w:rPr>
          <w:t>[источник]</w:t>
        </w:r>
      </w:hyperlink>
    </w:p>
    <w:p>
      <w:pPr/>
      <w:r>
        <w:t xml:space="preserve">[V0.15-5] Joyce, D. Kuranishi Spaces as a 2-Category. arXiv: 1510.07444. </w:t>
      </w:r>
      <w:hyperlink r:id="rId81">
        <w:r>
          <w:rPr>
            <w:color w:val="2F65A0"/>
            <w:u w:val="single"/>
          </w:rPr>
          <w:t>[источник]</w:t>
        </w:r>
      </w:hyperlink>
    </w:p>
    <w:p>
      <w:pPr/>
      <w:r>
        <w:t xml:space="preserve">[V0.15-6] McDuff, D.; Wehrheim, K. Smooth Kuranishi Atlases with Isotropy. arXiv: 1508.01556. </w:t>
      </w:r>
      <w:hyperlink r:id="rId82">
        <w:r>
          <w:rPr>
            <w:color w:val="2F65A0"/>
            <w:u w:val="single"/>
          </w:rPr>
          <w:t>[источник]</w:t>
        </w:r>
      </w:hyperlink>
    </w:p>
    <w:p>
      <w:pPr/>
      <w:r>
        <w:t xml:space="preserve">[V0.15-7] Illusie, L. Complexe cotangent et déformations I-II. Lecture Notes in Mathematics 239, 283. Springer, 1971-1972. </w:t>
      </w:r>
      <w:hyperlink r:id="rId83">
        <w:r>
          <w:rPr>
            <w:color w:val="2F65A0"/>
            <w:u w:val="single"/>
          </w:rPr>
          <w:t>[источник]</w:t>
        </w:r>
      </w:hyperlink>
    </w:p>
    <w:p>
      <w:pPr/>
      <w:r>
        <w:t xml:space="preserve">[V0.15-8] Stacks Project. Cotangent Complex; Obstruction Theories; Algebraic Stacks. </w:t>
      </w:r>
      <w:hyperlink r:id="rId84">
        <w:r>
          <w:rPr>
            <w:color w:val="2F65A0"/>
            <w:u w:val="single"/>
          </w:rPr>
          <w:t>[источник]</w:t>
        </w:r>
      </w:hyperlink>
    </w:p>
    <w:p>
      <w:pPr/>
      <w:r>
        <w:t xml:space="preserve">[V0.15-9] Kurpishev, I. B. Том I v197 RU; Том II T2-RP-v0.1-v0.14. </w:t>
      </w:r>
      <w:hyperlink r:id="rId85">
        <w:r>
          <w:rPr>
            <w:color w:val="2F65A0"/>
            <w:u w:val="single"/>
          </w:rPr>
          <w:t>[источник]</w:t>
        </w:r>
      </w:hyperlink>
    </w:p>
    <w:p>
      <w:bookmarkStart w:id="1143" w:name="h_2386"/>
      <w:pPr>
        <w:pStyle w:val="Heading1"/>
        <w:keepNext/>
      </w:pPr>
      <w:r>
        <w:t>215. Контрольная точка и граница вывода</w:t>
      </w:r>
      <w:bookmarkEnd w:id="1143"/>
    </w:p>
    <w:p>
      <w:bookmarkStart w:id="1910" w:name="f_18_25"/>
      <w:pPr>
        <w:pStyle w:val="Quote"/>
        <w:jc w:val="center"/>
      </w:pPr>
      <w:r>
        <w:rPr>
          <w:rFonts w:ascii="Cambria Math" w:hAnsi="Cambria Math"/>
          <w:sz w:val="21"/>
        </w:rPr>
        <w:t>truth_layer_promotion=0; checkpoint=T2-RP-v0.15; next=T2-RP-v0.16.      (18.25)</w:t>
      </w:r>
      <w:bookmarkEnd w:id="1910"/>
    </w:p>
    <w:p>
      <w:pPr/>
      <w:r>
        <w:t>Глава 18 построила глобализационный слой предсказательного метода: локальные карты, 2-когерентность, virtual tangent complexes, perfect obstruction data, branch stacks, Reper/D/Dom descent и внешний E-мост сведены в один типизированный carrier. Основной доказанный запрет состоит в том, что local lift и coarse moduli не определяют global derived/stacky object.</w:t>
      </w:r>
    </w:p>
    <w:p>
      <w:pPr>
        <w:pStyle w:val="Small"/>
      </w:pPr>
      <w:r>
        <w:t>Следующая сборка tom2_v0_16 развивает виртуальные циклы, интегрирование по moduli carrier, intersection-theoretic и enumerative invariants, а также строгий запрет превращать virtual count в вероятность будущего события.</w:t>
      </w:r>
    </w:p>
    <w:p>
      <w:pPr>
        <w:pStyle w:val="Small"/>
      </w:pPr>
      <w:r>
        <w:t>checkpoint=T2-RP-v0.15; source=T2-RP-v0.14; truth_layer_promotion=0; next=T2-RP-v0.16.</w:t>
      </w:r>
    </w:p>
    <w:p>
      <w:r>
        <w:br w:type="page"/>
      </w:r>
    </w:p>
    <w:p>
      <w:bookmarkStart w:id="1144" w:name="h_2392"/>
      <w:pPr>
        <w:pStyle w:val="Heading1"/>
        <w:keepNext/>
      </w:pPr>
      <w:r>
        <w:t>Глава 19. Виртуальные циклы, enumerative-инварианты и вероятностный firewall</w:t>
      </w:r>
      <w:bookmarkEnd w:id="1144"/>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4876"/>
            <w:vAlign w:val="center"/>
            <w:shd w:fill="17345F"/>
            <w:tcMar>
              <w:top w:w="120" w:type="dxa"/>
              <w:start w:w="120" w:type="dxa"/>
              <w:bottom w:w="120" w:type="dxa"/>
              <w:end w:w="120" w:type="dxa"/>
            </w:tcMar>
          </w:tcPr>
          <w:p>
            <w:pPr>
              <w:jc w:val="center"/>
            </w:pPr>
            <w:r/>
            <w:r>
              <w:rPr>
                <w:b/>
                <w:color w:val="FFFFFF"/>
                <w:sz w:val="19"/>
              </w:rPr>
              <w:t>ОНТОЛОГИЯ</w:t>
            </w:r>
          </w:p>
        </w:tc>
        <w:tc>
          <w:tcPr>
            <w:tcW w:type="dxa" w:w="4876"/>
            <w:vAlign w:val="center"/>
            <w:shd w:fill="E7EEF7"/>
            <w:tcMar>
              <w:top w:w="120" w:type="dxa"/>
              <w:start w:w="140" w:type="dxa"/>
              <w:bottom w:w="120" w:type="dxa"/>
              <w:end w:w="140" w:type="dxa"/>
            </w:tcMar>
          </w:tcPr>
          <w:p>
            <w:r/>
            <w:r>
              <w:rPr>
                <w:b w:val="0"/>
                <w:sz w:val="18"/>
              </w:rPr>
              <w:t>Виртуальный фундаментальный класс представляет геометрический объект пересечения, в котором фактическая размерность пространства решений заменяется ожидаемой размерностью tangent-obstruction theory. Он существует в цикловом, гомологическом или бордизмовом носителе, а не в пространстве вероятностных исходов.</w:t>
            </w:r>
          </w:p>
        </w:tc>
      </w:tr>
      <w:tr>
        <w:trPr>
          <w:cantSplit/>
        </w:trPr>
        <w:tc>
          <w:tcPr>
            <w:tcW w:type="dxa" w:w="4876"/>
            <w:vAlign w:val="center"/>
            <w:shd w:fill="17345F"/>
            <w:tcMar>
              <w:top w:w="120" w:type="dxa"/>
              <w:start w:w="120" w:type="dxa"/>
              <w:bottom w:w="120" w:type="dxa"/>
              <w:end w:w="120" w:type="dxa"/>
            </w:tcMar>
          </w:tcPr>
          <w:p>
            <w:pPr>
              <w:jc w:val="center"/>
            </w:pPr>
            <w:r/>
            <w:r>
              <w:rPr>
                <w:b/>
                <w:color w:val="FFFFFF"/>
                <w:sz w:val="19"/>
              </w:rPr>
              <w:t>ГНОСЕОЛОГИЯ</w:t>
            </w:r>
          </w:p>
        </w:tc>
        <w:tc>
          <w:tcPr>
            <w:tcW w:type="dxa" w:w="4876"/>
            <w:vAlign w:val="center"/>
            <w:shd w:fill="E7EEF7"/>
            <w:tcMar>
              <w:top w:w="120" w:type="dxa"/>
              <w:start w:w="140" w:type="dxa"/>
              <w:bottom w:w="120" w:type="dxa"/>
              <w:end w:w="140" w:type="dxa"/>
            </w:tcMar>
          </w:tcPr>
          <w:p>
            <w:r/>
            <w:r>
              <w:rPr>
                <w:b w:val="0"/>
                <w:sz w:val="18"/>
              </w:rPr>
              <w:t>Интеграл по виртуальному классу сообщает индексную, intersection-theoretic или enumerative информацию при заданных perfectness, properness, orientation и insertion-гипотезах. Это знание не содержит частотной или байесовской семантики, пока отдельно не заданы Ω, σ-алгебра, мера, link-модель и эмпирическая проверка.</w:t>
            </w:r>
          </w:p>
        </w:tc>
      </w:tr>
      <w:tr>
        <w:trPr>
          <w:cantSplit/>
        </w:trPr>
        <w:tc>
          <w:tcPr>
            <w:tcW w:type="dxa" w:w="4876"/>
            <w:vAlign w:val="center"/>
            <w:shd w:fill="17345F"/>
            <w:tcMar>
              <w:top w:w="120" w:type="dxa"/>
              <w:start w:w="120" w:type="dxa"/>
              <w:bottom w:w="120" w:type="dxa"/>
              <w:end w:w="120" w:type="dxa"/>
            </w:tcMar>
          </w:tcPr>
          <w:p>
            <w:pPr>
              <w:jc w:val="center"/>
            </w:pPr>
            <w:r/>
            <w:r>
              <w:rPr>
                <w:b/>
                <w:color w:val="FFFFFF"/>
                <w:sz w:val="19"/>
              </w:rPr>
              <w:t>ФЕНОМЕНОЛОГИЯ</w:t>
            </w:r>
          </w:p>
        </w:tc>
        <w:tc>
          <w:tcPr>
            <w:tcW w:type="dxa" w:w="4876"/>
            <w:vAlign w:val="center"/>
            <w:shd w:fill="E7EEF7"/>
            <w:tcMar>
              <w:top w:w="120" w:type="dxa"/>
              <w:start w:w="140" w:type="dxa"/>
              <w:bottom w:w="120" w:type="dxa"/>
              <w:end w:w="140" w:type="dxa"/>
            </w:tcMar>
          </w:tcPr>
          <w:p>
            <w:r/>
            <w:r>
              <w:rPr>
                <w:b w:val="0"/>
                <w:sz w:val="18"/>
              </w:rPr>
              <w:t>Наблюдателю виртуальное число может выглядеть как “счёт решений”, однако знак, кратность, рациональный stack-вес и компенсация ветвей показывают, что речь идёт о структурном следе модульной задачи, а не о доле будущих случаев.</w:t>
            </w:r>
          </w:p>
        </w:tc>
      </w:tr>
      <w:tr>
        <w:trPr>
          <w:cantSplit/>
        </w:trPr>
        <w:tc>
          <w:tcPr>
            <w:tcW w:type="dxa" w:w="4876"/>
            <w:vAlign w:val="center"/>
            <w:shd w:fill="A97816"/>
            <w:tcMar>
              <w:top w:w="120" w:type="dxa"/>
              <w:start w:w="120" w:type="dxa"/>
              <w:bottom w:w="120" w:type="dxa"/>
              <w:end w:w="120" w:type="dxa"/>
            </w:tcMar>
          </w:tcPr>
          <w:p>
            <w:pPr>
              <w:jc w:val="center"/>
            </w:pPr>
            <w:r/>
            <w:r>
              <w:rPr>
                <w:b/>
                <w:color w:val="FFFFFF"/>
                <w:sz w:val="19"/>
              </w:rPr>
              <w:t>ГРАНИЦА</w:t>
            </w:r>
          </w:p>
        </w:tc>
        <w:tc>
          <w:tcPr>
            <w:tcW w:type="dxa" w:w="4876"/>
            <w:vAlign w:val="center"/>
            <w:shd w:fill="F6EDD6"/>
            <w:tcMar>
              <w:top w:w="120" w:type="dxa"/>
              <w:start w:w="140" w:type="dxa"/>
              <w:bottom w:w="120" w:type="dxa"/>
              <w:end w:w="140" w:type="dxa"/>
            </w:tcMar>
          </w:tcPr>
          <w:p>
            <w:r/>
            <w:r>
              <w:rPr>
                <w:b w:val="0"/>
                <w:sz w:val="18"/>
              </w:rPr>
              <w:t>Глава не утверждает существование глобального virtual class для общей NAPG без perfect obstruction theory и ориентации. Никакой virtual count, Gromov-Witten-, Donaldson-Thomas- или локализационный инвариант не интерпретируется как вероятность физического, химического, экономического либо иного события без отдельного вероятностного и независимого эмпирического моста.</w:t>
            </w:r>
          </w:p>
        </w:tc>
      </w:tr>
    </w:tbl>
    <w:p>
      <w:bookmarkStart w:id="1145" w:name="h_2393"/>
      <w:pPr>
        <w:pStyle w:val="Heading1"/>
        <w:keepNext/>
      </w:pPr>
      <w:r>
        <w:t>216. Четыре несовпадающих слоя знания</w:t>
      </w:r>
      <w:bookmarkEnd w:id="1145"/>
    </w:p>
    <w:p>
      <w:r>
        <w:t>Глава 18 завершила глобализацию локальных карт Кураниши до stacky/derived moduli carrier. Следующий шаг состоит в том, чтобы получить из этого carrier числовые или когомологические инварианты. Здесь возникает особенно опасная подмена: число, полученное интегрированием по виртуальному классу, внешне напоминает вероятность. Строгая сборка разделяет четыре слоя.</w:t>
      </w:r>
    </w:p>
    <w:tbl>
      <w:tblPr>
        <w:tblStyle w:val="TableGrid"/>
        <w:tblW w:type="auto" w:w="0"/>
        <w:tblLayout w:type="autofit"/>
        <w:tblLook w:firstColumn="1" w:firstRow="1" w:lastColumn="0" w:lastRow="0" w:noHBand="0" w:noVBand="1" w:val="04A0"/>
      </w:tblPr>
      <w:tblGrid>
        <w:gridCol w:w="2438"/>
        <w:gridCol w:w="2438"/>
        <w:gridCol w:w="2438"/>
        <w:gridCol w:w="2438"/>
      </w:tblGrid>
      <w:tr>
        <w:trPr>
          <w:tblHeader w:val="true"/>
          <w:cantSplit/>
        </w:trPr>
        <w:tc>
          <w:tcPr>
            <w:tcW w:type="dxa" w:w="1152"/>
            <w:vAlign w:val="center"/>
            <w:shd w:fill="17345F"/>
            <w:tcMar>
              <w:top w:w="80" w:type="dxa"/>
              <w:start w:w="100" w:type="dxa"/>
              <w:bottom w:w="80" w:type="dxa"/>
              <w:end w:w="100" w:type="dxa"/>
            </w:tcMar>
          </w:tcPr>
          <w:p>
            <w:pPr>
              <w:jc w:val="center"/>
            </w:pPr>
            <w:r/>
            <w:r>
              <w:rPr>
                <w:b/>
                <w:color w:val="FFFFFF"/>
                <w:sz w:val="17"/>
              </w:rPr>
              <w:t>Слой</w:t>
            </w:r>
          </w:p>
        </w:tc>
        <w:tc>
          <w:tcPr>
            <w:tcW w:type="dxa" w:w="2448"/>
            <w:vAlign w:val="center"/>
            <w:shd w:fill="17345F"/>
            <w:tcMar>
              <w:top w:w="80" w:type="dxa"/>
              <w:start w:w="100" w:type="dxa"/>
              <w:bottom w:w="80" w:type="dxa"/>
              <w:end w:w="100" w:type="dxa"/>
            </w:tcMar>
          </w:tcPr>
          <w:p>
            <w:pPr>
              <w:jc w:val="center"/>
            </w:pPr>
            <w:r/>
            <w:r>
              <w:rPr>
                <w:b/>
                <w:color w:val="FFFFFF"/>
                <w:sz w:val="17"/>
              </w:rPr>
              <w:t>Основной объект</w:t>
            </w:r>
          </w:p>
        </w:tc>
        <w:tc>
          <w:tcPr>
            <w:tcW w:type="dxa" w:w="2736"/>
            <w:vAlign w:val="center"/>
            <w:shd w:fill="17345F"/>
            <w:tcMar>
              <w:top w:w="80" w:type="dxa"/>
              <w:start w:w="100" w:type="dxa"/>
              <w:bottom w:w="80" w:type="dxa"/>
              <w:end w:w="100" w:type="dxa"/>
            </w:tcMar>
          </w:tcPr>
          <w:p>
            <w:pPr>
              <w:jc w:val="center"/>
            </w:pPr>
            <w:r/>
            <w:r>
              <w:rPr>
                <w:b/>
                <w:color w:val="FFFFFF"/>
                <w:sz w:val="17"/>
              </w:rPr>
              <w:t>Допустимый вывод</w:t>
            </w:r>
          </w:p>
        </w:tc>
        <w:tc>
          <w:tcPr>
            <w:tcW w:type="dxa" w:w="2880"/>
            <w:vAlign w:val="center"/>
            <w:shd w:fill="17345F"/>
            <w:tcMar>
              <w:top w:w="80" w:type="dxa"/>
              <w:start w:w="100" w:type="dxa"/>
              <w:bottom w:w="80" w:type="dxa"/>
              <w:end w:w="100" w:type="dxa"/>
            </w:tcMar>
          </w:tcPr>
          <w:p>
            <w:pPr>
              <w:jc w:val="center"/>
            </w:pPr>
            <w:r/>
            <w:r>
              <w:rPr>
                <w:b/>
                <w:color w:val="FFFFFF"/>
                <w:sz w:val="17"/>
              </w:rPr>
              <w:t>Недопустимая подмена</w:t>
            </w:r>
          </w:p>
        </w:tc>
      </w:tr>
      <w:tr>
        <w:trPr>
          <w:cantSplit/>
        </w:trPr>
        <w:tc>
          <w:tcPr>
            <w:tcW w:type="dxa" w:w="1152"/>
            <w:vAlign w:val="center"/>
            <w:shd w:fill="FFFFFF"/>
            <w:tcMar>
              <w:top w:w="80" w:type="dxa"/>
              <w:start w:w="100" w:type="dxa"/>
              <w:bottom w:w="80" w:type="dxa"/>
              <w:end w:w="100" w:type="dxa"/>
            </w:tcMar>
          </w:tcPr>
          <w:p>
            <w:pPr>
              <w:jc w:val="center"/>
            </w:pPr>
            <w:r/>
            <w:r>
              <w:rPr>
                <w:b w:val="0"/>
                <w:sz w:val="17"/>
              </w:rPr>
              <w:t>V0: виртуальная геометрия</w:t>
            </w:r>
          </w:p>
        </w:tc>
        <w:tc>
          <w:tcPr>
            <w:tcW w:type="dxa" w:w="2448"/>
            <w:vAlign w:val="center"/>
            <w:shd w:fill="FFFFFF"/>
            <w:tcMar>
              <w:top w:w="80" w:type="dxa"/>
              <w:start w:w="100" w:type="dxa"/>
              <w:bottom w:w="80" w:type="dxa"/>
              <w:end w:w="100" w:type="dxa"/>
            </w:tcMar>
          </w:tcPr>
          <w:p>
            <w:pPr>
              <w:jc w:val="left"/>
            </w:pPr>
            <w:r/>
            <w:r>
              <w:rPr>
                <w:b w:val="0"/>
                <w:sz w:val="17"/>
              </w:rPr>
              <w:t>[𝔐]ᵛⁱʳ, POT, intrinsic cone</w:t>
            </w:r>
          </w:p>
        </w:tc>
        <w:tc>
          <w:tcPr>
            <w:tcW w:type="dxa" w:w="2736"/>
            <w:vAlign w:val="center"/>
            <w:shd w:fill="FFFFFF"/>
            <w:tcMar>
              <w:top w:w="80" w:type="dxa"/>
              <w:start w:w="100" w:type="dxa"/>
              <w:bottom w:w="80" w:type="dxa"/>
              <w:end w:w="100" w:type="dxa"/>
            </w:tcMar>
          </w:tcPr>
          <w:p>
            <w:pPr>
              <w:jc w:val="left"/>
            </w:pPr>
            <w:r/>
            <w:r>
              <w:rPr>
                <w:b w:val="0"/>
                <w:sz w:val="17"/>
              </w:rPr>
              <w:t>класс ожидаемой размерности</w:t>
            </w:r>
          </w:p>
        </w:tc>
        <w:tc>
          <w:tcPr>
            <w:tcW w:type="dxa" w:w="2880"/>
            <w:vAlign w:val="center"/>
            <w:shd w:fill="FFFFFF"/>
            <w:tcMar>
              <w:top w:w="80" w:type="dxa"/>
              <w:start w:w="100" w:type="dxa"/>
              <w:bottom w:w="80" w:type="dxa"/>
              <w:end w:w="100" w:type="dxa"/>
            </w:tcMar>
          </w:tcPr>
          <w:p>
            <w:pPr>
              <w:jc w:val="left"/>
            </w:pPr>
            <w:r/>
            <w:r>
              <w:rPr>
                <w:b w:val="0"/>
                <w:sz w:val="17"/>
              </w:rPr>
              <w:t>не вероятность</w:t>
            </w:r>
          </w:p>
        </w:tc>
      </w:tr>
      <w:tr>
        <w:trPr>
          <w:cantSplit/>
        </w:trPr>
        <w:tc>
          <w:tcPr>
            <w:tcW w:type="dxa" w:w="1152"/>
            <w:vAlign w:val="center"/>
            <w:shd w:fill="F2F4F7"/>
            <w:tcMar>
              <w:top w:w="80" w:type="dxa"/>
              <w:start w:w="100" w:type="dxa"/>
              <w:bottom w:w="80" w:type="dxa"/>
              <w:end w:w="100" w:type="dxa"/>
            </w:tcMar>
          </w:tcPr>
          <w:p>
            <w:pPr>
              <w:jc w:val="center"/>
            </w:pPr>
            <w:r/>
            <w:r>
              <w:rPr>
                <w:b w:val="0"/>
                <w:sz w:val="17"/>
              </w:rPr>
              <w:t>V1: intersection/enumerative</w:t>
            </w:r>
          </w:p>
        </w:tc>
        <w:tc>
          <w:tcPr>
            <w:tcW w:type="dxa" w:w="2448"/>
            <w:vAlign w:val="center"/>
            <w:shd w:fill="F2F4F7"/>
            <w:tcMar>
              <w:top w:w="80" w:type="dxa"/>
              <w:start w:w="100" w:type="dxa"/>
              <w:bottom w:w="80" w:type="dxa"/>
              <w:end w:w="100" w:type="dxa"/>
            </w:tcMar>
          </w:tcPr>
          <w:p>
            <w:pPr>
              <w:jc w:val="left"/>
            </w:pPr>
            <w:r/>
            <w:r>
              <w:rPr>
                <w:b w:val="0"/>
                <w:sz w:val="17"/>
              </w:rPr>
              <w:t>∫[𝔐]ᵛⁱʳ α</w:t>
            </w:r>
          </w:p>
        </w:tc>
        <w:tc>
          <w:tcPr>
            <w:tcW w:type="dxa" w:w="2736"/>
            <w:vAlign w:val="center"/>
            <w:shd w:fill="F2F4F7"/>
            <w:tcMar>
              <w:top w:w="80" w:type="dxa"/>
              <w:start w:w="100" w:type="dxa"/>
              <w:bottom w:w="80" w:type="dxa"/>
              <w:end w:w="100" w:type="dxa"/>
            </w:tcMar>
          </w:tcPr>
          <w:p>
            <w:pPr>
              <w:jc w:val="left"/>
            </w:pPr>
            <w:r/>
            <w:r>
              <w:rPr>
                <w:b w:val="0"/>
                <w:sz w:val="17"/>
              </w:rPr>
              <w:t>индекс, степень, signed/weighted count</w:t>
            </w:r>
          </w:p>
        </w:tc>
        <w:tc>
          <w:tcPr>
            <w:tcW w:type="dxa" w:w="2880"/>
            <w:vAlign w:val="center"/>
            <w:shd w:fill="F2F4F7"/>
            <w:tcMar>
              <w:top w:w="80" w:type="dxa"/>
              <w:start w:w="100" w:type="dxa"/>
              <w:bottom w:w="80" w:type="dxa"/>
              <w:end w:w="100" w:type="dxa"/>
            </w:tcMar>
          </w:tcPr>
          <w:p>
            <w:pPr>
              <w:jc w:val="left"/>
            </w:pPr>
            <w:r/>
            <w:r>
              <w:rPr>
                <w:b w:val="0"/>
                <w:sz w:val="17"/>
              </w:rPr>
              <w:t>не частота будущих случаев</w:t>
            </w:r>
          </w:p>
        </w:tc>
      </w:tr>
      <w:tr>
        <w:trPr>
          <w:cantSplit/>
        </w:trPr>
        <w:tc>
          <w:tcPr>
            <w:tcW w:type="dxa" w:w="1152"/>
            <w:vAlign w:val="center"/>
            <w:shd w:fill="FFFFFF"/>
            <w:tcMar>
              <w:top w:w="80" w:type="dxa"/>
              <w:start w:w="100" w:type="dxa"/>
              <w:bottom w:w="80" w:type="dxa"/>
              <w:end w:w="100" w:type="dxa"/>
            </w:tcMar>
          </w:tcPr>
          <w:p>
            <w:pPr>
              <w:jc w:val="center"/>
            </w:pPr>
            <w:r/>
            <w:r>
              <w:rPr>
                <w:b w:val="0"/>
                <w:sz w:val="17"/>
              </w:rPr>
              <w:t>P0: вероятностная модель</w:t>
            </w:r>
          </w:p>
        </w:tc>
        <w:tc>
          <w:tcPr>
            <w:tcW w:type="dxa" w:w="2448"/>
            <w:vAlign w:val="center"/>
            <w:shd w:fill="FFFFFF"/>
            <w:tcMar>
              <w:top w:w="80" w:type="dxa"/>
              <w:start w:w="100" w:type="dxa"/>
              <w:bottom w:w="80" w:type="dxa"/>
              <w:end w:w="100" w:type="dxa"/>
            </w:tcMar>
          </w:tcPr>
          <w:p>
            <w:pPr>
              <w:jc w:val="left"/>
            </w:pPr>
            <w:r/>
            <w:r>
              <w:rPr>
                <w:b w:val="0"/>
                <w:sz w:val="17"/>
              </w:rPr>
              <w:t>(Ω,ℱ,P), Y, pθ</w:t>
            </w:r>
          </w:p>
        </w:tc>
        <w:tc>
          <w:tcPr>
            <w:tcW w:type="dxa" w:w="2736"/>
            <w:vAlign w:val="center"/>
            <w:shd w:fill="FFFFFF"/>
            <w:tcMar>
              <w:top w:w="80" w:type="dxa"/>
              <w:start w:w="100" w:type="dxa"/>
              <w:bottom w:w="80" w:type="dxa"/>
              <w:end w:w="100" w:type="dxa"/>
            </w:tcMar>
          </w:tcPr>
          <w:p>
            <w:pPr>
              <w:jc w:val="left"/>
            </w:pPr>
            <w:r/>
            <w:r>
              <w:rPr>
                <w:b w:val="0"/>
                <w:sz w:val="17"/>
              </w:rPr>
              <w:t>вероятность при заданной мере</w:t>
            </w:r>
          </w:p>
        </w:tc>
        <w:tc>
          <w:tcPr>
            <w:tcW w:type="dxa" w:w="2880"/>
            <w:vAlign w:val="center"/>
            <w:shd w:fill="FFFFFF"/>
            <w:tcMar>
              <w:top w:w="80" w:type="dxa"/>
              <w:start w:w="100" w:type="dxa"/>
              <w:bottom w:w="80" w:type="dxa"/>
              <w:end w:w="100" w:type="dxa"/>
            </w:tcMar>
          </w:tcPr>
          <w:p>
            <w:pPr>
              <w:jc w:val="left"/>
            </w:pPr>
            <w:r/>
            <w:r>
              <w:rPr>
                <w:b w:val="0"/>
                <w:sz w:val="17"/>
              </w:rPr>
              <w:t>не следует из V0-V1</w:t>
            </w:r>
          </w:p>
        </w:tc>
      </w:tr>
      <w:tr>
        <w:trPr>
          <w:cantSplit/>
        </w:trPr>
        <w:tc>
          <w:tcPr>
            <w:tcW w:type="dxa" w:w="1152"/>
            <w:vAlign w:val="center"/>
            <w:shd w:fill="F2F4F7"/>
            <w:tcMar>
              <w:top w:w="80" w:type="dxa"/>
              <w:start w:w="100" w:type="dxa"/>
              <w:bottom w:w="80" w:type="dxa"/>
              <w:end w:w="100" w:type="dxa"/>
            </w:tcMar>
          </w:tcPr>
          <w:p>
            <w:pPr>
              <w:jc w:val="center"/>
            </w:pPr>
            <w:r/>
            <w:r>
              <w:rPr>
                <w:b w:val="0"/>
                <w:sz w:val="17"/>
              </w:rPr>
              <w:t>E0: эмпирическая проверка</w:t>
            </w:r>
          </w:p>
        </w:tc>
        <w:tc>
          <w:tcPr>
            <w:tcW w:type="dxa" w:w="2448"/>
            <w:vAlign w:val="center"/>
            <w:shd w:fill="F2F4F7"/>
            <w:tcMar>
              <w:top w:w="80" w:type="dxa"/>
              <w:start w:w="100" w:type="dxa"/>
              <w:bottom w:w="80" w:type="dxa"/>
              <w:end w:w="100" w:type="dxa"/>
            </w:tcMar>
          </w:tcPr>
          <w:p>
            <w:pPr>
              <w:jc w:val="left"/>
            </w:pPr>
            <w:r/>
            <w:r>
              <w:rPr>
                <w:b w:val="0"/>
                <w:sz w:val="17"/>
              </w:rPr>
              <w:t>данные, split, calibration, external run</w:t>
            </w:r>
          </w:p>
        </w:tc>
        <w:tc>
          <w:tcPr>
            <w:tcW w:type="dxa" w:w="2736"/>
            <w:vAlign w:val="center"/>
            <w:shd w:fill="F2F4F7"/>
            <w:tcMar>
              <w:top w:w="80" w:type="dxa"/>
              <w:start w:w="100" w:type="dxa"/>
              <w:bottom w:w="80" w:type="dxa"/>
              <w:end w:w="100" w:type="dxa"/>
            </w:tcMar>
          </w:tcPr>
          <w:p>
            <w:pPr>
              <w:jc w:val="left"/>
            </w:pPr>
            <w:r/>
            <w:r>
              <w:rPr>
                <w:b w:val="0"/>
                <w:sz w:val="17"/>
              </w:rPr>
              <w:t>оценка качества прогноза</w:t>
            </w:r>
          </w:p>
        </w:tc>
        <w:tc>
          <w:tcPr>
            <w:tcW w:type="dxa" w:w="2880"/>
            <w:vAlign w:val="center"/>
            <w:shd w:fill="F2F4F7"/>
            <w:tcMar>
              <w:top w:w="80" w:type="dxa"/>
              <w:start w:w="100" w:type="dxa"/>
              <w:bottom w:w="80" w:type="dxa"/>
              <w:end w:w="100" w:type="dxa"/>
            </w:tcMar>
          </w:tcPr>
          <w:p>
            <w:pPr>
              <w:jc w:val="left"/>
            </w:pPr>
            <w:r/>
            <w:r>
              <w:rPr>
                <w:b w:val="0"/>
                <w:sz w:val="17"/>
              </w:rPr>
              <w:t>не заменяется красивым инвариантом</w:t>
            </w:r>
          </w:p>
        </w:tc>
      </w:tr>
    </w:tbl>
    <w:p>
      <w:bookmarkStart w:id="1911" w:name="f_19_1"/>
      <w:pPr>
        <w:pStyle w:val="Quote"/>
        <w:keepLines/>
      </w:pPr>
      <w:r>
        <w:t>V0 → V1  не влечёт  P0 → E0.                                      (19.1)</w:t>
      </w:r>
      <w:bookmarkEnd w:id="1911"/>
    </w:p>
    <w:p>
      <w:r>
        <w:t>Формула (19.1) является центральным доказательным замком главы. V0 и V1 могут быть полностью строгими математически, но вероятностный мост всё равно отсутствует. Это не недостаток virtual geometry, а корректное различие типов объектов.</w:t>
      </w:r>
    </w:p>
    <w:p>
      <w:bookmarkStart w:id="1146" w:name="h_2397"/>
      <w:pPr>
        <w:pStyle w:val="Heading1"/>
        <w:keepNext/>
      </w:pPr>
      <w:r>
        <w:t>217. Цикловый носитель и виртуальная размерность</w:t>
      </w:r>
      <w:bookmarkEnd w:id="1146"/>
    </w:p>
    <w:p>
      <w:r>
        <w:t>Пусть 𝔐 является proper Deligne-Mumford-подобным модульным объектом либо иным объектом, для которого определены Chow-группы или подходящая гомологическая теория. Пусть задана perfect obstruction theory</w:t>
      </w:r>
    </w:p>
    <w:p>
      <w:bookmarkStart w:id="1912" w:name="f_19_2"/>
      <w:pPr>
        <w:pStyle w:val="Quote"/>
        <w:keepLines/>
      </w:pPr>
      <w:r>
        <w:t>φ:E•→L_𝔐,     amp(E•)⊂[-1,0].                                  (19.2)</w:t>
      </w:r>
      <w:bookmarkEnd w:id="1912"/>
    </w:p>
    <w:p>
      <w:r>
        <w:t>Виртуальная размерность определяется рангом perfect complex, а не фактической локальной размерностью грубого пространства:</w:t>
      </w:r>
    </w:p>
    <w:p>
      <w:bookmarkStart w:id="1913" w:name="f_19_3"/>
      <w:pPr>
        <w:pStyle w:val="Quote"/>
        <w:keepLines/>
      </w:pPr>
      <w:r>
        <w:t>vdim(𝔐)=rk(E•)=rk(E⁰)-rk(E⁻¹).                               (19.3)</w:t>
      </w:r>
      <w:bookmarkEnd w:id="1913"/>
    </w:p>
    <w:p>
      <w:r>
        <w:t>Если в точке используется трёхчленный stacky tangent complex, вклад стабилизаторов уже входит в Euler characteristic. Поэтому vdim может быть нулевой при одновременно ненулевых пространствах автоморфизмов и препятствий. Нулевая виртуальная размерность не означает, что moduli object состоит из конечного множества гладких точек.</w:t>
      </w:r>
    </w:p>
    <w:p>
      <w:bookmarkStart w:id="1147" w:name="h_2403"/>
      <w:pPr>
        <w:pStyle w:val="Heading1"/>
        <w:keepNext/>
      </w:pPr>
      <w:r>
        <w:t>218. Конструкция виртуального фундаментального класса</w:t>
      </w:r>
      <w:bookmarkEnd w:id="1147"/>
    </w:p>
    <w:p>
      <w:r>
        <w:t>Intrinsic normal cone 𝔠_𝔐, построенный из локальных normal cones и склеенный в bundle stack 𝔈=h¹/h⁰((E•)∨), вкладывается в 𝔈. Виртуальный фундаментальный класс определяется refined Gysin pullback нулевой секции:</w:t>
      </w:r>
    </w:p>
    <w:p>
      <w:bookmarkStart w:id="1914" w:name="f_19_4"/>
      <w:pPr>
        <w:pStyle w:val="Quote"/>
        <w:keepLines/>
      </w:pPr>
      <w:r>
        <w:t>[𝔐]ᵛⁱʳ = 0_𝔈^! [𝔠_𝔐] ∈ A_vdim(𝔐).                            (19.4)</w:t>
      </w:r>
      <w:bookmarkEnd w:id="1914"/>
    </w:p>
    <w:p>
      <w:r>
        <w:t>Формула (19.4) разрешена только при закрытом пакете: global obstruction theory, compatible cone, proper carrier, определённый Gysin-оператор и выбранная теория коэффициентов. Для derived smooth/analytic реализаций носитель может быть гомологическим или бордизмовым; равенство различных реализаций требует отдельной comparison theorem.</w:t>
      </w:r>
    </w:p>
    <w:p>
      <w:bookmarkStart w:id="1636" w:name="s_THM_19_1"/>
      <w:r>
        <w:t>Теорема 19.1 (Presentation independence, условная форма). [COND] Если две perfect obstruction theories связаны совместимым quasi-isomorphism и индуцируют одну и ту же embedding data intrinsic cone, то соответствующие virtual classes совпадают после канонической идентификации носителей. Произвольные неэквивалентные obstruction theories могут давать различные классы; поэтому “moduli space alone” в общем случае недостаточно.</w:t>
      </w:r>
      <w:bookmarkEnd w:id="1636"/>
    </w:p>
    <w:p>
      <w:pPr>
        <w:keepLines/>
        <w:jc w:val="center"/>
      </w:pPr>
      <w:r>
        <w:drawing>
          <wp:inline xmlns:a="http://schemas.openxmlformats.org/drawingml/2006/main" xmlns:pic="http://schemas.openxmlformats.org/drawingml/2006/picture">
            <wp:extent cx="5806440" cy="3320721"/>
            <wp:docPr id="49" name="Picture 49" descr="Рисунок 19.1. От derived/stacky moduli carrier к виртуальному инварианту и отдельному вероятностному мосту. Собственная схема Тома II." title="Рисунок 19.1. От derived/stacky moduli carrier к виртуальному инварианту и отдельному вероятностному мосту. Собственная "/>
            <wp:cNvGraphicFramePr>
              <a:graphicFrameLocks noChangeAspect="1"/>
            </wp:cNvGraphicFramePr>
            <a:graphic>
              <a:graphicData uri="http://schemas.openxmlformats.org/drawingml/2006/picture">
                <pic:pic>
                  <pic:nvPicPr>
                    <pic:cNvPr id="0" name="fig19_1.png" descr="Рисунок 19.1. От derived/stacky moduli carrier к виртуальному инварианту и отдельному вероятностному мосту. Собственная схема Тома II." title="Рисунок 19.1. От derived/stacky moduli carrier к виртуальному инварианту и отдельному вероятностному мосту. Собственная "/>
                    <pic:cNvPicPr/>
                  </pic:nvPicPr>
                  <pic:blipFill>
                    <a:blip r:embed="rId86"/>
                    <a:stretch>
                      <a:fillRect/>
                    </a:stretch>
                  </pic:blipFill>
                  <pic:spPr>
                    <a:xfrm>
                      <a:off x="0" y="0"/>
                      <a:ext cx="5806440" cy="3320721"/>
                    </a:xfrm>
                    <a:prstGeom prst="rect"/>
                  </pic:spPr>
                </pic:pic>
              </a:graphicData>
            </a:graphic>
          </wp:inline>
        </w:drawing>
      </w:r>
    </w:p>
    <w:p>
      <w:pPr>
        <w:pStyle w:val="Caption"/>
        <w:keepNext w:val="0"/>
        <w:keepLines/>
      </w:pPr>
      <w:r>
        <w:t>Рисунок 19.1. От derived/stacky moduli carrier к виртуальному инварианту и отдельному вероятностному мосту. Собственная схема Тома II.</w:t>
      </w:r>
    </w:p>
    <w:p>
      <w:bookmarkStart w:id="1148" w:name="h_2410"/>
      <w:pPr>
        <w:pStyle w:val="Heading1"/>
        <w:keepNext/>
      </w:pPr>
      <w:r>
        <w:t>219. Интегрирование по виртуальному классу</w:t>
      </w:r>
      <w:bookmarkEnd w:id="1148"/>
    </w:p>
    <w:p>
      <w:r>
        <w:t>Пусть α принадлежит операционному Chow-кольцу, когомологии или иной совместимой cohomology theory и имеет степень, дополняющую vdim до нуля. Виртуальный инвариант задаётся спариванием</w:t>
      </w:r>
    </w:p>
    <w:p>
      <w:bookmarkStart w:id="1915" w:name="f_19_5"/>
      <w:pPr>
        <w:pStyle w:val="Quote"/>
        <w:keepLines/>
      </w:pPr>
      <w:r>
        <w:t>Iᵛⁱʳ(𝔐;α)=∫_[𝔐]ᵛⁱʳ α = deg(α∩[𝔐]ᵛⁱʳ).                      (19.5)</w:t>
      </w:r>
      <w:bookmarkEnd w:id="1915"/>
    </w:p>
    <w:p>
      <w:r>
        <w:t>При наличии evaluation maps evᵢ и insertions αᵢ используется формула</w:t>
      </w:r>
    </w:p>
    <w:p>
      <w:bookmarkStart w:id="1916" w:name="f_19_6"/>
      <w:pPr>
        <w:pStyle w:val="Quote"/>
        <w:keepLines/>
      </w:pPr>
      <w:r>
        <w:t>⟨α₁,…,αₙ⟩ᵛⁱʳ = ∫_[𝔐]ᵛⁱʳ ∏ᵢ evᵢ*αᵢ.                         (19.6)</w:t>
      </w:r>
      <w:bookmarkEnd w:id="1916"/>
    </w:p>
    <w:p>
      <w:r>
        <w:t>Если суммарная степень insertions не согласована с vdim, числовой degree не определён либо автоматически равен нулю по размерностным причинам. Нулевой результат в таком случае может отражать grading, а не отсутствие геометрических объектов.</w:t>
      </w:r>
    </w:p>
    <w:tbl>
      <w:tblPr>
        <w:tblStyle w:val="TableGrid"/>
        <w:tblW w:type="auto" w:w="0"/>
        <w:tblLayout w:type="autofit"/>
        <w:tblLook w:firstColumn="1" w:firstRow="1" w:lastColumn="0" w:lastRow="0" w:noHBand="0" w:noVBand="1" w:val="04A0"/>
      </w:tblPr>
      <w:tblGrid>
        <w:gridCol w:w="3251"/>
        <w:gridCol w:w="3251"/>
        <w:gridCol w:w="3251"/>
      </w:tblGrid>
      <w:tr>
        <w:trPr>
          <w:tblHeader w:val="true"/>
          <w:cantSplit/>
        </w:trPr>
        <w:tc>
          <w:tcPr>
            <w:tcW w:type="dxa" w:w="1584"/>
            <w:vAlign w:val="center"/>
            <w:shd w:fill="17345F"/>
            <w:tcMar>
              <w:top w:w="80" w:type="dxa"/>
              <w:start w:w="100" w:type="dxa"/>
              <w:bottom w:w="80" w:type="dxa"/>
              <w:end w:w="100" w:type="dxa"/>
            </w:tcMar>
          </w:tcPr>
          <w:p>
            <w:pPr>
              <w:jc w:val="center"/>
            </w:pPr>
            <w:r/>
            <w:r>
              <w:rPr>
                <w:b/>
                <w:color w:val="FFFFFF"/>
                <w:sz w:val="18"/>
              </w:rPr>
              <w:t>Проверка</w:t>
            </w:r>
          </w:p>
        </w:tc>
        <w:tc>
          <w:tcPr>
            <w:tcW w:type="dxa" w:w="3888"/>
            <w:vAlign w:val="center"/>
            <w:shd w:fill="17345F"/>
            <w:tcMar>
              <w:top w:w="80" w:type="dxa"/>
              <w:start w:w="100" w:type="dxa"/>
              <w:bottom w:w="80" w:type="dxa"/>
              <w:end w:w="100" w:type="dxa"/>
            </w:tcMar>
          </w:tcPr>
          <w:p>
            <w:pPr>
              <w:jc w:val="center"/>
            </w:pPr>
            <w:r/>
            <w:r>
              <w:rPr>
                <w:b/>
                <w:color w:val="FFFFFF"/>
                <w:sz w:val="18"/>
              </w:rPr>
              <w:t>Требование</w:t>
            </w:r>
          </w:p>
        </w:tc>
        <w:tc>
          <w:tcPr>
            <w:tcW w:type="dxa" w:w="3456"/>
            <w:vAlign w:val="center"/>
            <w:shd w:fill="17345F"/>
            <w:tcMar>
              <w:top w:w="80" w:type="dxa"/>
              <w:start w:w="100" w:type="dxa"/>
              <w:bottom w:w="80" w:type="dxa"/>
              <w:end w:w="100" w:type="dxa"/>
            </w:tcMar>
          </w:tcPr>
          <w:p>
            <w:pPr>
              <w:jc w:val="center"/>
            </w:pPr>
            <w:r/>
            <w:r>
              <w:rPr>
                <w:b/>
                <w:color w:val="FFFFFF"/>
                <w:sz w:val="18"/>
              </w:rPr>
              <w:t>При отказе</w:t>
            </w:r>
          </w:p>
        </w:tc>
      </w:tr>
      <w:tr>
        <w:trPr>
          <w:cantSplit/>
        </w:trPr>
        <w:tc>
          <w:tcPr>
            <w:tcW w:type="dxa" w:w="1584"/>
            <w:vAlign w:val="center"/>
            <w:shd w:fill="FFFFFF"/>
            <w:tcMar>
              <w:top w:w="80" w:type="dxa"/>
              <w:start w:w="100" w:type="dxa"/>
              <w:bottom w:w="80" w:type="dxa"/>
              <w:end w:w="100" w:type="dxa"/>
            </w:tcMar>
          </w:tcPr>
          <w:p>
            <w:pPr>
              <w:jc w:val="center"/>
            </w:pPr>
            <w:r/>
            <w:r>
              <w:rPr>
                <w:b w:val="0"/>
                <w:sz w:val="18"/>
              </w:rPr>
              <w:t>носитель</w:t>
            </w:r>
          </w:p>
        </w:tc>
        <w:tc>
          <w:tcPr>
            <w:tcW w:type="dxa" w:w="3888"/>
            <w:vAlign w:val="center"/>
            <w:shd w:fill="FFFFFF"/>
            <w:tcMar>
              <w:top w:w="80" w:type="dxa"/>
              <w:start w:w="100" w:type="dxa"/>
              <w:bottom w:w="80" w:type="dxa"/>
              <w:end w:w="100" w:type="dxa"/>
            </w:tcMar>
          </w:tcPr>
          <w:p>
            <w:pPr>
              <w:jc w:val="left"/>
            </w:pPr>
            <w:r/>
            <w:r>
              <w:rPr>
                <w:b w:val="0"/>
                <w:sz w:val="18"/>
              </w:rPr>
              <w:t>properness или compact support</w:t>
            </w:r>
          </w:p>
        </w:tc>
        <w:tc>
          <w:tcPr>
            <w:tcW w:type="dxa" w:w="3456"/>
            <w:vAlign w:val="center"/>
            <w:shd w:fill="FFFFFF"/>
            <w:tcMar>
              <w:top w:w="80" w:type="dxa"/>
              <w:start w:w="100" w:type="dxa"/>
              <w:bottom w:w="80" w:type="dxa"/>
              <w:end w:w="100" w:type="dxa"/>
            </w:tcMar>
          </w:tcPr>
          <w:p>
            <w:pPr>
              <w:jc w:val="left"/>
            </w:pPr>
            <w:r/>
            <w:r>
              <w:rPr>
                <w:b w:val="0"/>
                <w:sz w:val="18"/>
              </w:rPr>
              <w:t>degree не определён</w:t>
            </w:r>
          </w:p>
        </w:tc>
      </w:tr>
      <w:tr>
        <w:trPr>
          <w:cantSplit/>
        </w:trPr>
        <w:tc>
          <w:tcPr>
            <w:tcW w:type="dxa" w:w="1584"/>
            <w:vAlign w:val="center"/>
            <w:shd w:fill="F2F4F7"/>
            <w:tcMar>
              <w:top w:w="80" w:type="dxa"/>
              <w:start w:w="100" w:type="dxa"/>
              <w:bottom w:w="80" w:type="dxa"/>
              <w:end w:w="100" w:type="dxa"/>
            </w:tcMar>
          </w:tcPr>
          <w:p>
            <w:pPr>
              <w:jc w:val="center"/>
            </w:pPr>
            <w:r/>
            <w:r>
              <w:rPr>
                <w:b w:val="0"/>
                <w:sz w:val="18"/>
              </w:rPr>
              <w:t>размерность</w:t>
            </w:r>
          </w:p>
        </w:tc>
        <w:tc>
          <w:tcPr>
            <w:tcW w:type="dxa" w:w="3888"/>
            <w:vAlign w:val="center"/>
            <w:shd w:fill="F2F4F7"/>
            <w:tcMar>
              <w:top w:w="80" w:type="dxa"/>
              <w:start w:w="100" w:type="dxa"/>
              <w:bottom w:w="80" w:type="dxa"/>
              <w:end w:w="100" w:type="dxa"/>
            </w:tcMar>
          </w:tcPr>
          <w:p>
            <w:pPr>
              <w:jc w:val="left"/>
            </w:pPr>
            <w:r/>
            <w:r>
              <w:rPr>
                <w:b w:val="0"/>
                <w:sz w:val="18"/>
              </w:rPr>
              <w:t>deg α = vdim</w:t>
            </w:r>
          </w:p>
        </w:tc>
        <w:tc>
          <w:tcPr>
            <w:tcW w:type="dxa" w:w="3456"/>
            <w:vAlign w:val="center"/>
            <w:shd w:fill="F2F4F7"/>
            <w:tcMar>
              <w:top w:w="80" w:type="dxa"/>
              <w:start w:w="100" w:type="dxa"/>
              <w:bottom w:w="80" w:type="dxa"/>
              <w:end w:w="100" w:type="dxa"/>
            </w:tcMar>
          </w:tcPr>
          <w:p>
            <w:pPr>
              <w:jc w:val="left"/>
            </w:pPr>
            <w:r/>
            <w:r>
              <w:rPr>
                <w:b w:val="0"/>
                <w:sz w:val="18"/>
              </w:rPr>
              <w:t>число не получается</w:t>
            </w:r>
          </w:p>
        </w:tc>
      </w:tr>
      <w:tr>
        <w:trPr>
          <w:cantSplit/>
        </w:trPr>
        <w:tc>
          <w:tcPr>
            <w:tcW w:type="dxa" w:w="1584"/>
            <w:vAlign w:val="center"/>
            <w:shd w:fill="FFFFFF"/>
            <w:tcMar>
              <w:top w:w="80" w:type="dxa"/>
              <w:start w:w="100" w:type="dxa"/>
              <w:bottom w:w="80" w:type="dxa"/>
              <w:end w:w="100" w:type="dxa"/>
            </w:tcMar>
          </w:tcPr>
          <w:p>
            <w:pPr>
              <w:jc w:val="center"/>
            </w:pPr>
            <w:r/>
            <w:r>
              <w:rPr>
                <w:b w:val="0"/>
                <w:sz w:val="18"/>
              </w:rPr>
              <w:t>ориентация</w:t>
            </w:r>
          </w:p>
        </w:tc>
        <w:tc>
          <w:tcPr>
            <w:tcW w:type="dxa" w:w="3888"/>
            <w:vAlign w:val="center"/>
            <w:shd w:fill="FFFFFF"/>
            <w:tcMar>
              <w:top w:w="80" w:type="dxa"/>
              <w:start w:w="100" w:type="dxa"/>
              <w:bottom w:w="80" w:type="dxa"/>
              <w:end w:w="100" w:type="dxa"/>
            </w:tcMar>
          </w:tcPr>
          <w:p>
            <w:pPr>
              <w:jc w:val="left"/>
            </w:pPr>
            <w:r/>
            <w:r>
              <w:rPr>
                <w:b w:val="0"/>
                <w:sz w:val="18"/>
              </w:rPr>
              <w:t>совместимая determinant orientation</w:t>
            </w:r>
          </w:p>
        </w:tc>
        <w:tc>
          <w:tcPr>
            <w:tcW w:type="dxa" w:w="3456"/>
            <w:vAlign w:val="center"/>
            <w:shd w:fill="FFFFFF"/>
            <w:tcMar>
              <w:top w:w="80" w:type="dxa"/>
              <w:start w:w="100" w:type="dxa"/>
              <w:bottom w:w="80" w:type="dxa"/>
              <w:end w:w="100" w:type="dxa"/>
            </w:tcMar>
          </w:tcPr>
          <w:p>
            <w:pPr>
              <w:jc w:val="left"/>
            </w:pPr>
            <w:r/>
            <w:r>
              <w:rPr>
                <w:b w:val="0"/>
                <w:sz w:val="18"/>
              </w:rPr>
              <w:t>знак/класс неоднозначен</w:t>
            </w:r>
          </w:p>
        </w:tc>
      </w:tr>
      <w:tr>
        <w:trPr>
          <w:cantSplit/>
        </w:trPr>
        <w:tc>
          <w:tcPr>
            <w:tcW w:type="dxa" w:w="1584"/>
            <w:vAlign w:val="center"/>
            <w:shd w:fill="F2F4F7"/>
            <w:tcMar>
              <w:top w:w="80" w:type="dxa"/>
              <w:start w:w="100" w:type="dxa"/>
              <w:bottom w:w="80" w:type="dxa"/>
              <w:end w:w="100" w:type="dxa"/>
            </w:tcMar>
          </w:tcPr>
          <w:p>
            <w:pPr>
              <w:jc w:val="center"/>
            </w:pPr>
            <w:r/>
            <w:r>
              <w:rPr>
                <w:b w:val="0"/>
                <w:sz w:val="18"/>
              </w:rPr>
              <w:t>стабилизаторы</w:t>
            </w:r>
          </w:p>
        </w:tc>
        <w:tc>
          <w:tcPr>
            <w:tcW w:type="dxa" w:w="3888"/>
            <w:vAlign w:val="center"/>
            <w:shd w:fill="F2F4F7"/>
            <w:tcMar>
              <w:top w:w="80" w:type="dxa"/>
              <w:start w:w="100" w:type="dxa"/>
              <w:bottom w:w="80" w:type="dxa"/>
              <w:end w:w="100" w:type="dxa"/>
            </w:tcMar>
          </w:tcPr>
          <w:p>
            <w:pPr>
              <w:jc w:val="left"/>
            </w:pPr>
            <w:r/>
            <w:r>
              <w:rPr>
                <w:b w:val="0"/>
                <w:sz w:val="18"/>
              </w:rPr>
              <w:t>stack normalization</w:t>
            </w:r>
          </w:p>
        </w:tc>
        <w:tc>
          <w:tcPr>
            <w:tcW w:type="dxa" w:w="3456"/>
            <w:vAlign w:val="center"/>
            <w:shd w:fill="F2F4F7"/>
            <w:tcMar>
              <w:top w:w="80" w:type="dxa"/>
              <w:start w:w="100" w:type="dxa"/>
              <w:bottom w:w="80" w:type="dxa"/>
              <w:end w:w="100" w:type="dxa"/>
            </w:tcMar>
          </w:tcPr>
          <w:p>
            <w:pPr>
              <w:jc w:val="left"/>
            </w:pPr>
            <w:r/>
            <w:r>
              <w:rPr>
                <w:b w:val="0"/>
                <w:sz w:val="18"/>
              </w:rPr>
              <w:t>веса и знаменатели несертифицированы</w:t>
            </w:r>
          </w:p>
        </w:tc>
      </w:tr>
      <w:tr>
        <w:trPr>
          <w:cantSplit/>
        </w:trPr>
        <w:tc>
          <w:tcPr>
            <w:tcW w:type="dxa" w:w="1584"/>
            <w:vAlign w:val="center"/>
            <w:shd w:fill="FFFFFF"/>
            <w:tcMar>
              <w:top w:w="80" w:type="dxa"/>
              <w:start w:w="100" w:type="dxa"/>
              <w:bottom w:w="80" w:type="dxa"/>
              <w:end w:w="100" w:type="dxa"/>
            </w:tcMar>
          </w:tcPr>
          <w:p>
            <w:pPr>
              <w:jc w:val="center"/>
            </w:pPr>
            <w:r/>
            <w:r>
              <w:rPr>
                <w:b w:val="0"/>
                <w:sz w:val="18"/>
              </w:rPr>
              <w:t>insertions</w:t>
            </w:r>
          </w:p>
        </w:tc>
        <w:tc>
          <w:tcPr>
            <w:tcW w:type="dxa" w:w="3888"/>
            <w:vAlign w:val="center"/>
            <w:shd w:fill="FFFFFF"/>
            <w:tcMar>
              <w:top w:w="80" w:type="dxa"/>
              <w:start w:w="100" w:type="dxa"/>
              <w:bottom w:w="80" w:type="dxa"/>
              <w:end w:w="100" w:type="dxa"/>
            </w:tcMar>
          </w:tcPr>
          <w:p>
            <w:pPr>
              <w:jc w:val="left"/>
            </w:pPr>
            <w:r/>
            <w:r>
              <w:rPr>
                <w:b w:val="0"/>
                <w:sz w:val="18"/>
              </w:rPr>
              <w:t>глобальность и transport</w:t>
            </w:r>
          </w:p>
        </w:tc>
        <w:tc>
          <w:tcPr>
            <w:tcW w:type="dxa" w:w="3456"/>
            <w:vAlign w:val="center"/>
            <w:shd w:fill="FFFFFF"/>
            <w:tcMar>
              <w:top w:w="80" w:type="dxa"/>
              <w:start w:w="100" w:type="dxa"/>
              <w:bottom w:w="80" w:type="dxa"/>
              <w:end w:w="100" w:type="dxa"/>
            </w:tcMar>
          </w:tcPr>
          <w:p>
            <w:pPr>
              <w:jc w:val="left"/>
            </w:pPr>
            <w:r/>
            <w:r>
              <w:rPr>
                <w:b w:val="0"/>
                <w:sz w:val="18"/>
              </w:rPr>
              <w:t>инвариант зависит от карты</w:t>
            </w:r>
          </w:p>
        </w:tc>
      </w:tr>
      <w:tr>
        <w:trPr>
          <w:cantSplit/>
        </w:trPr>
        <w:tc>
          <w:tcPr>
            <w:tcW w:type="dxa" w:w="1584"/>
            <w:vAlign w:val="center"/>
            <w:shd w:fill="F2F4F7"/>
            <w:tcMar>
              <w:top w:w="80" w:type="dxa"/>
              <w:start w:w="100" w:type="dxa"/>
              <w:bottom w:w="80" w:type="dxa"/>
              <w:end w:w="100" w:type="dxa"/>
            </w:tcMar>
          </w:tcPr>
          <w:p>
            <w:pPr>
              <w:jc w:val="center"/>
            </w:pPr>
            <w:r/>
            <w:r>
              <w:rPr>
                <w:b w:val="0"/>
                <w:sz w:val="18"/>
              </w:rPr>
              <w:t>коэффициенты</w:t>
            </w:r>
          </w:p>
        </w:tc>
        <w:tc>
          <w:tcPr>
            <w:tcW w:type="dxa" w:w="3888"/>
            <w:vAlign w:val="center"/>
            <w:shd w:fill="F2F4F7"/>
            <w:tcMar>
              <w:top w:w="80" w:type="dxa"/>
              <w:start w:w="100" w:type="dxa"/>
              <w:bottom w:w="80" w:type="dxa"/>
              <w:end w:w="100" w:type="dxa"/>
            </w:tcMar>
          </w:tcPr>
          <w:p>
            <w:pPr>
              <w:jc w:val="left"/>
            </w:pPr>
            <w:r/>
            <w:r>
              <w:rPr>
                <w:b w:val="0"/>
                <w:sz w:val="18"/>
              </w:rPr>
              <w:t>фиксированная Chow/homology theory</w:t>
            </w:r>
          </w:p>
        </w:tc>
        <w:tc>
          <w:tcPr>
            <w:tcW w:type="dxa" w:w="3456"/>
            <w:vAlign w:val="center"/>
            <w:shd w:fill="F2F4F7"/>
            <w:tcMar>
              <w:top w:w="80" w:type="dxa"/>
              <w:start w:w="100" w:type="dxa"/>
              <w:bottom w:w="80" w:type="dxa"/>
              <w:end w:w="100" w:type="dxa"/>
            </w:tcMar>
          </w:tcPr>
          <w:p>
            <w:pPr>
              <w:jc w:val="left"/>
            </w:pPr>
            <w:r/>
            <w:r>
              <w:rPr>
                <w:b w:val="0"/>
                <w:sz w:val="18"/>
              </w:rPr>
              <w:t>несравнимые значения</w:t>
            </w:r>
          </w:p>
        </w:tc>
      </w:tr>
    </w:tbl>
    <w:p>
      <w:bookmarkStart w:id="1149" w:name="h_2416"/>
      <w:pPr>
        <w:pStyle w:val="Heading1"/>
        <w:keepNext/>
      </w:pPr>
      <w:r>
        <w:t>220. Regular zero locus и excess intersection</w:t>
      </w:r>
      <w:bookmarkEnd w:id="1149"/>
    </w:p>
    <w:p>
      <w:r>
        <w:t>Базовая конечномерная модель помогает отделить классическую геометрию от виртуального ремонта. Пусть U - гладкое многообразие, E→U - ориентированное векторное расслоение, а s∈Γ(E). Нулевой локус Z=s⁻¹(0) имеет ожидаемую размерность dim U-rk E. Если s трансверсально нулевой секции, то</w:t>
      </w:r>
    </w:p>
    <w:p>
      <w:bookmarkStart w:id="1917" w:name="f_19_7"/>
      <w:pPr>
        <w:pStyle w:val="Quote"/>
        <w:keepLines/>
      </w:pPr>
      <w:r>
        <w:t>[Z]ᵛⁱʳ=[Z],     vdim=dim U-rk E.                              (19.7)</w:t>
      </w:r>
      <w:bookmarkEnd w:id="1917"/>
    </w:p>
    <w:p>
      <w:r>
        <w:t>При нетрансверсальности фактическая размерность Z может быть больше ожидаемой, но виртуальный класс остаётся в ожидаемой степени и кодирует excess intersection. Поэтому virtual count является поправленным intersection number, а не буквальным количеством точек нулевого множества.</w:t>
      </w:r>
    </w:p>
    <w:p>
      <w:bookmarkStart w:id="1637" w:name="s_LEM_19_2"/>
      <w:r>
        <w:t>Лемма 19.2 (Transverse reduction). [THM в конечномерной ориентированной модели] Если s трансверсально нулевой секции и Z компактен, виртуальный класс совпадает с обычным фундаментальным классом Z. Доказательство следует из идентификации normal cone с normal bundle и обычного Thom/Gysin pullback.</w:t>
      </w:r>
      <w:bookmarkEnd w:id="1637"/>
    </w:p>
    <w:p>
      <w:bookmarkStart w:id="1150" w:name="h_2421"/>
      <w:pPr>
        <w:pStyle w:val="Heading1"/>
        <w:keepNext/>
      </w:pPr>
      <w:r>
        <w:t>221. Деформационная инвариантность</w:t>
      </w:r>
      <w:bookmarkEnd w:id="1150"/>
    </w:p>
    <w:p>
      <w:r>
        <w:t>Пусть π:𝔐→B является proper семейством, снабжённым relative perfect obstruction theory, совместимой с базой, а insertions продолжаются по семейству. Для b∈B обозначим fibre через 𝔐_b. При выполнении base-change/Gysin-условий</w:t>
      </w:r>
    </w:p>
    <w:p>
      <w:bookmarkStart w:id="1918" w:name="f_19_8"/>
      <w:pPr>
        <w:pStyle w:val="Quote"/>
        <w:keepLines/>
      </w:pPr>
      <w:r>
        <w:t>[𝔐_b]ᵛⁱʳ = i_b^![𝔐]ᵛⁱʳ_rel.                                 (19.8)</w:t>
      </w:r>
      <w:bookmarkEnd w:id="1918"/>
    </w:p>
    <w:p>
      <w:r>
        <w:t>Если B связна и путь не пересекает локусы потери properness, perfectness, orientation, chamber или insertion data, degrees виртуальных классов постоянны:</w:t>
      </w:r>
    </w:p>
    <w:p>
      <w:bookmarkStart w:id="1919" w:name="f_19_9"/>
      <w:pPr>
        <w:pStyle w:val="Quote"/>
        <w:keepLines/>
      </w:pPr>
      <w:r>
        <w:t>Iᵛⁱʳ(𝔐_b;α_b)=const.                                           (19.9)</w:t>
      </w:r>
      <w:bookmarkEnd w:id="1919"/>
    </w:p>
    <w:p>
      <w:bookmarkStart w:id="1638" w:name="s_THM_19_3"/>
      <w:r>
        <w:t>Теорема 19.3 (Virtual deformation invariance). [COND] При hypotheses (19.8), properness и совместимом transport insertions виртуальный инвариант локально постоянен на связной базе. Это структурный отрицательный прогноз: изменение данного invariant невозможно без выхода из сертифицированного сектора. Теорема не сообщает, с какой вероятностью параметрическая система достигнет такого выхода.</w:t>
      </w:r>
      <w:bookmarkEnd w:id="1638"/>
    </w:p>
    <w:p>
      <w:bookmarkStart w:id="1151" w:name="h_2427"/>
      <w:pPr>
        <w:pStyle w:val="Heading1"/>
        <w:keepNext/>
      </w:pPr>
      <w:r>
        <w:t>222. Equivariant localization</w:t>
      </w:r>
      <w:bookmarkEnd w:id="1151"/>
    </w:p>
    <w:p>
      <w:r>
        <w:t>Если алгебраический тор T действует на 𝔐 и perfect obstruction theory T-эквивариантна, virtual localization выражает глобальный класс через fixed loci F⊂𝔐ᵀ:</w:t>
      </w:r>
    </w:p>
    <w:p>
      <w:bookmarkStart w:id="1920" w:name="f_19_10"/>
      <w:pPr>
        <w:pStyle w:val="Quote"/>
        <w:keepLines/>
      </w:pPr>
      <w:r>
        <w:t>[𝔐]ᵛⁱʳ = i_* Σ_F [F]ᵛⁱʳ / e_T(N_Fᵛⁱʳ)                      (19.10)</w:t>
      </w:r>
      <w:bookmarkEnd w:id="1920"/>
    </w:p>
    <w:p>
      <w:r>
        <w:t>в локализованной equivariant Chow theory. Знаменатель является Euler class виртуального normal complex. Формула не является разложением вероятности по альтернативам: слагаемые могут иметь знаки, полюса в equivariant parameters и рациональные веса.</w:t>
      </w:r>
    </w:p>
    <w:p>
      <w:r>
        <w:t>Локализационный сертификат обязан хранить fixed loci, virtual normal complexes, invertibility Euler classes, chamber конвенции и финальную отмену формальных параметров. Числовой ответ без этих данных не считается воспроизводимым.</w:t>
      </w:r>
    </w:p>
    <w:p>
      <w:bookmarkStart w:id="1152" w:name="h_2432"/>
      <w:pPr>
        <w:pStyle w:val="Heading1"/>
        <w:keepNext/>
      </w:pPr>
      <w:r>
        <w:t>223. Когда virtual count действительно enumerative</w:t>
      </w:r>
      <w:bookmarkEnd w:id="1152"/>
    </w:p>
    <w:p>
      <w:r>
        <w:t>Enumerative interpretation разрешается только при дополнительном наборе достаточных условий. Типичный безопасный пакет включает: нулевую virtual dimension; proper moduli carrier; отсутствие boundary contributions; изолированные reduced решения; тривиальные либо учтённые стабилизаторы; согласованную ориентацию; и доказательство того, что multiplicity каждой точки равна требуемому геометрическому весу.</w:t>
      </w:r>
    </w:p>
    <w:p>
      <w:bookmarkStart w:id="1921" w:name="f_19_11"/>
      <w:pPr>
        <w:pStyle w:val="Quote"/>
        <w:keepLines/>
      </w:pPr>
      <w:r>
        <w:t>Iᵛⁱʳ = Σ_[x] m_x / |Aut(x)|.                                  (19.11)</w:t>
      </w:r>
      <w:bookmarkEnd w:id="1921"/>
    </w:p>
    <w:p>
      <w:r>
        <w:t>Даже формула (19.11) обычно является signed/weighted stack count. Она совпадает с буквальным числом геометрических объектов только если m_x=1, ориентационные знаки положительны и Aut(x) тривиальны. В противном случае слово “count” должно сопровождаться точным типом веса.</w:t>
      </w:r>
    </w:p>
    <w:p>
      <w:bookmarkStart w:id="1153" w:name="h_2436"/>
      <w:pPr>
        <w:pStyle w:val="Heading1"/>
        <w:keepNext/>
      </w:pPr>
      <w:r>
        <w:t>224. Три модели, разрушающие вероятностную подмену</w:t>
      </w:r>
      <w:bookmarkEnd w:id="1153"/>
    </w:p>
    <w:p>
      <w:r>
        <w:t>Первая модель: отображение f:S¹→S¹ степени -1. Signed preimage count регулярного значения равен -1. Это корректный ориентированный intersection number, но отрицательная вероятность невозможна.</w:t>
      </w:r>
    </w:p>
    <w:p>
      <w:r>
        <w:t>Вторая модель: f(z)=z² имеет степень 2. Signed count равен 2, что также не принадлежит [0,1].</w:t>
      </w:r>
    </w:p>
    <w:p>
      <w:r>
        <w:t>Третья модель: для stack [pt/μ₂] стандартная stack-интеграция учитывает стабилизатор весом 1/2. Число лежит в [0,1], но без выборочного пространства и нормировки оно является stack-весом, а не вероятностью.</w:t>
      </w:r>
    </w:p>
    <w:p>
      <w:pPr>
        <w:keepLines/>
        <w:jc w:val="center"/>
      </w:pPr>
      <w:r>
        <w:drawing>
          <wp:inline xmlns:a="http://schemas.openxmlformats.org/drawingml/2006/main" xmlns:pic="http://schemas.openxmlformats.org/drawingml/2006/picture">
            <wp:extent cx="5806440" cy="3376508"/>
            <wp:docPr id="50" name="Picture 50" descr="Рисунок 19.2. Отрицательный, превышающий единицу и stacky-дробный virtual count. Собственная схема Тома II." title="Рисунок 19.2. Отрицательный, превышающий единицу и stacky-дробный virtual count. Собственная схема Тома II."/>
            <wp:cNvGraphicFramePr>
              <a:graphicFrameLocks noChangeAspect="1"/>
            </wp:cNvGraphicFramePr>
            <a:graphic>
              <a:graphicData uri="http://schemas.openxmlformats.org/drawingml/2006/picture">
                <pic:pic>
                  <pic:nvPicPr>
                    <pic:cNvPr id="0" name="fig19_2.png" descr="Рисунок 19.2. Отрицательный, превышающий единицу и stacky-дробный virtual count. Собственная схема Тома II." title="Рисунок 19.2. Отрицательный, превышающий единицу и stacky-дробный virtual count. Собственная схема Тома II."/>
                    <pic:cNvPicPr/>
                  </pic:nvPicPr>
                  <pic:blipFill>
                    <a:blip r:embed="rId87"/>
                    <a:stretch>
                      <a:fillRect/>
                    </a:stretch>
                  </pic:blipFill>
                  <pic:spPr>
                    <a:xfrm>
                      <a:off x="0" y="0"/>
                      <a:ext cx="5806440" cy="3376508"/>
                    </a:xfrm>
                    <a:prstGeom prst="rect"/>
                  </pic:spPr>
                </pic:pic>
              </a:graphicData>
            </a:graphic>
          </wp:inline>
        </w:drawing>
      </w:r>
    </w:p>
    <w:p>
      <w:pPr>
        <w:pStyle w:val="Caption"/>
        <w:keepNext w:val="0"/>
        <w:keepLines/>
      </w:pPr>
      <w:r>
        <w:t>Рисунок 19.2. Отрицательный, превышающий единицу и stacky-дробный virtual count. Собственная схема Тома II.</w:t>
      </w:r>
    </w:p>
    <w:p>
      <w:bookmarkStart w:id="1154" w:name="h_2442"/>
      <w:pPr>
        <w:pStyle w:val="Heading1"/>
        <w:keepNext/>
      </w:pPr>
      <w:r>
        <w:t>225. Теорема невозможности универсальной вероятностной интерпретации</w:t>
      </w:r>
      <w:bookmarkEnd w:id="1154"/>
    </w:p>
    <w:p>
      <w:bookmarkStart w:id="1639" w:name="s_THM_19_4"/>
      <w:r>
        <w:t>Теорема 19.4 (Additivity-probability no-go). [THM] Не существует отображения Pᵛⁱʳ из класса всех нульмерных ориентированных virtual cycles в [0,1], которое одновременно удовлетворяет следующим требованиям:</w:t>
      </w:r>
      <w:bookmarkEnd w:id="1639"/>
    </w:p>
    <w:p>
      <w:pPr>
        <w:pStyle w:val="ListNumber"/>
        <w:keepLines/>
      </w:pPr>
      <w:r>
        <w:t>Pᵛⁱʳ(∅)=0;</w:t>
      </w:r>
    </w:p>
    <w:p>
      <w:pPr>
        <w:pStyle w:val="ListNumber"/>
        <w:keepLines/>
      </w:pPr>
      <w:r>
        <w:t>Pᵛⁱʳ([pt]_+)=1 для положительно ориентированной точки;</w:t>
      </w:r>
    </w:p>
    <w:p>
      <w:pPr>
        <w:pStyle w:val="ListNumber"/>
        <w:keepLines/>
      </w:pPr>
      <w:r>
        <w:t>Pᵛⁱʳ(X⊔Y)=Pᵛⁱʳ(X)+Pᵛⁱʳ(Y) для дизъюнктного объединения;</w:t>
      </w:r>
    </w:p>
    <w:p>
      <w:pPr>
        <w:pStyle w:val="ListNumber"/>
        <w:keepLines/>
      </w:pPr>
      <w:r>
        <w:t>Pᵛⁱʳ зависит только от virtual degree.</w:t>
      </w:r>
    </w:p>
    <w:p>
      <w:r>
        <w:t>Доказательство. Из нормировки и аддитивности для двух положительно ориентированных точек следует Pᵛⁱʳ([pt]_+⊔[pt]_+)=2, что противоречит требованию значений в [0,1]. Дополнительно ориентационное обращение даёт degree -1. Следовательно, любая вероятностная интерпретация обязана отказаться хотя бы от одной из этих структур, ввести нормировку и добавить внешнюю модель.</w:t>
      </w:r>
    </w:p>
    <w:p>
      <w:bookmarkStart w:id="1922" w:name="f_19_12"/>
      <w:pPr>
        <w:pStyle w:val="Quote"/>
        <w:keepLines/>
      </w:pPr>
      <w:r>
        <w:t>virtual degree  ≠  probability measure.                                (19.12)</w:t>
      </w:r>
      <w:bookmarkEnd w:id="1922"/>
    </w:p>
    <w:p>
      <w:bookmarkStart w:id="1155" w:name="h_2450"/>
      <w:pPr>
        <w:pStyle w:val="Heading1"/>
        <w:keepNext/>
      </w:pPr>
      <w:r>
        <w:t>226. Вероятностный мост</w:t>
      </w:r>
      <w:bookmarkEnd w:id="1155"/>
    </w:p>
    <w:p>
      <w:bookmarkStart w:id="1640" w:name="s_DEF_19_5"/>
      <w:r>
        <w:t>Определение 19.5. Вероятностный мост к прикладному событию задаётся кортежем</w:t>
      </w:r>
      <w:bookmarkEnd w:id="1640"/>
    </w:p>
    <w:p>
      <w:bookmarkStart w:id="1923" w:name="f_19_13"/>
      <w:pPr>
        <w:pStyle w:val="Quote"/>
        <w:keepLines/>
      </w:pPr>
      <w:r>
        <w:t>B_prob=(Ω,ℱ,P,Y,φ,g_θ,ℒ,Cal,Val,Ext).                         (19.13)</w:t>
      </w:r>
      <w:bookmarkEnd w:id="1923"/>
    </w:p>
    <w:p>
      <w:pPr>
        <w:pStyle w:val="ListBullet"/>
        <w:keepLines/>
      </w:pPr>
      <w:r>
        <w:t>Ω и ℱ задают пространство исходов и измеримые события;</w:t>
      </w:r>
    </w:p>
    <w:p>
      <w:pPr>
        <w:pStyle w:val="ListBullet"/>
        <w:keepLines/>
      </w:pPr>
      <w:r>
        <w:t>P является вероятностной мерой, установленной моделью или процедурой оценки;</w:t>
      </w:r>
    </w:p>
    <w:p>
      <w:pPr>
        <w:pStyle w:val="ListBullet"/>
        <w:keepLines/>
      </w:pPr>
      <w:r>
        <w:t>Y∈{0,1} либо иной наблюдаемый target фиксирует событие;</w:t>
      </w:r>
    </w:p>
    <w:p>
      <w:pPr>
        <w:pStyle w:val="ListBullet"/>
        <w:keepLines/>
      </w:pPr>
      <w:r>
        <w:t>φ извлекает признаки из virtual/Reper-профиля без утечки результата;</w:t>
      </w:r>
    </w:p>
    <w:p>
      <w:pPr>
        <w:pStyle w:val="ListBullet"/>
        <w:keepLines/>
      </w:pPr>
      <w:r>
        <w:t>g_θ отображает признаки в [0,1] и имеет обучаемые либо заданные параметры;</w:t>
      </w:r>
    </w:p>
    <w:p>
      <w:pPr>
        <w:pStyle w:val="ListBullet"/>
        <w:keepLines/>
      </w:pPr>
      <w:r>
        <w:t>ℒ является proper scoring rule или заранее выбранной функцией потерь;</w:t>
      </w:r>
    </w:p>
    <w:p>
      <w:pPr>
        <w:pStyle w:val="ListBullet"/>
        <w:keepLines/>
      </w:pPr>
      <w:r>
        <w:t>Cal и Val задают калибровку и валидацию;</w:t>
      </w:r>
    </w:p>
    <w:p>
      <w:pPr>
        <w:pStyle w:val="ListBullet"/>
        <w:keepLines/>
      </w:pPr>
      <w:r>
        <w:t>Ext означает независимый внешний запуск.</w:t>
      </w:r>
    </w:p>
    <w:p>
      <w:bookmarkStart w:id="1924" w:name="f_19_14"/>
      <w:pPr>
        <w:pStyle w:val="Quote"/>
        <w:keepLines/>
      </w:pPr>
      <w:r>
        <w:t>p_θ = g_θ(φ(P_vir, P_stack, λ, CGI, D, Dom)).                 (19.14)</w:t>
      </w:r>
      <w:bookmarkEnd w:id="1924"/>
    </w:p>
    <w:p>
      <w:r>
        <w:t>Формула (19.14) является модельной гипотезой, а не следствием intersection theory. Даже если g_θ монотонна по virtual invariant, выбор монотонности и масштаба должен быть обоснован данными или предметной теорией.</w:t>
      </w:r>
    </w:p>
    <w:p>
      <w:bookmarkStart w:id="1156" w:name="h_2463"/>
      <w:pPr>
        <w:pStyle w:val="Heading1"/>
        <w:keepNext/>
      </w:pPr>
      <w:r>
        <w:t>227. Калибровка, discriminative quality и transportability</w:t>
      </w:r>
      <w:bookmarkEnd w:id="1156"/>
    </w:p>
    <w:p>
      <w:r>
        <w:t>Вероятностный прогноз должен отдельно проходить calibration и discrimination. Идеальная population-calibration выражается как</w:t>
      </w:r>
    </w:p>
    <w:p>
      <w:bookmarkStart w:id="1925" w:name="f_19_15"/>
      <w:pPr>
        <w:pStyle w:val="Quote"/>
        <w:keepLines/>
      </w:pPr>
      <w:r>
        <w:t>E[Y | p_θ]=p_θ.                                                 (19.15)</w:t>
      </w:r>
      <w:bookmarkEnd w:id="1925"/>
    </w:p>
    <w:p>
      <w:r>
        <w:t>В конечной выборке используются заранее определённые оценки, интервалы и proper scores. Хорошая ранжирующая способность не гарантирует калибровку, а хорошая калибровка на обучающем домене не гарантирует transportability при сдвиге распределения.</w:t>
      </w:r>
    </w:p>
    <w:tbl>
      <w:tblPr>
        <w:tblStyle w:val="TableGrid"/>
        <w:tblW w:type="auto" w:w="0"/>
        <w:tblLayout w:type="autofit"/>
        <w:tblLook w:firstColumn="1" w:firstRow="1" w:lastColumn="0" w:lastRow="0" w:noHBand="0" w:noVBand="1" w:val="04A0"/>
      </w:tblPr>
      <w:tblGrid>
        <w:gridCol w:w="3251"/>
        <w:gridCol w:w="3251"/>
        <w:gridCol w:w="3251"/>
      </w:tblGrid>
      <w:tr>
        <w:trPr>
          <w:tblHeader w:val="true"/>
          <w:cantSplit/>
        </w:trPr>
        <w:tc>
          <w:tcPr>
            <w:tcW w:type="dxa" w:w="1152"/>
            <w:vAlign w:val="center"/>
            <w:shd w:fill="17345F"/>
            <w:tcMar>
              <w:top w:w="80" w:type="dxa"/>
              <w:start w:w="100" w:type="dxa"/>
              <w:bottom w:w="80" w:type="dxa"/>
              <w:end w:w="100" w:type="dxa"/>
            </w:tcMar>
          </w:tcPr>
          <w:p>
            <w:pPr>
              <w:jc w:val="center"/>
            </w:pPr>
            <w:r/>
            <w:r>
              <w:rPr>
                <w:b/>
                <w:color w:val="FFFFFF"/>
                <w:sz w:val="17"/>
              </w:rPr>
              <w:t>Сертификат</w:t>
            </w:r>
          </w:p>
        </w:tc>
        <w:tc>
          <w:tcPr>
            <w:tcW w:type="dxa" w:w="4320"/>
            <w:vAlign w:val="center"/>
            <w:shd w:fill="17345F"/>
            <w:tcMar>
              <w:top w:w="80" w:type="dxa"/>
              <w:start w:w="100" w:type="dxa"/>
              <w:bottom w:w="80" w:type="dxa"/>
              <w:end w:w="100" w:type="dxa"/>
            </w:tcMar>
          </w:tcPr>
          <w:p>
            <w:pPr>
              <w:jc w:val="center"/>
            </w:pPr>
            <w:r/>
            <w:r>
              <w:rPr>
                <w:b/>
                <w:color w:val="FFFFFF"/>
                <w:sz w:val="17"/>
              </w:rPr>
              <w:t>Проверяемый вопрос</w:t>
            </w:r>
          </w:p>
        </w:tc>
        <w:tc>
          <w:tcPr>
            <w:tcW w:type="dxa" w:w="3456"/>
            <w:vAlign w:val="center"/>
            <w:shd w:fill="17345F"/>
            <w:tcMar>
              <w:top w:w="80" w:type="dxa"/>
              <w:start w:w="100" w:type="dxa"/>
              <w:bottom w:w="80" w:type="dxa"/>
              <w:end w:w="100" w:type="dxa"/>
            </w:tcMar>
          </w:tcPr>
          <w:p>
            <w:pPr>
              <w:jc w:val="center"/>
            </w:pPr>
            <w:r/>
            <w:r>
              <w:rPr>
                <w:b/>
                <w:color w:val="FFFFFF"/>
                <w:sz w:val="17"/>
              </w:rPr>
              <w:t>Минимальный результат</w:t>
            </w:r>
          </w:p>
        </w:tc>
      </w:tr>
      <w:tr>
        <w:trPr>
          <w:cantSplit/>
        </w:trPr>
        <w:tc>
          <w:tcPr>
            <w:tcW w:type="dxa" w:w="1152"/>
            <w:vAlign w:val="center"/>
            <w:shd w:fill="FFFFFF"/>
            <w:tcMar>
              <w:top w:w="80" w:type="dxa"/>
              <w:start w:w="100" w:type="dxa"/>
              <w:bottom w:w="80" w:type="dxa"/>
              <w:end w:w="100" w:type="dxa"/>
            </w:tcMar>
          </w:tcPr>
          <w:p>
            <w:pPr>
              <w:jc w:val="center"/>
            </w:pPr>
            <w:r/>
            <w:r>
              <w:rPr>
                <w:b w:val="0"/>
                <w:sz w:val="17"/>
              </w:rPr>
              <w:t>CAL</w:t>
            </w:r>
          </w:p>
        </w:tc>
        <w:tc>
          <w:tcPr>
            <w:tcW w:type="dxa" w:w="4320"/>
            <w:vAlign w:val="center"/>
            <w:shd w:fill="FFFFFF"/>
            <w:tcMar>
              <w:top w:w="80" w:type="dxa"/>
              <w:start w:w="100" w:type="dxa"/>
              <w:bottom w:w="80" w:type="dxa"/>
              <w:end w:w="100" w:type="dxa"/>
            </w:tcMar>
          </w:tcPr>
          <w:p>
            <w:pPr>
              <w:jc w:val="left"/>
            </w:pPr>
            <w:r/>
            <w:r>
              <w:rPr>
                <w:b w:val="0"/>
                <w:sz w:val="17"/>
              </w:rPr>
              <w:t>соответствуют ли вероятности частотам?</w:t>
            </w:r>
          </w:p>
        </w:tc>
        <w:tc>
          <w:tcPr>
            <w:tcW w:type="dxa" w:w="3456"/>
            <w:vAlign w:val="center"/>
            <w:shd w:fill="FFFFFF"/>
            <w:tcMar>
              <w:top w:w="80" w:type="dxa"/>
              <w:start w:w="100" w:type="dxa"/>
              <w:bottom w:w="80" w:type="dxa"/>
              <w:end w:w="100" w:type="dxa"/>
            </w:tcMar>
          </w:tcPr>
          <w:p>
            <w:pPr>
              <w:jc w:val="left"/>
            </w:pPr>
            <w:r/>
            <w:r>
              <w:rPr>
                <w:b w:val="0"/>
                <w:sz w:val="17"/>
              </w:rPr>
              <w:t>calibration curve + interval</w:t>
            </w:r>
          </w:p>
        </w:tc>
      </w:tr>
      <w:tr>
        <w:trPr>
          <w:cantSplit/>
        </w:trPr>
        <w:tc>
          <w:tcPr>
            <w:tcW w:type="dxa" w:w="1152"/>
            <w:vAlign w:val="center"/>
            <w:shd w:fill="F2F4F7"/>
            <w:tcMar>
              <w:top w:w="80" w:type="dxa"/>
              <w:start w:w="100" w:type="dxa"/>
              <w:bottom w:w="80" w:type="dxa"/>
              <w:end w:w="100" w:type="dxa"/>
            </w:tcMar>
          </w:tcPr>
          <w:p>
            <w:pPr>
              <w:jc w:val="center"/>
            </w:pPr>
            <w:r/>
            <w:r>
              <w:rPr>
                <w:b w:val="0"/>
                <w:sz w:val="17"/>
              </w:rPr>
              <w:t>DISC</w:t>
            </w:r>
          </w:p>
        </w:tc>
        <w:tc>
          <w:tcPr>
            <w:tcW w:type="dxa" w:w="4320"/>
            <w:vAlign w:val="center"/>
            <w:shd w:fill="F2F4F7"/>
            <w:tcMar>
              <w:top w:w="80" w:type="dxa"/>
              <w:start w:w="100" w:type="dxa"/>
              <w:bottom w:w="80" w:type="dxa"/>
              <w:end w:w="100" w:type="dxa"/>
            </w:tcMar>
          </w:tcPr>
          <w:p>
            <w:pPr>
              <w:jc w:val="left"/>
            </w:pPr>
            <w:r/>
            <w:r>
              <w:rPr>
                <w:b w:val="0"/>
                <w:sz w:val="17"/>
              </w:rPr>
              <w:t>разделяет ли модель классы?</w:t>
            </w:r>
          </w:p>
        </w:tc>
        <w:tc>
          <w:tcPr>
            <w:tcW w:type="dxa" w:w="3456"/>
            <w:vAlign w:val="center"/>
            <w:shd w:fill="F2F4F7"/>
            <w:tcMar>
              <w:top w:w="80" w:type="dxa"/>
              <w:start w:w="100" w:type="dxa"/>
              <w:bottom w:w="80" w:type="dxa"/>
              <w:end w:w="100" w:type="dxa"/>
            </w:tcMar>
          </w:tcPr>
          <w:p>
            <w:pPr>
              <w:jc w:val="left"/>
            </w:pPr>
            <w:r/>
            <w:r>
              <w:rPr>
                <w:b w:val="0"/>
                <w:sz w:val="17"/>
              </w:rPr>
              <w:t>предзаданный discrimination metric</w:t>
            </w:r>
          </w:p>
        </w:tc>
      </w:tr>
      <w:tr>
        <w:trPr>
          <w:cantSplit/>
        </w:trPr>
        <w:tc>
          <w:tcPr>
            <w:tcW w:type="dxa" w:w="1152"/>
            <w:vAlign w:val="center"/>
            <w:shd w:fill="FFFFFF"/>
            <w:tcMar>
              <w:top w:w="80" w:type="dxa"/>
              <w:start w:w="100" w:type="dxa"/>
              <w:bottom w:w="80" w:type="dxa"/>
              <w:end w:w="100" w:type="dxa"/>
            </w:tcMar>
          </w:tcPr>
          <w:p>
            <w:pPr>
              <w:jc w:val="center"/>
            </w:pPr>
            <w:r/>
            <w:r>
              <w:rPr>
                <w:b w:val="0"/>
                <w:sz w:val="17"/>
              </w:rPr>
              <w:t>SHIFT</w:t>
            </w:r>
          </w:p>
        </w:tc>
        <w:tc>
          <w:tcPr>
            <w:tcW w:type="dxa" w:w="4320"/>
            <w:vAlign w:val="center"/>
            <w:shd w:fill="FFFFFF"/>
            <w:tcMar>
              <w:top w:w="80" w:type="dxa"/>
              <w:start w:w="100" w:type="dxa"/>
              <w:bottom w:w="80" w:type="dxa"/>
              <w:end w:w="100" w:type="dxa"/>
            </w:tcMar>
          </w:tcPr>
          <w:p>
            <w:pPr>
              <w:jc w:val="left"/>
            </w:pPr>
            <w:r/>
            <w:r>
              <w:rPr>
                <w:b w:val="0"/>
                <w:sz w:val="17"/>
              </w:rPr>
              <w:t>сохраняется ли условное распределение?</w:t>
            </w:r>
          </w:p>
        </w:tc>
        <w:tc>
          <w:tcPr>
            <w:tcW w:type="dxa" w:w="3456"/>
            <w:vAlign w:val="center"/>
            <w:shd w:fill="FFFFFF"/>
            <w:tcMar>
              <w:top w:w="80" w:type="dxa"/>
              <w:start w:w="100" w:type="dxa"/>
              <w:bottom w:w="80" w:type="dxa"/>
              <w:end w:w="100" w:type="dxa"/>
            </w:tcMar>
          </w:tcPr>
          <w:p>
            <w:pPr>
              <w:jc w:val="left"/>
            </w:pPr>
            <w:r/>
            <w:r>
              <w:rPr>
                <w:b w:val="0"/>
                <w:sz w:val="17"/>
              </w:rPr>
              <w:t>domain-shift audit</w:t>
            </w:r>
          </w:p>
        </w:tc>
      </w:tr>
      <w:tr>
        <w:trPr>
          <w:cantSplit/>
        </w:trPr>
        <w:tc>
          <w:tcPr>
            <w:tcW w:type="dxa" w:w="1152"/>
            <w:vAlign w:val="center"/>
            <w:shd w:fill="F2F4F7"/>
            <w:tcMar>
              <w:top w:w="80" w:type="dxa"/>
              <w:start w:w="100" w:type="dxa"/>
              <w:bottom w:w="80" w:type="dxa"/>
              <w:end w:w="100" w:type="dxa"/>
            </w:tcMar>
          </w:tcPr>
          <w:p>
            <w:pPr>
              <w:jc w:val="center"/>
            </w:pPr>
            <w:r/>
            <w:r>
              <w:rPr>
                <w:b w:val="0"/>
                <w:sz w:val="17"/>
              </w:rPr>
              <w:t>SPLIT</w:t>
            </w:r>
          </w:p>
        </w:tc>
        <w:tc>
          <w:tcPr>
            <w:tcW w:type="dxa" w:w="4320"/>
            <w:vAlign w:val="center"/>
            <w:shd w:fill="F2F4F7"/>
            <w:tcMar>
              <w:top w:w="80" w:type="dxa"/>
              <w:start w:w="100" w:type="dxa"/>
              <w:bottom w:w="80" w:type="dxa"/>
              <w:end w:w="100" w:type="dxa"/>
            </w:tcMar>
          </w:tcPr>
          <w:p>
            <w:pPr>
              <w:jc w:val="left"/>
            </w:pPr>
            <w:r/>
            <w:r>
              <w:rPr>
                <w:b w:val="0"/>
                <w:sz w:val="17"/>
              </w:rPr>
              <w:t>не использован ли результат при выборе модели?</w:t>
            </w:r>
          </w:p>
        </w:tc>
        <w:tc>
          <w:tcPr>
            <w:tcW w:type="dxa" w:w="3456"/>
            <w:vAlign w:val="center"/>
            <w:shd w:fill="F2F4F7"/>
            <w:tcMar>
              <w:top w:w="80" w:type="dxa"/>
              <w:start w:w="100" w:type="dxa"/>
              <w:bottom w:w="80" w:type="dxa"/>
              <w:end w:w="100" w:type="dxa"/>
            </w:tcMar>
          </w:tcPr>
          <w:p>
            <w:pPr>
              <w:jc w:val="left"/>
            </w:pPr>
            <w:r/>
            <w:r>
              <w:rPr>
                <w:b w:val="0"/>
                <w:sz w:val="17"/>
              </w:rPr>
              <w:t>blind train/validation/test</w:t>
            </w:r>
          </w:p>
        </w:tc>
      </w:tr>
      <w:tr>
        <w:trPr>
          <w:cantSplit/>
        </w:trPr>
        <w:tc>
          <w:tcPr>
            <w:tcW w:type="dxa" w:w="1152"/>
            <w:vAlign w:val="center"/>
            <w:shd w:fill="FFFFFF"/>
            <w:tcMar>
              <w:top w:w="80" w:type="dxa"/>
              <w:start w:w="100" w:type="dxa"/>
              <w:bottom w:w="80" w:type="dxa"/>
              <w:end w:w="100" w:type="dxa"/>
            </w:tcMar>
          </w:tcPr>
          <w:p>
            <w:pPr>
              <w:jc w:val="center"/>
            </w:pPr>
            <w:r/>
            <w:r>
              <w:rPr>
                <w:b w:val="0"/>
                <w:sz w:val="17"/>
              </w:rPr>
              <w:t>EXT</w:t>
            </w:r>
          </w:p>
        </w:tc>
        <w:tc>
          <w:tcPr>
            <w:tcW w:type="dxa" w:w="4320"/>
            <w:vAlign w:val="center"/>
            <w:shd w:fill="FFFFFF"/>
            <w:tcMar>
              <w:top w:w="80" w:type="dxa"/>
              <w:start w:w="100" w:type="dxa"/>
              <w:bottom w:w="80" w:type="dxa"/>
              <w:end w:w="100" w:type="dxa"/>
            </w:tcMar>
          </w:tcPr>
          <w:p>
            <w:pPr>
              <w:jc w:val="left"/>
            </w:pPr>
            <w:r/>
            <w:r>
              <w:rPr>
                <w:b w:val="0"/>
                <w:sz w:val="17"/>
              </w:rPr>
              <w:t>повторяется ли эффект независимо?</w:t>
            </w:r>
          </w:p>
        </w:tc>
        <w:tc>
          <w:tcPr>
            <w:tcW w:type="dxa" w:w="3456"/>
            <w:vAlign w:val="center"/>
            <w:shd w:fill="FFFFFF"/>
            <w:tcMar>
              <w:top w:w="80" w:type="dxa"/>
              <w:start w:w="100" w:type="dxa"/>
              <w:bottom w:w="80" w:type="dxa"/>
              <w:end w:w="100" w:type="dxa"/>
            </w:tcMar>
          </w:tcPr>
          <w:p>
            <w:pPr>
              <w:jc w:val="left"/>
            </w:pPr>
            <w:r/>
            <w:r>
              <w:rPr>
                <w:b w:val="0"/>
                <w:sz w:val="17"/>
              </w:rPr>
              <w:t>external run с frozen protocol</w:t>
            </w:r>
          </w:p>
        </w:tc>
      </w:tr>
      <w:tr>
        <w:trPr>
          <w:cantSplit/>
        </w:trPr>
        <w:tc>
          <w:tcPr>
            <w:tcW w:type="dxa" w:w="1152"/>
            <w:vAlign w:val="center"/>
            <w:shd w:fill="F2F4F7"/>
            <w:tcMar>
              <w:top w:w="80" w:type="dxa"/>
              <w:start w:w="100" w:type="dxa"/>
              <w:bottom w:w="80" w:type="dxa"/>
              <w:end w:w="100" w:type="dxa"/>
            </w:tcMar>
          </w:tcPr>
          <w:p>
            <w:pPr>
              <w:jc w:val="center"/>
            </w:pPr>
            <w:r/>
            <w:r>
              <w:rPr>
                <w:b w:val="0"/>
                <w:sz w:val="17"/>
              </w:rPr>
              <w:t>ABST</w:t>
            </w:r>
          </w:p>
        </w:tc>
        <w:tc>
          <w:tcPr>
            <w:tcW w:type="dxa" w:w="4320"/>
            <w:vAlign w:val="center"/>
            <w:shd w:fill="F2F4F7"/>
            <w:tcMar>
              <w:top w:w="80" w:type="dxa"/>
              <w:start w:w="100" w:type="dxa"/>
              <w:bottom w:w="80" w:type="dxa"/>
              <w:end w:w="100" w:type="dxa"/>
            </w:tcMar>
          </w:tcPr>
          <w:p>
            <w:pPr>
              <w:jc w:val="left"/>
            </w:pPr>
            <w:r/>
            <w:r>
              <w:rPr>
                <w:b w:val="0"/>
                <w:sz w:val="17"/>
              </w:rPr>
              <w:t>умеет ли система воздерживаться?</w:t>
            </w:r>
          </w:p>
        </w:tc>
        <w:tc>
          <w:tcPr>
            <w:tcW w:type="dxa" w:w="3456"/>
            <w:vAlign w:val="center"/>
            <w:shd w:fill="F2F4F7"/>
            <w:tcMar>
              <w:top w:w="80" w:type="dxa"/>
              <w:start w:w="100" w:type="dxa"/>
              <w:bottom w:w="80" w:type="dxa"/>
              <w:end w:w="100" w:type="dxa"/>
            </w:tcMar>
          </w:tcPr>
          <w:p>
            <w:pPr>
              <w:jc w:val="left"/>
            </w:pPr>
            <w:r/>
            <w:r>
              <w:rPr>
                <w:b w:val="0"/>
                <w:sz w:val="17"/>
              </w:rPr>
              <w:t>coverage-risk или blocker rule</w:t>
            </w:r>
          </w:p>
        </w:tc>
      </w:tr>
    </w:tbl>
    <w:p>
      <w:bookmarkStart w:id="1157" w:name="h_2467"/>
      <w:pPr>
        <w:pStyle w:val="Heading1"/>
        <w:keepNext/>
      </w:pPr>
      <w:r>
        <w:t>228. Виртуальный Reper-сертификат</w:t>
      </w:r>
      <w:bookmarkEnd w:id="1157"/>
    </w:p>
    <w:p>
      <w:r>
        <w:t>Для интеграции virtual geometry в KLT-RBD вводится не одиночное число, а типизированный сертификат</w:t>
      </w:r>
    </w:p>
    <w:p>
      <w:bookmarkStart w:id="1926" w:name="f_19_16"/>
      <w:pPr>
        <w:pStyle w:val="Quote"/>
        <w:keepLines/>
      </w:pPr>
      <w:r>
        <w:t>VirtCert=(𝔐ᵈᵉʳ,E•,𝔠_𝔐,[𝔐]ᵛⁱʳ,α,or,prop,src,code,D,Dom).       (19.16)</w:t>
      </w:r>
      <w:bookmarkEnd w:id="1926"/>
    </w:p>
    <w:p>
      <w:r>
        <w:t>Его Reper-четвёрка имеет вид</w:t>
      </w:r>
    </w:p>
    <w:p>
      <w:bookmarkStart w:id="1927" w:name="f_19_17"/>
      <w:pPr>
        <w:pStyle w:val="Quote"/>
        <w:keepLines/>
      </w:pPr>
      <w:r>
        <w:t>Rep_vir=(R_vir,I_vir,U_vir;D_vir),                             (19.17)</w:t>
      </w:r>
      <w:bookmarkEnd w:id="1927"/>
    </w:p>
    <w:p>
      <w:pPr>
        <w:pStyle w:val="ListBullet"/>
        <w:keepLines/>
      </w:pPr>
      <w:r>
        <w:t>R_vir: вычисленный virtual class и invariant в фиксированном carrier;</w:t>
      </w:r>
    </w:p>
    <w:p>
      <w:pPr>
        <w:pStyle w:val="ListBullet"/>
        <w:keepLines/>
      </w:pPr>
      <w:r>
        <w:t>I_vir: тип инварианта, insertions и правило сравнения;</w:t>
      </w:r>
    </w:p>
    <w:p>
      <w:pPr>
        <w:pStyle w:val="ListBullet"/>
        <w:keepLines/>
      </w:pPr>
      <w:r>
        <w:t>U_vir: допустимое семейство деформаций, камер и локализаций;</w:t>
      </w:r>
    </w:p>
    <w:p>
      <w:pPr>
        <w:pStyle w:val="ListBullet"/>
        <w:keepLines/>
      </w:pPr>
      <w:r>
        <w:t>D_vir: perfect obstruction theory, ориентация, properness, источники, код, данные и хеши.</w:t>
      </w:r>
    </w:p>
    <w:p>
      <w:r>
        <w:t>Проективно-гармоническая координата λ разрешена лишь после построения реперной четвёрки (19.17). Она не извлекается канонически из одного virtual degree. В частности, равенство λ=-1 не превращает Iᵛⁱʳ в вероятность и не закрывает вероятностный мост B_prob.</w:t>
      </w:r>
    </w:p>
    <w:p>
      <w:bookmarkStart w:id="1158" w:name="h_2477"/>
      <w:pPr>
        <w:pStyle w:val="Heading1"/>
        <w:keepNext/>
      </w:pPr>
      <w:r>
        <w:t>229. Проективно-гармонический и enumerative шлюз</w:t>
      </w:r>
      <w:bookmarkEnd w:id="1158"/>
    </w:p>
    <w:p>
      <w:bookmarkStart w:id="1928" w:name="f_19_18"/>
      <w:pPr>
        <w:pStyle w:val="Quote"/>
        <w:keepLines/>
      </w:pPr>
      <w:r>
        <w:t>Gate_vir=1  ⇔  Cert_VFC=1 ∧ Valid(D)=1 ∧ Dom=1 ∧ Block_vir=∅. (19.18)</w:t>
      </w:r>
      <w:bookmarkEnd w:id="1928"/>
    </w:p>
    <w:p>
      <w:bookmarkStart w:id="1929" w:name="f_19_19"/>
      <w:pPr>
        <w:pStyle w:val="Quote"/>
        <w:keepLines/>
      </w:pPr>
      <w:r>
        <w:t>Gate_prob=1 ⇔ Gate_vir=1 ∧ Cert_prob=1 ∧ Ext=1.                (19.19)</w:t>
      </w:r>
      <w:bookmarkEnd w:id="1929"/>
    </w:p>
    <w:p>
      <w:r>
        <w:t>Шлюз (19.18) разрешает только математический virtual/enumerative вывод. Шлюз (19.19) является дополнительным и разрешает вероятностный вывод. Ниже этого разделения прогнозная система обязана возвращать PROBABILITY-UNAVAILABLE, даже если virtual invariant вычислен точно до последнего знака.</w:t>
      </w:r>
    </w:p>
    <w:p>
      <w:bookmarkStart w:id="1159" w:name="h_2481"/>
      <w:pPr>
        <w:pStyle w:val="Heading1"/>
        <w:keepNext/>
      </w:pPr>
      <w:r>
        <w:t>230. Горизонты виртуального и вероятностного слоя</w:t>
      </w:r>
      <w:bookmarkEnd w:id="1159"/>
    </w:p>
    <w:p>
      <w:bookmarkStart w:id="1930" w:name="f_19_20"/>
      <w:pPr>
        <w:pStyle w:val="Quote"/>
        <w:keepLines/>
      </w:pPr>
      <w:r>
        <w:t>Δ_VFC = Δ_POT ∪ Δ_amp ∪ Δ_prop ∪ Δ_or ∪ Δ_comp ∪ Δ_ins ∪ Δ_loc ∪ Δ_wall ∪ Δ_num.   (19.20)</w:t>
      </w:r>
      <w:bookmarkEnd w:id="1930"/>
    </w:p>
    <w:p>
      <w:r>
        <w:t>Здесь фиксируются потеря perfectness, смена amplitude, отказ properness, ориентационный дефект, нарушение compatibility, смена insertions, локализационный полюс, wall-crossing и численная несертифицированность.</w:t>
      </w:r>
    </w:p>
    <w:p>
      <w:bookmarkStart w:id="1931" w:name="f_19_21"/>
      <w:pPr>
        <w:pStyle w:val="Quote"/>
        <w:keepLines/>
      </w:pPr>
      <w:r>
        <w:t>Δ_prob = Δ_Ω ∪ Δ_meas ∪ Δ_link ∪ Δ_cal ∪ Δ_shift ∪ Δ_sel ∪ Δ_ext.                  (19.21)</w:t>
      </w:r>
      <w:bookmarkEnd w:id="1931"/>
    </w:p>
    <w:p>
      <w:r>
        <w:t>Вероятностный горизонт отражает смену пространства исходов, меры, link-модели, калибровки, домена, селекционной процедуры и независимой валидации.</w:t>
      </w:r>
    </w:p>
    <w:p>
      <w:bookmarkStart w:id="1932" w:name="f_19_22"/>
      <w:pPr>
        <w:pStyle w:val="Quote"/>
        <w:keepLines/>
      </w:pPr>
      <w:r>
        <w:t>Δ_safe^{v0.16}=Δ_safe^{v0.15}∪Δ_VFC∪Δ_prob.                    (19.22)</w:t>
      </w:r>
      <w:bookmarkEnd w:id="1932"/>
    </w:p>
    <w:p>
      <w:bookmarkStart w:id="1160" w:name="h_2487"/>
      <w:pPr>
        <w:pStyle w:val="Heading1"/>
        <w:keepNext/>
      </w:pPr>
      <w:r>
        <w:t>231. Главная условная теорема T2-RP-v0.16</w:t>
      </w:r>
      <w:bookmarkEnd w:id="1160"/>
    </w:p>
    <w:p>
      <w:bookmarkStart w:id="1641" w:name="s_THM_19_6"/>
      <w:r>
        <w:t>Теорема 19.6 (Virtual-cycle-safe predictive theorem). [COND] Пусть над связной камерой U выполнены условия:</w:t>
      </w:r>
      <w:bookmarkEnd w:id="1641"/>
    </w:p>
    <w:p>
      <w:pPr>
        <w:pStyle w:val="ListNumber"/>
        <w:keepLines/>
      </w:pPr>
      <w:r>
        <w:t>задано proper семейство global derived/stacky NAPG-carriers 𝔐→U;</w:t>
      </w:r>
    </w:p>
    <w:p>
      <w:pPr>
        <w:pStyle w:val="ListNumber"/>
        <w:keepLines/>
      </w:pPr>
      <w:r>
        <w:t>существует совместимая relative perfect obstruction theory постоянной amplitude;</w:t>
      </w:r>
    </w:p>
    <w:p>
      <w:pPr>
        <w:pStyle w:val="ListNumber"/>
        <w:keepLines/>
      </w:pPr>
      <w:r>
        <w:t>intrinsic normal cones и virtual classes совместимы с base change;</w:t>
      </w:r>
    </w:p>
    <w:p>
      <w:pPr>
        <w:pStyle w:val="ListNumber"/>
        <w:keepLines/>
      </w:pPr>
      <w:r>
        <w:t>ориентация, determinant data и stack normalization сохраняются;</w:t>
      </w:r>
    </w:p>
    <w:p>
      <w:pPr>
        <w:pStyle w:val="ListNumber"/>
        <w:keepLines/>
      </w:pPr>
      <w:r>
        <w:t>insertions и branch labels транспортируются без пересечения wall/ramification loci;</w:t>
      </w:r>
    </w:p>
    <w:p>
      <w:pPr>
        <w:pStyle w:val="ListNumber"/>
        <w:keepLines/>
      </w:pPr>
      <w:r>
        <w:t>Reper, λ, Evidence-D, Dom и внешний E-мост валидны;</w:t>
      </w:r>
    </w:p>
    <w:p>
      <w:pPr>
        <w:pStyle w:val="ListNumber"/>
        <w:keepLines/>
      </w:pPr>
      <w:r>
        <w:t>вычислительный сертификат VFC-ENUM воспроизводим;</w:t>
      </w:r>
    </w:p>
    <w:p>
      <w:pPr>
        <w:pStyle w:val="ListNumber"/>
        <w:keepLines/>
      </w:pPr>
      <w:r>
        <w:t>путь γ не пересекает Δ_safe^{v0.16}.</w:t>
      </w:r>
    </w:p>
    <w:p>
      <w:r>
        <w:t>Тогда virtual profile</w:t>
      </w:r>
    </w:p>
    <w:p>
      <w:bookmarkStart w:id="1933" w:name="f_19_23"/>
      <w:pPr>
        <w:pStyle w:val="Quote"/>
        <w:keepLines/>
      </w:pPr>
      <w:r>
        <w:t>P_VFC(t)=([𝔐_t]ᵛⁱʳ, vdim, Iᵛⁱʳ_t, supp, sign, denom, chamber, λ_t, CGI_t)   (19.23)</w:t>
      </w:r>
      <w:bookmarkEnd w:id="1933"/>
    </w:p>
    <w:p>
      <w:r>
        <w:t>постоянен вдоль γ с точностью до доказанного transport. В частности, изменение Iᵛⁱʳ данного типа внутри модели невозможно:</w:t>
      </w:r>
    </w:p>
    <w:p>
      <w:bookmarkStart w:id="1934" w:name="f_19_24"/>
      <w:pPr>
        <w:pStyle w:val="Quote"/>
        <w:keepLines/>
      </w:pPr>
      <w:r>
        <w:t>γ∩(Δ_safe^{v0.15}∪Δ_VFC)=∅  ⇒  NO-VIRTUAL-CHANGE-IN-MODEL.  (19.24)</w:t>
      </w:r>
      <w:bookmarkEnd w:id="1934"/>
    </w:p>
    <w:p>
      <w:r>
        <w:t>Вероятностное следствие не возникает автоматически. Оно разрешается только при Gate_prob=1 и отдельной проверке Δ_prob. При отсутствии B_prob вывод имеет форму PROBABILITY-UNAVAILABLE независимо от значения Iᵛⁱʳ.</w:t>
      </w:r>
    </w:p>
    <w:p>
      <w:bookmarkStart w:id="1161" w:name="h_2502"/>
      <w:pPr>
        <w:pStyle w:val="Heading1"/>
        <w:keepNext/>
      </w:pPr>
      <w:r>
        <w:t>232. Двухступенчатый blocker-safe вердикт</w:t>
      </w:r>
      <w:bookmarkEnd w:id="1161"/>
    </w:p>
    <w:tbl>
      <w:tblPr>
        <w:tblStyle w:val="TableGrid"/>
        <w:tblW w:type="auto" w:w="0"/>
        <w:tblLayout w:type="autofit"/>
        <w:tblLook w:firstColumn="1" w:firstRow="1" w:lastColumn="0" w:lastRow="0" w:noHBand="0" w:noVBand="1" w:val="04A0"/>
      </w:tblPr>
      <w:tblGrid>
        <w:gridCol w:w="3251"/>
        <w:gridCol w:w="3251"/>
        <w:gridCol w:w="3251"/>
      </w:tblGrid>
      <w:tr>
        <w:trPr>
          <w:tblHeader w:val="true"/>
          <w:cantSplit/>
        </w:trPr>
        <w:tc>
          <w:tcPr>
            <w:tcW w:type="dxa" w:w="1440"/>
            <w:vAlign w:val="center"/>
            <w:shd w:fill="17345F"/>
            <w:tcMar>
              <w:top w:w="80" w:type="dxa"/>
              <w:start w:w="100" w:type="dxa"/>
              <w:bottom w:w="80" w:type="dxa"/>
              <w:end w:w="100" w:type="dxa"/>
            </w:tcMar>
          </w:tcPr>
          <w:p>
            <w:pPr>
              <w:jc w:val="center"/>
            </w:pPr>
            <w:r/>
            <w:r>
              <w:rPr>
                <w:b/>
                <w:color w:val="FFFFFF"/>
                <w:sz w:val="17"/>
              </w:rPr>
              <w:t>Ступень</w:t>
            </w:r>
          </w:p>
        </w:tc>
        <w:tc>
          <w:tcPr>
            <w:tcW w:type="dxa" w:w="4608"/>
            <w:vAlign w:val="center"/>
            <w:shd w:fill="17345F"/>
            <w:tcMar>
              <w:top w:w="80" w:type="dxa"/>
              <w:start w:w="100" w:type="dxa"/>
              <w:bottom w:w="80" w:type="dxa"/>
              <w:end w:w="100" w:type="dxa"/>
            </w:tcMar>
          </w:tcPr>
          <w:p>
            <w:pPr>
              <w:jc w:val="center"/>
            </w:pPr>
            <w:r/>
            <w:r>
              <w:rPr>
                <w:b/>
                <w:color w:val="FFFFFF"/>
                <w:sz w:val="17"/>
              </w:rPr>
              <w:t>Условия</w:t>
            </w:r>
          </w:p>
        </w:tc>
        <w:tc>
          <w:tcPr>
            <w:tcW w:type="dxa" w:w="3168"/>
            <w:vAlign w:val="center"/>
            <w:shd w:fill="17345F"/>
            <w:tcMar>
              <w:top w:w="80" w:type="dxa"/>
              <w:start w:w="100" w:type="dxa"/>
              <w:bottom w:w="80" w:type="dxa"/>
              <w:end w:w="100" w:type="dxa"/>
            </w:tcMar>
          </w:tcPr>
          <w:p>
            <w:pPr>
              <w:jc w:val="center"/>
            </w:pPr>
            <w:r/>
            <w:r>
              <w:rPr>
                <w:b/>
                <w:color w:val="FFFFFF"/>
                <w:sz w:val="17"/>
              </w:rPr>
              <w:t>Допустимый вердикт</w:t>
            </w:r>
          </w:p>
        </w:tc>
      </w:tr>
      <w:tr>
        <w:trPr>
          <w:cantSplit/>
        </w:trPr>
        <w:tc>
          <w:tcPr>
            <w:tcW w:type="dxa" w:w="1440"/>
            <w:vAlign w:val="center"/>
            <w:shd w:fill="FFFFFF"/>
            <w:tcMar>
              <w:top w:w="80" w:type="dxa"/>
              <w:start w:w="100" w:type="dxa"/>
              <w:bottom w:w="80" w:type="dxa"/>
              <w:end w:w="100" w:type="dxa"/>
            </w:tcMar>
          </w:tcPr>
          <w:p>
            <w:pPr>
              <w:jc w:val="center"/>
            </w:pPr>
            <w:r/>
            <w:r>
              <w:rPr>
                <w:b w:val="0"/>
                <w:sz w:val="17"/>
              </w:rPr>
              <w:t>V: virtual</w:t>
            </w:r>
          </w:p>
        </w:tc>
        <w:tc>
          <w:tcPr>
            <w:tcW w:type="dxa" w:w="4608"/>
            <w:vAlign w:val="center"/>
            <w:shd w:fill="FFFFFF"/>
            <w:tcMar>
              <w:top w:w="80" w:type="dxa"/>
              <w:start w:w="100" w:type="dxa"/>
              <w:bottom w:w="80" w:type="dxa"/>
              <w:end w:w="100" w:type="dxa"/>
            </w:tcMar>
          </w:tcPr>
          <w:p>
            <w:pPr>
              <w:jc w:val="left"/>
            </w:pPr>
            <w:r/>
            <w:r>
              <w:rPr>
                <w:b w:val="0"/>
                <w:sz w:val="17"/>
              </w:rPr>
              <w:t>Δ_VFC не пересечён, POT/proper/orientation закрыты</w:t>
            </w:r>
          </w:p>
        </w:tc>
        <w:tc>
          <w:tcPr>
            <w:tcW w:type="dxa" w:w="3168"/>
            <w:vAlign w:val="center"/>
            <w:shd w:fill="FFFFFF"/>
            <w:tcMar>
              <w:top w:w="80" w:type="dxa"/>
              <w:start w:w="100" w:type="dxa"/>
              <w:bottom w:w="80" w:type="dxa"/>
              <w:end w:w="100" w:type="dxa"/>
            </w:tcMar>
          </w:tcPr>
          <w:p>
            <w:pPr>
              <w:jc w:val="left"/>
            </w:pPr>
            <w:r/>
            <w:r>
              <w:rPr>
                <w:b w:val="0"/>
                <w:sz w:val="17"/>
              </w:rPr>
              <w:t>NO-VIRTUAL-CHANGE-IN-MODEL</w:t>
            </w:r>
          </w:p>
        </w:tc>
      </w:tr>
      <w:tr>
        <w:trPr>
          <w:cantSplit/>
        </w:trPr>
        <w:tc>
          <w:tcPr>
            <w:tcW w:type="dxa" w:w="1440"/>
            <w:vAlign w:val="center"/>
            <w:shd w:fill="F2F4F7"/>
            <w:tcMar>
              <w:top w:w="80" w:type="dxa"/>
              <w:start w:w="100" w:type="dxa"/>
              <w:bottom w:w="80" w:type="dxa"/>
              <w:end w:w="100" w:type="dxa"/>
            </w:tcMar>
          </w:tcPr>
          <w:p>
            <w:pPr>
              <w:jc w:val="center"/>
            </w:pPr>
            <w:r/>
            <w:r>
              <w:rPr>
                <w:b w:val="0"/>
                <w:sz w:val="17"/>
              </w:rPr>
              <w:t>V: virtual</w:t>
            </w:r>
          </w:p>
        </w:tc>
        <w:tc>
          <w:tcPr>
            <w:tcW w:type="dxa" w:w="4608"/>
            <w:vAlign w:val="center"/>
            <w:shd w:fill="F2F4F7"/>
            <w:tcMar>
              <w:top w:w="80" w:type="dxa"/>
              <w:start w:w="100" w:type="dxa"/>
              <w:bottom w:w="80" w:type="dxa"/>
              <w:end w:w="100" w:type="dxa"/>
            </w:tcMar>
          </w:tcPr>
          <w:p>
            <w:pPr>
              <w:jc w:val="left"/>
            </w:pPr>
            <w:r/>
            <w:r>
              <w:rPr>
                <w:b w:val="0"/>
                <w:sz w:val="17"/>
              </w:rPr>
              <w:t>пересечён virtual horizon, но carrier сохранён</w:t>
            </w:r>
          </w:p>
        </w:tc>
        <w:tc>
          <w:tcPr>
            <w:tcW w:type="dxa" w:w="3168"/>
            <w:vAlign w:val="center"/>
            <w:shd w:fill="F2F4F7"/>
            <w:tcMar>
              <w:top w:w="80" w:type="dxa"/>
              <w:start w:w="100" w:type="dxa"/>
              <w:bottom w:w="80" w:type="dxa"/>
              <w:end w:w="100" w:type="dxa"/>
            </w:tcMar>
          </w:tcPr>
          <w:p>
            <w:pPr>
              <w:jc w:val="left"/>
            </w:pPr>
            <w:r/>
            <w:r>
              <w:rPr>
                <w:b w:val="0"/>
                <w:sz w:val="17"/>
              </w:rPr>
              <w:t>CANDIDATE-VIRTUAL-JUMP</w:t>
            </w:r>
          </w:p>
        </w:tc>
      </w:tr>
      <w:tr>
        <w:trPr>
          <w:cantSplit/>
        </w:trPr>
        <w:tc>
          <w:tcPr>
            <w:tcW w:type="dxa" w:w="1440"/>
            <w:vAlign w:val="center"/>
            <w:shd w:fill="FFFFFF"/>
            <w:tcMar>
              <w:top w:w="80" w:type="dxa"/>
              <w:start w:w="100" w:type="dxa"/>
              <w:bottom w:w="80" w:type="dxa"/>
              <w:end w:w="100" w:type="dxa"/>
            </w:tcMar>
          </w:tcPr>
          <w:p>
            <w:pPr>
              <w:jc w:val="center"/>
            </w:pPr>
            <w:r/>
            <w:r>
              <w:rPr>
                <w:b w:val="0"/>
                <w:sz w:val="17"/>
              </w:rPr>
              <w:t>V: virtual</w:t>
            </w:r>
          </w:p>
        </w:tc>
        <w:tc>
          <w:tcPr>
            <w:tcW w:type="dxa" w:w="4608"/>
            <w:vAlign w:val="center"/>
            <w:shd w:fill="FFFFFF"/>
            <w:tcMar>
              <w:top w:w="80" w:type="dxa"/>
              <w:start w:w="100" w:type="dxa"/>
              <w:bottom w:w="80" w:type="dxa"/>
              <w:end w:w="100" w:type="dxa"/>
            </w:tcMar>
          </w:tcPr>
          <w:p>
            <w:pPr>
              <w:jc w:val="left"/>
            </w:pPr>
            <w:r/>
            <w:r>
              <w:rPr>
                <w:b w:val="0"/>
                <w:sz w:val="17"/>
              </w:rPr>
              <w:t>есть неустранённый математический blocker</w:t>
            </w:r>
          </w:p>
        </w:tc>
        <w:tc>
          <w:tcPr>
            <w:tcW w:type="dxa" w:w="3168"/>
            <w:vAlign w:val="center"/>
            <w:shd w:fill="FFFFFF"/>
            <w:tcMar>
              <w:top w:w="80" w:type="dxa"/>
              <w:start w:w="100" w:type="dxa"/>
              <w:bottom w:w="80" w:type="dxa"/>
              <w:end w:w="100" w:type="dxa"/>
            </w:tcMar>
          </w:tcPr>
          <w:p>
            <w:pPr>
              <w:jc w:val="left"/>
            </w:pPr>
            <w:r/>
            <w:r>
              <w:rPr>
                <w:b w:val="0"/>
                <w:sz w:val="17"/>
              </w:rPr>
              <w:t>ABSTAIN</w:t>
            </w:r>
          </w:p>
        </w:tc>
      </w:tr>
      <w:tr>
        <w:trPr>
          <w:cantSplit/>
        </w:trPr>
        <w:tc>
          <w:tcPr>
            <w:tcW w:type="dxa" w:w="1440"/>
            <w:vAlign w:val="center"/>
            <w:shd w:fill="F2F4F7"/>
            <w:tcMar>
              <w:top w:w="80" w:type="dxa"/>
              <w:start w:w="100" w:type="dxa"/>
              <w:bottom w:w="80" w:type="dxa"/>
              <w:end w:w="100" w:type="dxa"/>
            </w:tcMar>
          </w:tcPr>
          <w:p>
            <w:pPr>
              <w:jc w:val="center"/>
            </w:pPr>
            <w:r/>
            <w:r>
              <w:rPr>
                <w:b w:val="0"/>
                <w:sz w:val="17"/>
              </w:rPr>
              <w:t>P: probability</w:t>
            </w:r>
          </w:p>
        </w:tc>
        <w:tc>
          <w:tcPr>
            <w:tcW w:type="dxa" w:w="4608"/>
            <w:vAlign w:val="center"/>
            <w:shd w:fill="F2F4F7"/>
            <w:tcMar>
              <w:top w:w="80" w:type="dxa"/>
              <w:start w:w="100" w:type="dxa"/>
              <w:bottom w:w="80" w:type="dxa"/>
              <w:end w:w="100" w:type="dxa"/>
            </w:tcMar>
          </w:tcPr>
          <w:p>
            <w:pPr>
              <w:jc w:val="left"/>
            </w:pPr>
            <w:r/>
            <w:r>
              <w:rPr>
                <w:b w:val="0"/>
                <w:sz w:val="17"/>
              </w:rPr>
              <w:t>Gate_prob=1, calibration и Ext закрыты</w:t>
            </w:r>
          </w:p>
        </w:tc>
        <w:tc>
          <w:tcPr>
            <w:tcW w:type="dxa" w:w="3168"/>
            <w:vAlign w:val="center"/>
            <w:shd w:fill="F2F4F7"/>
            <w:tcMar>
              <w:top w:w="80" w:type="dxa"/>
              <w:start w:w="100" w:type="dxa"/>
              <w:bottom w:w="80" w:type="dxa"/>
              <w:end w:w="100" w:type="dxa"/>
            </w:tcMar>
          </w:tcPr>
          <w:p>
            <w:pPr>
              <w:jc w:val="left"/>
            </w:pPr>
            <w:r/>
            <w:r>
              <w:rPr>
                <w:b w:val="0"/>
                <w:sz w:val="17"/>
              </w:rPr>
              <w:t>CALIBRATED-PROBABILITY</w:t>
            </w:r>
          </w:p>
        </w:tc>
      </w:tr>
      <w:tr>
        <w:trPr>
          <w:cantSplit/>
        </w:trPr>
        <w:tc>
          <w:tcPr>
            <w:tcW w:type="dxa" w:w="1440"/>
            <w:vAlign w:val="center"/>
            <w:shd w:fill="FFFFFF"/>
            <w:tcMar>
              <w:top w:w="80" w:type="dxa"/>
              <w:start w:w="100" w:type="dxa"/>
              <w:bottom w:w="80" w:type="dxa"/>
              <w:end w:w="100" w:type="dxa"/>
            </w:tcMar>
          </w:tcPr>
          <w:p>
            <w:pPr>
              <w:jc w:val="center"/>
            </w:pPr>
            <w:r/>
            <w:r>
              <w:rPr>
                <w:b w:val="0"/>
                <w:sz w:val="17"/>
              </w:rPr>
              <w:t>P: probability</w:t>
            </w:r>
          </w:p>
        </w:tc>
        <w:tc>
          <w:tcPr>
            <w:tcW w:type="dxa" w:w="4608"/>
            <w:vAlign w:val="center"/>
            <w:shd w:fill="FFFFFF"/>
            <w:tcMar>
              <w:top w:w="80" w:type="dxa"/>
              <w:start w:w="100" w:type="dxa"/>
              <w:bottom w:w="80" w:type="dxa"/>
              <w:end w:w="100" w:type="dxa"/>
            </w:tcMar>
          </w:tcPr>
          <w:p>
            <w:pPr>
              <w:jc w:val="left"/>
            </w:pPr>
            <w:r/>
            <w:r>
              <w:rPr>
                <w:b w:val="0"/>
                <w:sz w:val="17"/>
              </w:rPr>
              <w:t>virtual слой есть, B_prob отсутствует</w:t>
            </w:r>
          </w:p>
        </w:tc>
        <w:tc>
          <w:tcPr>
            <w:tcW w:type="dxa" w:w="3168"/>
            <w:vAlign w:val="center"/>
            <w:shd w:fill="FFFFFF"/>
            <w:tcMar>
              <w:top w:w="80" w:type="dxa"/>
              <w:start w:w="100" w:type="dxa"/>
              <w:bottom w:w="80" w:type="dxa"/>
              <w:end w:w="100" w:type="dxa"/>
            </w:tcMar>
          </w:tcPr>
          <w:p>
            <w:pPr>
              <w:jc w:val="left"/>
            </w:pPr>
            <w:r/>
            <w:r>
              <w:rPr>
                <w:b w:val="0"/>
                <w:sz w:val="17"/>
              </w:rPr>
              <w:t>PROBABILITY-UNAVAILABLE</w:t>
            </w:r>
          </w:p>
        </w:tc>
      </w:tr>
      <w:tr>
        <w:trPr>
          <w:cantSplit/>
        </w:trPr>
        <w:tc>
          <w:tcPr>
            <w:tcW w:type="dxa" w:w="1440"/>
            <w:vAlign w:val="center"/>
            <w:shd w:fill="F2F4F7"/>
            <w:tcMar>
              <w:top w:w="80" w:type="dxa"/>
              <w:start w:w="100" w:type="dxa"/>
              <w:bottom w:w="80" w:type="dxa"/>
              <w:end w:w="100" w:type="dxa"/>
            </w:tcMar>
          </w:tcPr>
          <w:p>
            <w:pPr>
              <w:jc w:val="center"/>
            </w:pPr>
            <w:r/>
            <w:r>
              <w:rPr>
                <w:b w:val="0"/>
                <w:sz w:val="17"/>
              </w:rPr>
              <w:t>P: probability</w:t>
            </w:r>
          </w:p>
        </w:tc>
        <w:tc>
          <w:tcPr>
            <w:tcW w:type="dxa" w:w="4608"/>
            <w:vAlign w:val="center"/>
            <w:shd w:fill="F2F4F7"/>
            <w:tcMar>
              <w:top w:w="80" w:type="dxa"/>
              <w:start w:w="100" w:type="dxa"/>
              <w:bottom w:w="80" w:type="dxa"/>
              <w:end w:w="100" w:type="dxa"/>
            </w:tcMar>
          </w:tcPr>
          <w:p>
            <w:pPr>
              <w:jc w:val="left"/>
            </w:pPr>
            <w:r/>
            <w:r>
              <w:rPr>
                <w:b w:val="0"/>
                <w:sz w:val="17"/>
              </w:rPr>
              <w:t>мост задан, но blocker не закрыт</w:t>
            </w:r>
          </w:p>
        </w:tc>
        <w:tc>
          <w:tcPr>
            <w:tcW w:type="dxa" w:w="3168"/>
            <w:vAlign w:val="center"/>
            <w:shd w:fill="F2F4F7"/>
            <w:tcMar>
              <w:top w:w="80" w:type="dxa"/>
              <w:start w:w="100" w:type="dxa"/>
              <w:bottom w:w="80" w:type="dxa"/>
              <w:end w:w="100" w:type="dxa"/>
            </w:tcMar>
          </w:tcPr>
          <w:p>
            <w:pPr>
              <w:jc w:val="left"/>
            </w:pPr>
            <w:r/>
            <w:r>
              <w:rPr>
                <w:b w:val="0"/>
                <w:sz w:val="17"/>
              </w:rPr>
              <w:t>ABSTAIN</w:t>
            </w:r>
          </w:p>
        </w:tc>
      </w:tr>
    </w:tbl>
    <w:p>
      <w:pPr>
        <w:keepLines/>
        <w:jc w:val="center"/>
      </w:pPr>
      <w:r>
        <w:drawing>
          <wp:inline xmlns:a="http://schemas.openxmlformats.org/drawingml/2006/main" xmlns:pic="http://schemas.openxmlformats.org/drawingml/2006/picture">
            <wp:extent cx="5806440" cy="3563597"/>
            <wp:docPr id="51" name="Picture 51" descr="Рисунок 19.3. Двухступенчатый virtual/probability verdict и запрет автоматического экспорта. Собственная схема Тома II." title="Рисунок 19.3. Двухступенчатый virtual/probability verdict и запрет автоматического экспорта. Собственная схема Тома II."/>
            <wp:cNvGraphicFramePr>
              <a:graphicFrameLocks noChangeAspect="1"/>
            </wp:cNvGraphicFramePr>
            <a:graphic>
              <a:graphicData uri="http://schemas.openxmlformats.org/drawingml/2006/picture">
                <pic:pic>
                  <pic:nvPicPr>
                    <pic:cNvPr id="0" name="fig19_3.png" descr="Рисунок 19.3. Двухступенчатый virtual/probability verdict и запрет автоматического экспорта. Собственная схема Тома II." title="Рисунок 19.3. Двухступенчатый virtual/probability verdict и запрет автоматического экспорта. Собственная схема Тома II."/>
                    <pic:cNvPicPr/>
                  </pic:nvPicPr>
                  <pic:blipFill>
                    <a:blip r:embed="rId88"/>
                    <a:stretch>
                      <a:fillRect/>
                    </a:stretch>
                  </pic:blipFill>
                  <pic:spPr>
                    <a:xfrm>
                      <a:off x="0" y="0"/>
                      <a:ext cx="5806440" cy="3563597"/>
                    </a:xfrm>
                    <a:prstGeom prst="rect"/>
                  </pic:spPr>
                </pic:pic>
              </a:graphicData>
            </a:graphic>
          </wp:inline>
        </w:drawing>
      </w:r>
    </w:p>
    <w:p>
      <w:pPr>
        <w:pStyle w:val="Caption"/>
        <w:keepNext w:val="0"/>
        <w:keepLines/>
      </w:pPr>
      <w:r>
        <w:t>Рисунок 19.3. Двухступенчатый virtual/probability verdict и запрет автоматического экспорта. Собственная схема Тома II.</w:t>
      </w:r>
    </w:p>
    <w:p>
      <w:bookmarkStart w:id="1162" w:name="h_2505"/>
      <w:pPr>
        <w:pStyle w:val="Heading1"/>
        <w:keepNext/>
      </w:pPr>
      <w:r>
        <w:t>233. Контрпримеры и разделяющие модели</w:t>
      </w:r>
      <w:bookmarkEnd w:id="1162"/>
    </w:p>
    <w:p>
      <w:pPr>
        <w:pStyle w:val="ListBullet"/>
        <w:keepLines/>
      </w:pPr>
      <w:r>
        <w:t>Virtual degree постоянен в деформации, но вероятностная частота меняется из-за смены sampling mechanism: V-слой устойчив, P-слой нарушен.</w:t>
      </w:r>
    </w:p>
    <w:p>
      <w:pPr>
        <w:pStyle w:val="ListBullet"/>
        <w:keepLines/>
      </w:pPr>
      <w:r>
        <w:t>Вероятность откалибрована в одном домене, но virtual class меняется при wall-crossing: эмпирический мост не сохраняет математический тип.</w:t>
      </w:r>
    </w:p>
    <w:p>
      <w:pPr>
        <w:pStyle w:val="ListBullet"/>
        <w:keepLines/>
      </w:pPr>
      <w:r>
        <w:t>Virtual invariant равен нулю из-за cancellation положительных и отрицательных вкладов, хотя решения существуют.</w:t>
      </w:r>
    </w:p>
    <w:p>
      <w:pPr>
        <w:pStyle w:val="ListBullet"/>
        <w:keepLines/>
      </w:pPr>
      <w:r>
        <w:t>Virtual invariant ненулевой, но moduli carrier неп proper: degree зависит от выбранной compactification.</w:t>
      </w:r>
    </w:p>
    <w:p>
      <w:pPr>
        <w:pStyle w:val="ListBullet"/>
        <w:keepLines/>
      </w:pPr>
      <w:r>
        <w:t>Localization sum конечна, но отдельные слагаемые имеют полюса; интерпретация каждого слагаемого как вероятности невозможна.</w:t>
      </w:r>
    </w:p>
    <w:p>
      <w:pPr>
        <w:pStyle w:val="ListBullet"/>
        <w:keepLines/>
      </w:pPr>
      <w:r>
        <w:t>Stack count 1/|G| совпадает численно с долей, но изменение стабилизатора меняет число без изменения частоты наблюдаемого события.</w:t>
      </w:r>
    </w:p>
    <w:p>
      <w:pPr>
        <w:pStyle w:val="ListBullet"/>
        <w:keepLines/>
      </w:pPr>
      <w:r>
        <w:t>λ=-1 для Rep_vir при отсутствующем B_prob: структурная гармония не создаёт меру P.</w:t>
      </w:r>
    </w:p>
    <w:p>
      <w:pPr>
        <w:pStyle w:val="ListBullet"/>
        <w:keepLines/>
      </w:pPr>
      <w:r>
        <w:t>Хорошая Brier-калибровка на post-selected sample исчезает на frozen external run: селекционный blocker делает прогноз недействительным.</w:t>
      </w:r>
    </w:p>
    <w:p>
      <w:pPr>
        <w:pStyle w:val="ListBullet"/>
        <w:keepLines/>
      </w:pPr>
      <w:r>
        <w:t>Одинаковый virtual degree при различных support cycles: число теряет геометрическое расположение и branch information.</w:t>
      </w:r>
    </w:p>
    <w:p>
      <w:pPr>
        <w:pStyle w:val="ListBullet"/>
        <w:keepLines/>
      </w:pPr>
      <w:r>
        <w:t>Одинаковая вероятность при различных virtual invariants: вероятностная модель сознательно сжимает математический профиль.</w:t>
      </w:r>
    </w:p>
    <w:p>
      <w:bookmarkStart w:id="1163" w:name="h_2516"/>
      <w:pPr>
        <w:pStyle w:val="Heading1"/>
        <w:keepNext/>
      </w:pPr>
      <w:r>
        <w:t>234. Вычислительный сертификат VFC-ENUM-PROB v0.16</w:t>
      </w:r>
      <w:bookmarkEnd w:id="1163"/>
    </w:p>
    <w:p>
      <w:pPr>
        <w:pStyle w:val="ListBullet"/>
        <w:keepLines/>
      </w:pPr>
      <w:r>
        <w:t>VFC-01 carrier inventory; VFC-02 properness/compact-support; VFC-03 perfect obstruction theory; VFC-04 amplitude;</w:t>
      </w:r>
    </w:p>
    <w:p>
      <w:pPr>
        <w:pStyle w:val="ListBullet"/>
        <w:keepLines/>
      </w:pPr>
      <w:r>
        <w:t>VFC-05 intrinsic normal cone; VFC-06 zero-section Gysin map; VFC-07 virtual dimension; VFC-08 orientation/determinant;</w:t>
      </w:r>
    </w:p>
    <w:p>
      <w:pPr>
        <w:pStyle w:val="ListBullet"/>
        <w:keepLines/>
      </w:pPr>
      <w:r>
        <w:t>VFC-09 stack stabilizers; VFC-10 virtual class construction; VFC-11 insertion typing; VFC-12 degree compatibility;</w:t>
      </w:r>
    </w:p>
    <w:p>
      <w:pPr>
        <w:pStyle w:val="ListBullet"/>
        <w:keepLines/>
      </w:pPr>
      <w:r>
        <w:t>VFC-13 base-change; VFC-14 deformation invariance; VFC-15 fixed loci; VFC-16 virtual normal Euler classes;</w:t>
      </w:r>
    </w:p>
    <w:p>
      <w:pPr>
        <w:pStyle w:val="ListBullet"/>
        <w:keepLines/>
      </w:pPr>
      <w:r>
        <w:t>VFC-17 localization sum; VFC-18 chamber/wall ledger; VFC-19 branch transport; VFC-20 exact/rational arithmetic;</w:t>
      </w:r>
    </w:p>
    <w:p>
      <w:pPr>
        <w:pStyle w:val="ListBullet"/>
        <w:keepLines/>
      </w:pPr>
      <w:r>
        <w:t>VFC-21 interval numerical certificate; VFC-22 VirtCert/Reper; VFC-23 λ/CGI gate; VFC-24 probability sample space;</w:t>
      </w:r>
    </w:p>
    <w:p>
      <w:pPr>
        <w:pStyle w:val="ListBullet"/>
        <w:keepLines/>
      </w:pPr>
      <w:r>
        <w:t>VFC-25 measure/link specification; VFC-26 calibration; VFC-27 domain shift; VFC-28 independent external run;</w:t>
      </w:r>
    </w:p>
    <w:p>
      <w:pPr>
        <w:pStyle w:val="ListBullet"/>
        <w:keepLines/>
      </w:pPr>
      <w:r>
        <w:t>VFC-29 two-stage blocker-safe verdict; VFC-30 code/data/environment/source hashes.</w:t>
      </w:r>
    </w:p>
    <w:p>
      <w:pPr>
        <w:pStyle w:val="Heading2"/>
        <w:keepNext/>
      </w:pPr>
      <w:r>
        <w:t>Псевдокод</w:t>
      </w:r>
    </w:p>
    <w:p>
      <w:pPr>
        <w:pStyle w:val="Quote"/>
        <w:keepLines/>
      </w:pPr>
      <w:r>
        <w:t>INPUT global carrier, POT, cone, orientation, insertions, family path γ, Reper/D/Dom/E, optional probability bridge</w:t>
        <w:br/>
        <w:t>CHECK properness; build [M]^vir; verify insertion degree; compute exact/interval invariant</w:t>
        <w:br/>
        <w:t>CHECK base-change, walls, localization denominators, branch transport and Δ_VFC</w:t>
        <w:br/>
        <w:t>IF virtual blocker: RETURN ABSTAIN</w:t>
        <w:br/>
        <w:t>IF γ avoids Δ_VFC and invariant has certified constant transport: V_VERDICT=NO-VIRTUAL-CHANGE-IN-MODEL</w:t>
        <w:br/>
        <w:t>ELSE V_VERDICT=CANDIDATE-VIRTUAL-JUMP</w:t>
        <w:br/>
        <w:t>IF probability bridge absent: P_VERDICT=PROBABILITY-UNAVAILABLE</w:t>
        <w:br/>
        <w:t>ELSE verify Ω,P,link,calibration,shift,external run and Δ_prob</w:t>
        <w:br/>
        <w:t>RETURN (V_VERDICT,P_VERDICT,certificate,hashes)</w:t>
      </w:r>
    </w:p>
    <w:p>
      <w:bookmarkStart w:id="1164" w:name="h_2527"/>
      <w:pPr>
        <w:pStyle w:val="Heading1"/>
        <w:keepNext/>
      </w:pPr>
      <w:r>
        <w:t>235. Доказательные обязательства T2-PO-253-T2-PO-282</w:t>
      </w:r>
      <w:bookmarkEnd w:id="1164"/>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blHeader w:val="true"/>
        </w:trPr>
        <w:tc>
          <w:tcPr>
            <w:tcW w:type="dxa" w:w="2438"/>
            <w:vAlign w:val="center"/>
            <w:shd w:fill="17345F"/>
          </w:tcPr>
          <w:p>
            <w:pPr>
              <w:jc w:val="center"/>
            </w:pPr>
            <w:r/>
            <w:r>
              <w:rPr>
                <w:b/>
                <w:color w:val="FFFFFF"/>
                <w:sz w:val="17"/>
              </w:rPr>
              <w:t>PO</w:t>
            </w:r>
          </w:p>
        </w:tc>
        <w:tc>
          <w:tcPr>
            <w:tcW w:type="dxa" w:w="2438"/>
            <w:vAlign w:val="center"/>
            <w:shd w:fill="17345F"/>
          </w:tcPr>
          <w:p>
            <w:pPr>
              <w:jc w:val="center"/>
            </w:pPr>
            <w:r/>
            <w:r>
              <w:rPr>
                <w:b/>
                <w:color w:val="FFFFFF"/>
                <w:sz w:val="17"/>
              </w:rPr>
              <w:t>Обязательство</w:t>
            </w:r>
          </w:p>
        </w:tc>
        <w:tc>
          <w:tcPr>
            <w:tcW w:type="dxa" w:w="2438"/>
            <w:vAlign w:val="center"/>
            <w:shd w:fill="17345F"/>
          </w:tcPr>
          <w:p>
            <w:pPr>
              <w:jc w:val="center"/>
            </w:pPr>
            <w:r/>
            <w:r>
              <w:rPr>
                <w:b/>
                <w:color w:val="FFFFFF"/>
                <w:sz w:val="17"/>
              </w:rPr>
              <w:t>Статус</w:t>
            </w:r>
          </w:p>
        </w:tc>
        <w:tc>
          <w:tcPr>
            <w:tcW w:type="dxa" w:w="2438"/>
            <w:vAlign w:val="center"/>
            <w:shd w:fill="17345F"/>
          </w:tcPr>
          <w:p>
            <w:pPr>
              <w:jc w:val="center"/>
            </w:pPr>
            <w:r/>
            <w:r>
              <w:rPr>
                <w:b/>
                <w:color w:val="FFFFFF"/>
                <w:sz w:val="17"/>
              </w:rPr>
              <w:t>Условие закрытия</w:t>
            </w:r>
          </w:p>
        </w:tc>
      </w:tr>
      <w:tr>
        <w:trPr>
          <w:cantSplit/>
        </w:trPr>
        <w:tc>
          <w:tcPr>
            <w:tcW w:type="dxa" w:w="2438"/>
            <w:vAlign w:val="center"/>
            <w:tcMar>
              <w:top w:w="70" w:type="dxa"/>
              <w:start w:w="80" w:type="dxa"/>
              <w:bottom w:w="70" w:type="dxa"/>
              <w:end w:w="80" w:type="dxa"/>
            </w:tcMar>
            <w:shd w:fill="FFFFFF"/>
          </w:tcPr>
          <w:p>
            <w:bookmarkStart w:id="2349" w:name="po_253"/>
            <w:pPr>
              <w:jc w:val="center"/>
            </w:pPr>
            <w:r/>
            <w:r>
              <w:rPr>
                <w:b w:val="0"/>
                <w:sz w:val="16"/>
              </w:rPr>
              <w:t>T2-PO-253</w:t>
            </w:r>
            <w:bookmarkEnd w:id="2349"/>
          </w:p>
        </w:tc>
        <w:tc>
          <w:tcPr>
            <w:tcW w:type="dxa" w:w="2438"/>
            <w:vAlign w:val="center"/>
            <w:tcMar>
              <w:top w:w="70" w:type="dxa"/>
              <w:start w:w="80" w:type="dxa"/>
              <w:bottom w:w="70" w:type="dxa"/>
              <w:end w:w="80" w:type="dxa"/>
            </w:tcMar>
            <w:shd w:fill="FFFFFF"/>
          </w:tcPr>
          <w:p>
            <w:pPr>
              <w:jc w:val="left"/>
            </w:pPr>
            <w:r/>
            <w:r>
              <w:rPr>
                <w:b w:val="0"/>
                <w:sz w:val="16"/>
              </w:rPr>
              <w:t>Зафиксировать cycle/homology carrier для virtual class.</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Chow/homology specification.</w:t>
            </w:r>
          </w:p>
        </w:tc>
      </w:tr>
      <w:tr>
        <w:trPr>
          <w:cantSplit/>
        </w:trPr>
        <w:tc>
          <w:tcPr>
            <w:tcW w:type="dxa" w:w="2438"/>
            <w:vAlign w:val="center"/>
            <w:tcMar>
              <w:top w:w="70" w:type="dxa"/>
              <w:start w:w="80" w:type="dxa"/>
              <w:bottom w:w="70" w:type="dxa"/>
              <w:end w:w="80" w:type="dxa"/>
            </w:tcMar>
            <w:shd w:fill="F2F4F7"/>
          </w:tcPr>
          <w:p>
            <w:bookmarkStart w:id="2350" w:name="po_254"/>
            <w:pPr>
              <w:jc w:val="center"/>
            </w:pPr>
            <w:r/>
            <w:r>
              <w:rPr>
                <w:b w:val="0"/>
                <w:sz w:val="16"/>
              </w:rPr>
              <w:t>T2-PO-254</w:t>
            </w:r>
            <w:bookmarkEnd w:id="2350"/>
          </w:p>
        </w:tc>
        <w:tc>
          <w:tcPr>
            <w:tcW w:type="dxa" w:w="2438"/>
            <w:vAlign w:val="center"/>
            <w:tcMar>
              <w:top w:w="70" w:type="dxa"/>
              <w:start w:w="80" w:type="dxa"/>
              <w:bottom w:w="70" w:type="dxa"/>
              <w:end w:w="80" w:type="dxa"/>
            </w:tcMar>
            <w:shd w:fill="F2F4F7"/>
          </w:tcPr>
          <w:p>
            <w:pPr>
              <w:jc w:val="left"/>
            </w:pPr>
            <w:r/>
            <w:r>
              <w:rPr>
                <w:b w:val="0"/>
                <w:sz w:val="16"/>
              </w:rPr>
              <w:t>Построить global virtual fundamental class NAPG.</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Global POT + intrinsic cone.</w:t>
            </w:r>
          </w:p>
        </w:tc>
      </w:tr>
      <w:tr>
        <w:trPr>
          <w:cantSplit/>
        </w:trPr>
        <w:tc>
          <w:tcPr>
            <w:tcW w:type="dxa" w:w="2438"/>
            <w:vAlign w:val="center"/>
            <w:tcMar>
              <w:top w:w="70" w:type="dxa"/>
              <w:start w:w="80" w:type="dxa"/>
              <w:bottom w:w="70" w:type="dxa"/>
              <w:end w:w="80" w:type="dxa"/>
            </w:tcMar>
            <w:shd w:fill="FFFFFF"/>
          </w:tcPr>
          <w:p>
            <w:bookmarkStart w:id="2351" w:name="po_255"/>
            <w:pPr>
              <w:jc w:val="center"/>
            </w:pPr>
            <w:r/>
            <w:r>
              <w:rPr>
                <w:b w:val="0"/>
                <w:sz w:val="16"/>
              </w:rPr>
              <w:t>T2-PO-255</w:t>
            </w:r>
            <w:bookmarkEnd w:id="2351"/>
          </w:p>
        </w:tc>
        <w:tc>
          <w:tcPr>
            <w:tcW w:type="dxa" w:w="2438"/>
            <w:vAlign w:val="center"/>
            <w:tcMar>
              <w:top w:w="70" w:type="dxa"/>
              <w:start w:w="80" w:type="dxa"/>
              <w:bottom w:w="70" w:type="dxa"/>
              <w:end w:w="80" w:type="dxa"/>
            </w:tcMar>
            <w:shd w:fill="FFFFFF"/>
          </w:tcPr>
          <w:p>
            <w:pPr>
              <w:jc w:val="left"/>
            </w:pPr>
            <w:r/>
            <w:r>
              <w:rPr>
                <w:b w:val="0"/>
                <w:sz w:val="16"/>
              </w:rPr>
              <w:t>Определить virtual dimension и grading.</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Rank/Euler characteristic.</w:t>
            </w:r>
          </w:p>
        </w:tc>
      </w:tr>
      <w:tr>
        <w:trPr>
          <w:cantSplit/>
        </w:trPr>
        <w:tc>
          <w:tcPr>
            <w:tcW w:type="dxa" w:w="2438"/>
            <w:vAlign w:val="center"/>
            <w:tcMar>
              <w:top w:w="70" w:type="dxa"/>
              <w:start w:w="80" w:type="dxa"/>
              <w:bottom w:w="70" w:type="dxa"/>
              <w:end w:w="80" w:type="dxa"/>
            </w:tcMar>
            <w:shd w:fill="F2F4F7"/>
          </w:tcPr>
          <w:p>
            <w:bookmarkStart w:id="2352" w:name="po_256"/>
            <w:pPr>
              <w:jc w:val="center"/>
            </w:pPr>
            <w:r/>
            <w:r>
              <w:rPr>
                <w:b w:val="0"/>
                <w:sz w:val="16"/>
              </w:rPr>
              <w:t>T2-PO-256</w:t>
            </w:r>
            <w:bookmarkEnd w:id="2352"/>
          </w:p>
        </w:tc>
        <w:tc>
          <w:tcPr>
            <w:tcW w:type="dxa" w:w="2438"/>
            <w:vAlign w:val="center"/>
            <w:tcMar>
              <w:top w:w="70" w:type="dxa"/>
              <w:start w:w="80" w:type="dxa"/>
              <w:bottom w:w="70" w:type="dxa"/>
              <w:end w:w="80" w:type="dxa"/>
            </w:tcMar>
            <w:shd w:fill="F2F4F7"/>
          </w:tcPr>
          <w:p>
            <w:pPr>
              <w:jc w:val="left"/>
            </w:pPr>
            <w:r/>
            <w:r>
              <w:rPr>
                <w:b w:val="0"/>
                <w:sz w:val="16"/>
              </w:rPr>
              <w:t>Доказать properness либо compact-support substitute.</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Domain-specific compactness theorem.</w:t>
            </w:r>
          </w:p>
        </w:tc>
      </w:tr>
      <w:tr>
        <w:trPr>
          <w:cantSplit/>
        </w:trPr>
        <w:tc>
          <w:tcPr>
            <w:tcW w:type="dxa" w:w="2438"/>
            <w:vAlign w:val="center"/>
            <w:tcMar>
              <w:top w:w="70" w:type="dxa"/>
              <w:start w:w="80" w:type="dxa"/>
              <w:bottom w:w="70" w:type="dxa"/>
              <w:end w:w="80" w:type="dxa"/>
            </w:tcMar>
            <w:shd w:fill="FFFFFF"/>
          </w:tcPr>
          <w:p>
            <w:bookmarkStart w:id="2353" w:name="po_257"/>
            <w:pPr>
              <w:jc w:val="center"/>
            </w:pPr>
            <w:r/>
            <w:r>
              <w:rPr>
                <w:b w:val="0"/>
                <w:sz w:val="16"/>
              </w:rPr>
              <w:t>T2-PO-257</w:t>
            </w:r>
            <w:bookmarkEnd w:id="2353"/>
          </w:p>
        </w:tc>
        <w:tc>
          <w:tcPr>
            <w:tcW w:type="dxa" w:w="2438"/>
            <w:vAlign w:val="center"/>
            <w:tcMar>
              <w:top w:w="70" w:type="dxa"/>
              <w:start w:w="80" w:type="dxa"/>
              <w:bottom w:w="70" w:type="dxa"/>
              <w:end w:w="80" w:type="dxa"/>
            </w:tcMar>
            <w:shd w:fill="FFFFFF"/>
          </w:tcPr>
          <w:p>
            <w:pPr>
              <w:jc w:val="left"/>
            </w:pPr>
            <w:r/>
            <w:r>
              <w:rPr>
                <w:b w:val="0"/>
                <w:sz w:val="16"/>
              </w:rPr>
              <w:t>Типизировать insertions и degree matching.</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Формулы (19.5)-(19.6).</w:t>
            </w:r>
          </w:p>
        </w:tc>
      </w:tr>
      <w:tr>
        <w:trPr>
          <w:cantSplit/>
        </w:trPr>
        <w:tc>
          <w:tcPr>
            <w:tcW w:type="dxa" w:w="2438"/>
            <w:vAlign w:val="center"/>
            <w:tcMar>
              <w:top w:w="70" w:type="dxa"/>
              <w:start w:w="80" w:type="dxa"/>
              <w:bottom w:w="70" w:type="dxa"/>
              <w:end w:w="80" w:type="dxa"/>
            </w:tcMar>
            <w:shd w:fill="F2F4F7"/>
          </w:tcPr>
          <w:p>
            <w:bookmarkStart w:id="2354" w:name="po_258"/>
            <w:pPr>
              <w:jc w:val="center"/>
            </w:pPr>
            <w:r/>
            <w:r>
              <w:rPr>
                <w:b w:val="0"/>
                <w:sz w:val="16"/>
              </w:rPr>
              <w:t>T2-PO-258</w:t>
            </w:r>
            <w:bookmarkEnd w:id="2354"/>
          </w:p>
        </w:tc>
        <w:tc>
          <w:tcPr>
            <w:tcW w:type="dxa" w:w="2438"/>
            <w:vAlign w:val="center"/>
            <w:tcMar>
              <w:top w:w="70" w:type="dxa"/>
              <w:start w:w="80" w:type="dxa"/>
              <w:bottom w:w="70" w:type="dxa"/>
              <w:end w:w="80" w:type="dxa"/>
            </w:tcMar>
            <w:shd w:fill="F2F4F7"/>
          </w:tcPr>
          <w:p>
            <w:pPr>
              <w:jc w:val="left"/>
            </w:pPr>
            <w:r/>
            <w:r>
              <w:rPr>
                <w:b w:val="0"/>
                <w:sz w:val="16"/>
              </w:rPr>
              <w:t>Доказать base-change compatibility.</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Relative POT and refined Gysin.</w:t>
            </w:r>
          </w:p>
        </w:tc>
      </w:tr>
      <w:tr>
        <w:trPr>
          <w:cantSplit/>
        </w:trPr>
        <w:tc>
          <w:tcPr>
            <w:tcW w:type="dxa" w:w="2438"/>
            <w:vAlign w:val="center"/>
            <w:tcMar>
              <w:top w:w="70" w:type="dxa"/>
              <w:start w:w="80" w:type="dxa"/>
              <w:bottom w:w="70" w:type="dxa"/>
              <w:end w:w="80" w:type="dxa"/>
            </w:tcMar>
            <w:shd w:fill="FFFFFF"/>
          </w:tcPr>
          <w:p>
            <w:bookmarkStart w:id="2355" w:name="po_259"/>
            <w:pPr>
              <w:jc w:val="center"/>
            </w:pPr>
            <w:r/>
            <w:r>
              <w:rPr>
                <w:b w:val="0"/>
                <w:sz w:val="16"/>
              </w:rPr>
              <w:t>T2-PO-259</w:t>
            </w:r>
            <w:bookmarkEnd w:id="2355"/>
          </w:p>
        </w:tc>
        <w:tc>
          <w:tcPr>
            <w:tcW w:type="dxa" w:w="2438"/>
            <w:vAlign w:val="center"/>
            <w:tcMar>
              <w:top w:w="70" w:type="dxa"/>
              <w:start w:w="80" w:type="dxa"/>
              <w:bottom w:w="70" w:type="dxa"/>
              <w:end w:w="80" w:type="dxa"/>
            </w:tcMar>
            <w:shd w:fill="FFFFFF"/>
          </w:tcPr>
          <w:p>
            <w:pPr>
              <w:jc w:val="left"/>
            </w:pPr>
            <w:r/>
            <w:r>
              <w:rPr>
                <w:b w:val="0"/>
                <w:sz w:val="16"/>
              </w:rPr>
              <w:t>Доказать deformation invariance.</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Theorem 19.3 hypotheses.</w:t>
            </w:r>
          </w:p>
        </w:tc>
      </w:tr>
      <w:tr>
        <w:trPr>
          <w:cantSplit/>
        </w:trPr>
        <w:tc>
          <w:tcPr>
            <w:tcW w:type="dxa" w:w="2438"/>
            <w:vAlign w:val="center"/>
            <w:tcMar>
              <w:top w:w="70" w:type="dxa"/>
              <w:start w:w="80" w:type="dxa"/>
              <w:bottom w:w="70" w:type="dxa"/>
              <w:end w:w="80" w:type="dxa"/>
            </w:tcMar>
            <w:shd w:fill="F2F4F7"/>
          </w:tcPr>
          <w:p>
            <w:bookmarkStart w:id="2356" w:name="po_260"/>
            <w:pPr>
              <w:jc w:val="center"/>
            </w:pPr>
            <w:r/>
            <w:r>
              <w:rPr>
                <w:b w:val="0"/>
                <w:sz w:val="16"/>
              </w:rPr>
              <w:t>T2-PO-260</w:t>
            </w:r>
            <w:bookmarkEnd w:id="2356"/>
          </w:p>
        </w:tc>
        <w:tc>
          <w:tcPr>
            <w:tcW w:type="dxa" w:w="2438"/>
            <w:vAlign w:val="center"/>
            <w:tcMar>
              <w:top w:w="70" w:type="dxa"/>
              <w:start w:w="80" w:type="dxa"/>
              <w:bottom w:w="70" w:type="dxa"/>
              <w:end w:w="80" w:type="dxa"/>
            </w:tcMar>
            <w:shd w:fill="F2F4F7"/>
          </w:tcPr>
          <w:p>
            <w:pPr>
              <w:jc w:val="left"/>
            </w:pPr>
            <w:r/>
            <w:r>
              <w:rPr>
                <w:b w:val="0"/>
                <w:sz w:val="16"/>
              </w:rPr>
              <w:t>Построить equivariant virtual localization.</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T-action + equivariant POT.</w:t>
            </w:r>
          </w:p>
        </w:tc>
      </w:tr>
      <w:tr>
        <w:trPr>
          <w:cantSplit/>
        </w:trPr>
        <w:tc>
          <w:tcPr>
            <w:tcW w:type="dxa" w:w="2438"/>
            <w:vAlign w:val="center"/>
            <w:tcMar>
              <w:top w:w="70" w:type="dxa"/>
              <w:start w:w="80" w:type="dxa"/>
              <w:bottom w:w="70" w:type="dxa"/>
              <w:end w:w="80" w:type="dxa"/>
            </w:tcMar>
            <w:shd w:fill="FFFFFF"/>
          </w:tcPr>
          <w:p>
            <w:bookmarkStart w:id="2357" w:name="po_261"/>
            <w:pPr>
              <w:jc w:val="center"/>
            </w:pPr>
            <w:r/>
            <w:r>
              <w:rPr>
                <w:b w:val="0"/>
                <w:sz w:val="16"/>
              </w:rPr>
              <w:t>T2-PO-261</w:t>
            </w:r>
            <w:bookmarkEnd w:id="2357"/>
          </w:p>
        </w:tc>
        <w:tc>
          <w:tcPr>
            <w:tcW w:type="dxa" w:w="2438"/>
            <w:vAlign w:val="center"/>
            <w:tcMar>
              <w:top w:w="70" w:type="dxa"/>
              <w:start w:w="80" w:type="dxa"/>
              <w:bottom w:w="70" w:type="dxa"/>
              <w:end w:w="80" w:type="dxa"/>
            </w:tcMar>
            <w:shd w:fill="FFFFFF"/>
          </w:tcPr>
          <w:p>
            <w:pPr>
              <w:jc w:val="left"/>
            </w:pPr>
            <w:r/>
            <w:r>
              <w:rPr>
                <w:b w:val="0"/>
                <w:sz w:val="16"/>
              </w:rPr>
              <w:t>Сертифицировать virtual normal Euler classes.</w:t>
            </w:r>
          </w:p>
        </w:tc>
        <w:tc>
          <w:tcPr>
            <w:tcW w:type="dxa" w:w="2438"/>
            <w:vAlign w:val="center"/>
            <w:tcMar>
              <w:top w:w="70" w:type="dxa"/>
              <w:start w:w="80" w:type="dxa"/>
              <w:bottom w:w="70" w:type="dxa"/>
              <w:end w:w="80" w:type="dxa"/>
            </w:tcMar>
            <w:shd w:fill="FFFFFF"/>
          </w:tcPr>
          <w:p>
            <w:pPr>
              <w:jc w:val="center"/>
            </w:pPr>
            <w:r/>
            <w:r>
              <w:rPr>
                <w:b w:val="0"/>
                <w:sz w:val="16"/>
              </w:rPr>
              <w:t>OPEN</w:t>
            </w:r>
          </w:p>
        </w:tc>
        <w:tc>
          <w:tcPr>
            <w:tcW w:type="dxa" w:w="2438"/>
            <w:vAlign w:val="center"/>
            <w:tcMar>
              <w:top w:w="70" w:type="dxa"/>
              <w:start w:w="80" w:type="dxa"/>
              <w:bottom w:w="70" w:type="dxa"/>
              <w:end w:w="80" w:type="dxa"/>
            </w:tcMar>
            <w:shd w:fill="FFFFFF"/>
          </w:tcPr>
          <w:p>
            <w:pPr>
              <w:jc w:val="left"/>
            </w:pPr>
            <w:r/>
            <w:r>
              <w:rPr>
                <w:b w:val="0"/>
                <w:sz w:val="16"/>
              </w:rPr>
              <w:t>No zero denominators in localization.</w:t>
            </w:r>
          </w:p>
        </w:tc>
      </w:tr>
      <w:tr>
        <w:trPr>
          <w:cantSplit/>
        </w:trPr>
        <w:tc>
          <w:tcPr>
            <w:tcW w:type="dxa" w:w="2438"/>
            <w:vAlign w:val="center"/>
            <w:tcMar>
              <w:top w:w="70" w:type="dxa"/>
              <w:start w:w="80" w:type="dxa"/>
              <w:bottom w:w="70" w:type="dxa"/>
              <w:end w:w="80" w:type="dxa"/>
            </w:tcMar>
            <w:shd w:fill="F2F4F7"/>
          </w:tcPr>
          <w:p>
            <w:bookmarkStart w:id="2358" w:name="po_262"/>
            <w:pPr>
              <w:jc w:val="center"/>
            </w:pPr>
            <w:r/>
            <w:r>
              <w:rPr>
                <w:b w:val="0"/>
                <w:sz w:val="16"/>
              </w:rPr>
              <w:t>T2-PO-262</w:t>
            </w:r>
            <w:bookmarkEnd w:id="2358"/>
          </w:p>
        </w:tc>
        <w:tc>
          <w:tcPr>
            <w:tcW w:type="dxa" w:w="2438"/>
            <w:vAlign w:val="center"/>
            <w:tcMar>
              <w:top w:w="70" w:type="dxa"/>
              <w:start w:w="80" w:type="dxa"/>
              <w:bottom w:w="70" w:type="dxa"/>
              <w:end w:w="80" w:type="dxa"/>
            </w:tcMar>
            <w:shd w:fill="F2F4F7"/>
          </w:tcPr>
          <w:p>
            <w:pPr>
              <w:jc w:val="left"/>
            </w:pPr>
            <w:r/>
            <w:r>
              <w:rPr>
                <w:b w:val="0"/>
                <w:sz w:val="16"/>
              </w:rPr>
              <w:t>Зафиксировать orientation/determinant data.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Global compatible orientation.</w:t>
            </w:r>
          </w:p>
        </w:tc>
      </w:tr>
      <w:tr>
        <w:trPr>
          <w:cantSplit/>
        </w:trPr>
        <w:tc>
          <w:tcPr>
            <w:tcW w:type="dxa" w:w="2438"/>
            <w:vAlign w:val="center"/>
            <w:tcMar>
              <w:top w:w="70" w:type="dxa"/>
              <w:start w:w="80" w:type="dxa"/>
              <w:bottom w:w="70" w:type="dxa"/>
              <w:end w:w="80" w:type="dxa"/>
            </w:tcMar>
            <w:shd w:fill="FFFFFF"/>
          </w:tcPr>
          <w:p>
            <w:bookmarkStart w:id="2359" w:name="po_263"/>
            <w:pPr>
              <w:jc w:val="center"/>
            </w:pPr>
            <w:r/>
            <w:r>
              <w:rPr>
                <w:b w:val="0"/>
                <w:sz w:val="16"/>
              </w:rPr>
              <w:t>T2-PO-263</w:t>
            </w:r>
            <w:bookmarkEnd w:id="2359"/>
          </w:p>
        </w:tc>
        <w:tc>
          <w:tcPr>
            <w:tcW w:type="dxa" w:w="2438"/>
            <w:vAlign w:val="center"/>
            <w:tcMar>
              <w:top w:w="70" w:type="dxa"/>
              <w:start w:w="80" w:type="dxa"/>
              <w:bottom w:w="70" w:type="dxa"/>
              <w:end w:w="80" w:type="dxa"/>
            </w:tcMar>
            <w:shd w:fill="FFFFFF"/>
          </w:tcPr>
          <w:p>
            <w:pPr>
              <w:jc w:val="left"/>
            </w:pPr>
            <w:r/>
            <w:r>
              <w:rPr>
                <w:b w:val="0"/>
                <w:sz w:val="16"/>
              </w:rPr>
              <w:t>Учесть stabilizer weights.</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Stack integration convention.</w:t>
            </w:r>
          </w:p>
        </w:tc>
      </w:tr>
      <w:tr>
        <w:trPr>
          <w:cantSplit/>
        </w:trPr>
        <w:tc>
          <w:tcPr>
            <w:tcW w:type="dxa" w:w="2438"/>
            <w:vAlign w:val="center"/>
            <w:tcMar>
              <w:top w:w="70" w:type="dxa"/>
              <w:start w:w="80" w:type="dxa"/>
              <w:bottom w:w="70" w:type="dxa"/>
              <w:end w:w="80" w:type="dxa"/>
            </w:tcMar>
            <w:shd w:fill="F2F4F7"/>
          </w:tcPr>
          <w:p>
            <w:bookmarkStart w:id="2360" w:name="po_264"/>
            <w:pPr>
              <w:jc w:val="center"/>
            </w:pPr>
            <w:r/>
            <w:r>
              <w:rPr>
                <w:b w:val="0"/>
                <w:sz w:val="16"/>
              </w:rPr>
              <w:t>T2-PO-264</w:t>
            </w:r>
            <w:bookmarkEnd w:id="2360"/>
          </w:p>
        </w:tc>
        <w:tc>
          <w:tcPr>
            <w:tcW w:type="dxa" w:w="2438"/>
            <w:vAlign w:val="center"/>
            <w:tcMar>
              <w:top w:w="70" w:type="dxa"/>
              <w:start w:w="80" w:type="dxa"/>
              <w:bottom w:w="70" w:type="dxa"/>
              <w:end w:w="80" w:type="dxa"/>
            </w:tcMar>
            <w:shd w:fill="F2F4F7"/>
          </w:tcPr>
          <w:p>
            <w:pPr>
              <w:jc w:val="left"/>
            </w:pPr>
            <w:r/>
            <w:r>
              <w:rPr>
                <w:b w:val="0"/>
                <w:sz w:val="16"/>
              </w:rPr>
              <w:t>Согласовать VFC с PredCar v0.15.</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Compatibility diagram.</w:t>
            </w:r>
          </w:p>
        </w:tc>
      </w:tr>
      <w:tr>
        <w:trPr>
          <w:cantSplit/>
        </w:trPr>
        <w:tc>
          <w:tcPr>
            <w:tcW w:type="dxa" w:w="2438"/>
            <w:vAlign w:val="center"/>
            <w:tcMar>
              <w:top w:w="70" w:type="dxa"/>
              <w:start w:w="80" w:type="dxa"/>
              <w:bottom w:w="70" w:type="dxa"/>
              <w:end w:w="80" w:type="dxa"/>
            </w:tcMar>
            <w:shd w:fill="FFFFFF"/>
          </w:tcPr>
          <w:p>
            <w:bookmarkStart w:id="2361" w:name="po_265"/>
            <w:pPr>
              <w:jc w:val="center"/>
            </w:pPr>
            <w:r/>
            <w:r>
              <w:rPr>
                <w:b w:val="0"/>
                <w:sz w:val="16"/>
              </w:rPr>
              <w:t>T2-PO-265</w:t>
            </w:r>
            <w:bookmarkEnd w:id="2361"/>
          </w:p>
        </w:tc>
        <w:tc>
          <w:tcPr>
            <w:tcW w:type="dxa" w:w="2438"/>
            <w:vAlign w:val="center"/>
            <w:tcMar>
              <w:top w:w="70" w:type="dxa"/>
              <w:start w:w="80" w:type="dxa"/>
              <w:bottom w:w="70" w:type="dxa"/>
              <w:end w:w="80" w:type="dxa"/>
            </w:tcMar>
            <w:shd w:fill="FFFFFF"/>
          </w:tcPr>
          <w:p>
            <w:pPr>
              <w:jc w:val="left"/>
            </w:pPr>
            <w:r/>
            <w:r>
              <w:rPr>
                <w:b w:val="0"/>
                <w:sz w:val="16"/>
              </w:rPr>
              <w:t>Определить VirtCert и Reper_vir.</w:t>
            </w:r>
          </w:p>
        </w:tc>
        <w:tc>
          <w:tcPr>
            <w:tcW w:type="dxa" w:w="2438"/>
            <w:vAlign w:val="center"/>
            <w:tcMar>
              <w:top w:w="70" w:type="dxa"/>
              <w:start w:w="80" w:type="dxa"/>
              <w:bottom w:w="70" w:type="dxa"/>
              <w:end w:w="80" w:type="dxa"/>
            </w:tcMar>
            <w:shd w:fill="FFFFFF"/>
          </w:tcPr>
          <w:p>
            <w:pPr>
              <w:jc w:val="center"/>
            </w:pPr>
            <w:r/>
            <w:r>
              <w:rPr>
                <w:b w:val="0"/>
                <w:sz w:val="16"/>
              </w:rPr>
              <w:t>MODEL-CLOSED</w:t>
            </w:r>
          </w:p>
        </w:tc>
        <w:tc>
          <w:tcPr>
            <w:tcW w:type="dxa" w:w="2438"/>
            <w:vAlign w:val="center"/>
            <w:tcMar>
              <w:top w:w="70" w:type="dxa"/>
              <w:start w:w="80" w:type="dxa"/>
              <w:bottom w:w="70" w:type="dxa"/>
              <w:end w:w="80" w:type="dxa"/>
            </w:tcMar>
            <w:shd w:fill="FFFFFF"/>
          </w:tcPr>
          <w:p>
            <w:pPr>
              <w:jc w:val="left"/>
            </w:pPr>
            <w:r/>
            <w:r>
              <w:rPr>
                <w:b w:val="0"/>
                <w:sz w:val="16"/>
              </w:rPr>
              <w:t>Формулы (19.16)-(19.17).</w:t>
            </w:r>
          </w:p>
        </w:tc>
      </w:tr>
      <w:tr>
        <w:trPr>
          <w:cantSplit/>
        </w:trPr>
        <w:tc>
          <w:tcPr>
            <w:tcW w:type="dxa" w:w="2438"/>
            <w:vAlign w:val="center"/>
            <w:tcMar>
              <w:top w:w="70" w:type="dxa"/>
              <w:start w:w="80" w:type="dxa"/>
              <w:bottom w:w="70" w:type="dxa"/>
              <w:end w:w="80" w:type="dxa"/>
            </w:tcMar>
            <w:shd w:fill="F2F4F7"/>
          </w:tcPr>
          <w:p>
            <w:bookmarkStart w:id="2362" w:name="po_266"/>
            <w:pPr>
              <w:jc w:val="center"/>
            </w:pPr>
            <w:r/>
            <w:r>
              <w:rPr>
                <w:b w:val="0"/>
                <w:sz w:val="16"/>
              </w:rPr>
              <w:t>T2-PO-266</w:t>
            </w:r>
            <w:bookmarkEnd w:id="2362"/>
          </w:p>
        </w:tc>
        <w:tc>
          <w:tcPr>
            <w:tcW w:type="dxa" w:w="2438"/>
            <w:vAlign w:val="center"/>
            <w:tcMar>
              <w:top w:w="70" w:type="dxa"/>
              <w:start w:w="80" w:type="dxa"/>
              <w:bottom w:w="70" w:type="dxa"/>
              <w:end w:w="80" w:type="dxa"/>
            </w:tcMar>
            <w:shd w:fill="F2F4F7"/>
          </w:tcPr>
          <w:p>
            <w:pPr>
              <w:jc w:val="left"/>
            </w:pPr>
            <w:r/>
            <w:r>
              <w:rPr>
                <w:b w:val="0"/>
                <w:sz w:val="16"/>
              </w:rPr>
              <w:t>Построить канонический λ-мост к virtual data.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Нужна χ_vir; автоматизма нет.</w:t>
            </w:r>
          </w:p>
        </w:tc>
      </w:tr>
      <w:tr>
        <w:trPr>
          <w:cantSplit/>
        </w:trPr>
        <w:tc>
          <w:tcPr>
            <w:tcW w:type="dxa" w:w="2438"/>
            <w:vAlign w:val="center"/>
            <w:tcMar>
              <w:top w:w="70" w:type="dxa"/>
              <w:start w:w="80" w:type="dxa"/>
              <w:bottom w:w="70" w:type="dxa"/>
              <w:end w:w="80" w:type="dxa"/>
            </w:tcMar>
            <w:shd w:fill="FFFFFF"/>
          </w:tcPr>
          <w:p>
            <w:bookmarkStart w:id="2363" w:name="po_267"/>
            <w:pPr>
              <w:jc w:val="center"/>
            </w:pPr>
            <w:r/>
            <w:r>
              <w:rPr>
                <w:b w:val="0"/>
                <w:sz w:val="16"/>
              </w:rPr>
              <w:t>T2-PO-267</w:t>
            </w:r>
            <w:bookmarkEnd w:id="2363"/>
          </w:p>
        </w:tc>
        <w:tc>
          <w:tcPr>
            <w:tcW w:type="dxa" w:w="2438"/>
            <w:vAlign w:val="center"/>
            <w:tcMar>
              <w:top w:w="70" w:type="dxa"/>
              <w:start w:w="80" w:type="dxa"/>
              <w:bottom w:w="70" w:type="dxa"/>
              <w:end w:w="80" w:type="dxa"/>
            </w:tcMar>
            <w:shd w:fill="FFFFFF"/>
          </w:tcPr>
          <w:p>
            <w:pPr>
              <w:jc w:val="left"/>
            </w:pPr>
            <w:r/>
            <w:r>
              <w:rPr>
                <w:b w:val="0"/>
                <w:sz w:val="16"/>
              </w:rPr>
              <w:t>Доказать additivity-probability no-go.</w:t>
            </w:r>
          </w:p>
        </w:tc>
        <w:tc>
          <w:tcPr>
            <w:tcW w:type="dxa" w:w="2438"/>
            <w:vAlign w:val="center"/>
            <w:tcMar>
              <w:top w:w="70" w:type="dxa"/>
              <w:start w:w="80" w:type="dxa"/>
              <w:bottom w:w="70" w:type="dxa"/>
              <w:end w:w="80" w:type="dxa"/>
            </w:tcMar>
            <w:shd w:fill="FFFFFF"/>
          </w:tcPr>
          <w:p>
            <w:pPr>
              <w:jc w:val="center"/>
            </w:pPr>
            <w:r/>
            <w:r>
              <w:rPr>
                <w:b w:val="0"/>
                <w:sz w:val="16"/>
              </w:rPr>
              <w:t>CLOSED</w:t>
            </w:r>
          </w:p>
        </w:tc>
        <w:tc>
          <w:tcPr>
            <w:tcW w:type="dxa" w:w="2438"/>
            <w:vAlign w:val="center"/>
            <w:tcMar>
              <w:top w:w="70" w:type="dxa"/>
              <w:start w:w="80" w:type="dxa"/>
              <w:bottom w:w="70" w:type="dxa"/>
              <w:end w:w="80" w:type="dxa"/>
            </w:tcMar>
            <w:shd w:fill="FFFFFF"/>
          </w:tcPr>
          <w:p>
            <w:pPr>
              <w:jc w:val="left"/>
            </w:pPr>
            <w:r/>
            <w:r>
              <w:rPr>
                <w:b w:val="0"/>
                <w:sz w:val="16"/>
              </w:rPr>
              <w:t>Theorem 19.4.</w:t>
            </w:r>
          </w:p>
        </w:tc>
      </w:tr>
      <w:tr>
        <w:trPr>
          <w:cantSplit/>
        </w:trPr>
        <w:tc>
          <w:tcPr>
            <w:tcW w:type="dxa" w:w="2438"/>
            <w:vAlign w:val="center"/>
            <w:tcMar>
              <w:top w:w="70" w:type="dxa"/>
              <w:start w:w="80" w:type="dxa"/>
              <w:bottom w:w="70" w:type="dxa"/>
              <w:end w:w="80" w:type="dxa"/>
            </w:tcMar>
            <w:shd w:fill="F2F4F7"/>
          </w:tcPr>
          <w:p>
            <w:bookmarkStart w:id="2364" w:name="po_268"/>
            <w:pPr>
              <w:jc w:val="center"/>
            </w:pPr>
            <w:r/>
            <w:r>
              <w:rPr>
                <w:b w:val="0"/>
                <w:sz w:val="16"/>
              </w:rPr>
              <w:t>T2-PO-268</w:t>
            </w:r>
            <w:bookmarkEnd w:id="2364"/>
          </w:p>
        </w:tc>
        <w:tc>
          <w:tcPr>
            <w:tcW w:type="dxa" w:w="2438"/>
            <w:vAlign w:val="center"/>
            <w:tcMar>
              <w:top w:w="70" w:type="dxa"/>
              <w:start w:w="80" w:type="dxa"/>
              <w:bottom w:w="70" w:type="dxa"/>
              <w:end w:w="80" w:type="dxa"/>
            </w:tcMar>
            <w:shd w:fill="F2F4F7"/>
          </w:tcPr>
          <w:p>
            <w:pPr>
              <w:jc w:val="left"/>
            </w:pPr>
            <w:r/>
            <w:r>
              <w:rPr>
                <w:b w:val="0"/>
                <w:sz w:val="16"/>
              </w:rPr>
              <w:t>Задать пространство исходов Ω и σ-алгебру.</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Domain-specific event protocol.</w:t>
            </w:r>
          </w:p>
        </w:tc>
      </w:tr>
      <w:tr>
        <w:trPr>
          <w:cantSplit/>
        </w:trPr>
        <w:tc>
          <w:tcPr>
            <w:tcW w:type="dxa" w:w="2438"/>
            <w:vAlign w:val="center"/>
            <w:tcMar>
              <w:top w:w="70" w:type="dxa"/>
              <w:start w:w="80" w:type="dxa"/>
              <w:bottom w:w="70" w:type="dxa"/>
              <w:end w:w="80" w:type="dxa"/>
            </w:tcMar>
            <w:shd w:fill="FFFFFF"/>
          </w:tcPr>
          <w:p>
            <w:bookmarkStart w:id="2365" w:name="po_269"/>
            <w:pPr>
              <w:jc w:val="center"/>
            </w:pPr>
            <w:r/>
            <w:r>
              <w:rPr>
                <w:b w:val="0"/>
                <w:sz w:val="16"/>
              </w:rPr>
              <w:t>T2-PO-269</w:t>
            </w:r>
            <w:bookmarkEnd w:id="2365"/>
          </w:p>
        </w:tc>
        <w:tc>
          <w:tcPr>
            <w:tcW w:type="dxa" w:w="2438"/>
            <w:vAlign w:val="center"/>
            <w:tcMar>
              <w:top w:w="70" w:type="dxa"/>
              <w:start w:w="80" w:type="dxa"/>
              <w:bottom w:w="70" w:type="dxa"/>
              <w:end w:w="80" w:type="dxa"/>
            </w:tcMar>
            <w:shd w:fill="FFFFFF"/>
          </w:tcPr>
          <w:p>
            <w:pPr>
              <w:jc w:val="left"/>
            </w:pPr>
            <w:r/>
            <w:r>
              <w:rPr>
                <w:b w:val="0"/>
                <w:sz w:val="16"/>
              </w:rPr>
              <w:t>Задать/оценить вероятностную меру P.</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Sampling/model assumptions.</w:t>
            </w:r>
          </w:p>
        </w:tc>
      </w:tr>
      <w:tr>
        <w:trPr>
          <w:cantSplit/>
        </w:trPr>
        <w:tc>
          <w:tcPr>
            <w:tcW w:type="dxa" w:w="2438"/>
            <w:vAlign w:val="center"/>
            <w:tcMar>
              <w:top w:w="70" w:type="dxa"/>
              <w:start w:w="80" w:type="dxa"/>
              <w:bottom w:w="70" w:type="dxa"/>
              <w:end w:w="80" w:type="dxa"/>
            </w:tcMar>
            <w:shd w:fill="F2F4F7"/>
          </w:tcPr>
          <w:p>
            <w:bookmarkStart w:id="2366" w:name="po_270"/>
            <w:pPr>
              <w:jc w:val="center"/>
            </w:pPr>
            <w:r/>
            <w:r>
              <w:rPr>
                <w:b w:val="0"/>
                <w:sz w:val="16"/>
              </w:rPr>
              <w:t>T2-PO-270</w:t>
            </w:r>
            <w:bookmarkEnd w:id="2366"/>
          </w:p>
        </w:tc>
        <w:tc>
          <w:tcPr>
            <w:tcW w:type="dxa" w:w="2438"/>
            <w:vAlign w:val="center"/>
            <w:tcMar>
              <w:top w:w="70" w:type="dxa"/>
              <w:start w:w="80" w:type="dxa"/>
              <w:bottom w:w="70" w:type="dxa"/>
              <w:end w:w="80" w:type="dxa"/>
            </w:tcMar>
            <w:shd w:fill="F2F4F7"/>
          </w:tcPr>
          <w:p>
            <w:pPr>
              <w:jc w:val="left"/>
            </w:pPr>
            <w:r/>
            <w:r>
              <w:rPr>
                <w:b w:val="0"/>
                <w:sz w:val="16"/>
              </w:rPr>
              <w:t>Зафиксировать link model g_θ.</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Pre-registered functional form.</w:t>
            </w:r>
          </w:p>
        </w:tc>
      </w:tr>
      <w:tr>
        <w:trPr>
          <w:cantSplit/>
        </w:trPr>
        <w:tc>
          <w:tcPr>
            <w:tcW w:type="dxa" w:w="2438"/>
            <w:vAlign w:val="center"/>
            <w:tcMar>
              <w:top w:w="70" w:type="dxa"/>
              <w:start w:w="80" w:type="dxa"/>
              <w:bottom w:w="70" w:type="dxa"/>
              <w:end w:w="80" w:type="dxa"/>
            </w:tcMar>
            <w:shd w:fill="FFFFFF"/>
          </w:tcPr>
          <w:p>
            <w:bookmarkStart w:id="2367" w:name="po_271"/>
            <w:pPr>
              <w:jc w:val="center"/>
            </w:pPr>
            <w:r/>
            <w:r>
              <w:rPr>
                <w:b w:val="0"/>
                <w:sz w:val="16"/>
              </w:rPr>
              <w:t>T2-PO-271</w:t>
            </w:r>
            <w:bookmarkEnd w:id="2367"/>
          </w:p>
        </w:tc>
        <w:tc>
          <w:tcPr>
            <w:tcW w:type="dxa" w:w="2438"/>
            <w:vAlign w:val="center"/>
            <w:tcMar>
              <w:top w:w="70" w:type="dxa"/>
              <w:start w:w="80" w:type="dxa"/>
              <w:bottom w:w="70" w:type="dxa"/>
              <w:end w:w="80" w:type="dxa"/>
            </w:tcMar>
            <w:shd w:fill="FFFFFF"/>
          </w:tcPr>
          <w:p>
            <w:pPr>
              <w:jc w:val="left"/>
            </w:pPr>
            <w:r/>
            <w:r>
              <w:rPr>
                <w:b w:val="0"/>
                <w:sz w:val="16"/>
              </w:rPr>
              <w:t>Доказать или проверить calibration.</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Frozen calibration protocol.</w:t>
            </w:r>
          </w:p>
        </w:tc>
      </w:tr>
      <w:tr>
        <w:trPr>
          <w:cantSplit/>
        </w:trPr>
        <w:tc>
          <w:tcPr>
            <w:tcW w:type="dxa" w:w="2438"/>
            <w:vAlign w:val="center"/>
            <w:tcMar>
              <w:top w:w="70" w:type="dxa"/>
              <w:start w:w="80" w:type="dxa"/>
              <w:bottom w:w="70" w:type="dxa"/>
              <w:end w:w="80" w:type="dxa"/>
            </w:tcMar>
            <w:shd w:fill="F2F4F7"/>
          </w:tcPr>
          <w:p>
            <w:bookmarkStart w:id="2368" w:name="po_272"/>
            <w:pPr>
              <w:jc w:val="center"/>
            </w:pPr>
            <w:r/>
            <w:r>
              <w:rPr>
                <w:b w:val="0"/>
                <w:sz w:val="16"/>
              </w:rPr>
              <w:t>T2-PO-272</w:t>
            </w:r>
            <w:bookmarkEnd w:id="2368"/>
          </w:p>
        </w:tc>
        <w:tc>
          <w:tcPr>
            <w:tcW w:type="dxa" w:w="2438"/>
            <w:vAlign w:val="center"/>
            <w:tcMar>
              <w:top w:w="70" w:type="dxa"/>
              <w:start w:w="80" w:type="dxa"/>
              <w:bottom w:w="70" w:type="dxa"/>
              <w:end w:w="80" w:type="dxa"/>
            </w:tcMar>
            <w:shd w:fill="F2F4F7"/>
          </w:tcPr>
          <w:p>
            <w:pPr>
              <w:jc w:val="left"/>
            </w:pPr>
            <w:r/>
            <w:r>
              <w:rPr>
                <w:b w:val="0"/>
                <w:sz w:val="16"/>
              </w:rPr>
              <w:t>Проверить discrimination отдельно.</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Pre-specified metric.</w:t>
            </w:r>
          </w:p>
        </w:tc>
      </w:tr>
      <w:tr>
        <w:trPr>
          <w:cantSplit/>
        </w:trPr>
        <w:tc>
          <w:tcPr>
            <w:tcW w:type="dxa" w:w="2438"/>
            <w:vAlign w:val="center"/>
            <w:tcMar>
              <w:top w:w="70" w:type="dxa"/>
              <w:start w:w="80" w:type="dxa"/>
              <w:bottom w:w="70" w:type="dxa"/>
              <w:end w:w="80" w:type="dxa"/>
            </w:tcMar>
            <w:shd w:fill="FFFFFF"/>
          </w:tcPr>
          <w:p>
            <w:bookmarkStart w:id="2369" w:name="po_273"/>
            <w:pPr>
              <w:jc w:val="center"/>
            </w:pPr>
            <w:r/>
            <w:r>
              <w:rPr>
                <w:b w:val="0"/>
                <w:sz w:val="16"/>
              </w:rPr>
              <w:t>T2-PO-273</w:t>
            </w:r>
            <w:bookmarkEnd w:id="2369"/>
          </w:p>
        </w:tc>
        <w:tc>
          <w:tcPr>
            <w:tcW w:type="dxa" w:w="2438"/>
            <w:vAlign w:val="center"/>
            <w:tcMar>
              <w:top w:w="70" w:type="dxa"/>
              <w:start w:w="80" w:type="dxa"/>
              <w:bottom w:w="70" w:type="dxa"/>
              <w:end w:w="80" w:type="dxa"/>
            </w:tcMar>
            <w:shd w:fill="FFFFFF"/>
          </w:tcPr>
          <w:p>
            <w:pPr>
              <w:jc w:val="left"/>
            </w:pPr>
            <w:r/>
            <w:r>
              <w:rPr>
                <w:b w:val="0"/>
                <w:sz w:val="16"/>
              </w:rPr>
              <w:t>Проверить transportability/domain shift.</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External target domain.</w:t>
            </w:r>
          </w:p>
        </w:tc>
      </w:tr>
      <w:tr>
        <w:trPr>
          <w:cantSplit/>
        </w:trPr>
        <w:tc>
          <w:tcPr>
            <w:tcW w:type="dxa" w:w="2438"/>
            <w:vAlign w:val="center"/>
            <w:tcMar>
              <w:top w:w="70" w:type="dxa"/>
              <w:start w:w="80" w:type="dxa"/>
              <w:bottom w:w="70" w:type="dxa"/>
              <w:end w:w="80" w:type="dxa"/>
            </w:tcMar>
            <w:shd w:fill="F2F4F7"/>
          </w:tcPr>
          <w:p>
            <w:bookmarkStart w:id="2370" w:name="po_274"/>
            <w:pPr>
              <w:jc w:val="center"/>
            </w:pPr>
            <w:r/>
            <w:r>
              <w:rPr>
                <w:b w:val="0"/>
                <w:sz w:val="16"/>
              </w:rPr>
              <w:t>T2-PO-274</w:t>
            </w:r>
            <w:bookmarkEnd w:id="2370"/>
          </w:p>
        </w:tc>
        <w:tc>
          <w:tcPr>
            <w:tcW w:type="dxa" w:w="2438"/>
            <w:vAlign w:val="center"/>
            <w:tcMar>
              <w:top w:w="70" w:type="dxa"/>
              <w:start w:w="80" w:type="dxa"/>
              <w:bottom w:w="70" w:type="dxa"/>
              <w:end w:w="80" w:type="dxa"/>
            </w:tcMar>
            <w:shd w:fill="F2F4F7"/>
          </w:tcPr>
          <w:p>
            <w:pPr>
              <w:jc w:val="left"/>
            </w:pPr>
            <w:r/>
            <w:r>
              <w:rPr>
                <w:b w:val="0"/>
                <w:sz w:val="16"/>
              </w:rPr>
              <w:t>Исполнить independent external run.</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EXT-RUN with frozen code/data.</w:t>
            </w:r>
          </w:p>
        </w:tc>
      </w:tr>
      <w:tr>
        <w:trPr>
          <w:cantSplit/>
        </w:trPr>
        <w:tc>
          <w:tcPr>
            <w:tcW w:type="dxa" w:w="2438"/>
            <w:vAlign w:val="center"/>
            <w:tcMar>
              <w:top w:w="70" w:type="dxa"/>
              <w:start w:w="80" w:type="dxa"/>
              <w:bottom w:w="70" w:type="dxa"/>
              <w:end w:w="80" w:type="dxa"/>
            </w:tcMar>
            <w:shd w:fill="FFFFFF"/>
          </w:tcPr>
          <w:p>
            <w:bookmarkStart w:id="2371" w:name="po_275"/>
            <w:pPr>
              <w:jc w:val="center"/>
            </w:pPr>
            <w:r/>
            <w:r>
              <w:rPr>
                <w:b w:val="0"/>
                <w:sz w:val="16"/>
              </w:rPr>
              <w:t>T2-PO-275</w:t>
            </w:r>
            <w:bookmarkEnd w:id="2371"/>
          </w:p>
        </w:tc>
        <w:tc>
          <w:tcPr>
            <w:tcW w:type="dxa" w:w="2438"/>
            <w:vAlign w:val="center"/>
            <w:tcMar>
              <w:top w:w="70" w:type="dxa"/>
              <w:start w:w="80" w:type="dxa"/>
              <w:bottom w:w="70" w:type="dxa"/>
              <w:end w:w="80" w:type="dxa"/>
            </w:tcMar>
            <w:shd w:fill="FFFFFF"/>
          </w:tcPr>
          <w:p>
            <w:pPr>
              <w:jc w:val="left"/>
            </w:pPr>
            <w:r/>
            <w:r>
              <w:rPr>
                <w:b w:val="0"/>
                <w:sz w:val="16"/>
              </w:rPr>
              <w:t>Построить Δ_VFC.</w:t>
            </w:r>
          </w:p>
        </w:tc>
        <w:tc>
          <w:tcPr>
            <w:tcW w:type="dxa" w:w="2438"/>
            <w:vAlign w:val="center"/>
            <w:tcMar>
              <w:top w:w="70" w:type="dxa"/>
              <w:start w:w="80" w:type="dxa"/>
              <w:bottom w:w="70" w:type="dxa"/>
              <w:end w:w="80" w:type="dxa"/>
            </w:tcMar>
            <w:shd w:fill="FFFFFF"/>
          </w:tcPr>
          <w:p>
            <w:pPr>
              <w:jc w:val="center"/>
            </w:pPr>
            <w:r/>
            <w:r>
              <w:rPr>
                <w:b w:val="0"/>
                <w:sz w:val="16"/>
              </w:rPr>
              <w:t>MODEL-CLOSED</w:t>
            </w:r>
          </w:p>
        </w:tc>
        <w:tc>
          <w:tcPr>
            <w:tcW w:type="dxa" w:w="2438"/>
            <w:vAlign w:val="center"/>
            <w:tcMar>
              <w:top w:w="70" w:type="dxa"/>
              <w:start w:w="80" w:type="dxa"/>
              <w:bottom w:w="70" w:type="dxa"/>
              <w:end w:w="80" w:type="dxa"/>
            </w:tcMar>
            <w:shd w:fill="FFFFFF"/>
          </w:tcPr>
          <w:p>
            <w:pPr>
              <w:jc w:val="left"/>
            </w:pPr>
            <w:r/>
            <w:r>
              <w:rPr>
                <w:b w:val="0"/>
                <w:sz w:val="16"/>
              </w:rPr>
              <w:t>Horizon ledger (19.20).</w:t>
            </w:r>
          </w:p>
        </w:tc>
      </w:tr>
      <w:tr>
        <w:trPr>
          <w:cantSplit/>
        </w:trPr>
        <w:tc>
          <w:tcPr>
            <w:tcW w:type="dxa" w:w="2438"/>
            <w:vAlign w:val="center"/>
            <w:tcMar>
              <w:top w:w="70" w:type="dxa"/>
              <w:start w:w="80" w:type="dxa"/>
              <w:bottom w:w="70" w:type="dxa"/>
              <w:end w:w="80" w:type="dxa"/>
            </w:tcMar>
            <w:shd w:fill="F2F4F7"/>
          </w:tcPr>
          <w:p>
            <w:bookmarkStart w:id="2372" w:name="po_276"/>
            <w:pPr>
              <w:jc w:val="center"/>
            </w:pPr>
            <w:r/>
            <w:r>
              <w:rPr>
                <w:b w:val="0"/>
                <w:sz w:val="16"/>
              </w:rPr>
              <w:t>T2-PO-276</w:t>
            </w:r>
            <w:bookmarkEnd w:id="2372"/>
          </w:p>
        </w:tc>
        <w:tc>
          <w:tcPr>
            <w:tcW w:type="dxa" w:w="2438"/>
            <w:vAlign w:val="center"/>
            <w:tcMar>
              <w:top w:w="70" w:type="dxa"/>
              <w:start w:w="80" w:type="dxa"/>
              <w:bottom w:w="70" w:type="dxa"/>
              <w:end w:w="80" w:type="dxa"/>
            </w:tcMar>
            <w:shd w:fill="F2F4F7"/>
          </w:tcPr>
          <w:p>
            <w:pPr>
              <w:jc w:val="left"/>
            </w:pPr>
            <w:r/>
            <w:r>
              <w:rPr>
                <w:b w:val="0"/>
                <w:sz w:val="16"/>
              </w:rPr>
              <w:t>Построить Δ_prob.</w:t>
            </w:r>
          </w:p>
        </w:tc>
        <w:tc>
          <w:tcPr>
            <w:tcW w:type="dxa" w:w="2438"/>
            <w:vAlign w:val="center"/>
            <w:tcMar>
              <w:top w:w="70" w:type="dxa"/>
              <w:start w:w="80" w:type="dxa"/>
              <w:bottom w:w="70" w:type="dxa"/>
              <w:end w:w="80" w:type="dxa"/>
            </w:tcMar>
            <w:shd w:fill="F2F4F7"/>
          </w:tcPr>
          <w:p>
            <w:pPr>
              <w:jc w:val="center"/>
            </w:pPr>
            <w:r/>
            <w:r>
              <w:rPr>
                <w:b w:val="0"/>
                <w:sz w:val="16"/>
              </w:rPr>
              <w:t>MODEL-CLOSED</w:t>
            </w:r>
          </w:p>
        </w:tc>
        <w:tc>
          <w:tcPr>
            <w:tcW w:type="dxa" w:w="2438"/>
            <w:vAlign w:val="center"/>
            <w:tcMar>
              <w:top w:w="70" w:type="dxa"/>
              <w:start w:w="80" w:type="dxa"/>
              <w:bottom w:w="70" w:type="dxa"/>
              <w:end w:w="80" w:type="dxa"/>
            </w:tcMar>
            <w:shd w:fill="F2F4F7"/>
          </w:tcPr>
          <w:p>
            <w:pPr>
              <w:jc w:val="left"/>
            </w:pPr>
            <w:r/>
            <w:r>
              <w:rPr>
                <w:b w:val="0"/>
                <w:sz w:val="16"/>
              </w:rPr>
              <w:t>Horizon ledger (19.21).</w:t>
            </w:r>
          </w:p>
        </w:tc>
      </w:tr>
      <w:tr>
        <w:trPr>
          <w:cantSplit/>
        </w:trPr>
        <w:tc>
          <w:tcPr>
            <w:tcW w:type="dxa" w:w="2438"/>
            <w:vAlign w:val="center"/>
            <w:tcMar>
              <w:top w:w="70" w:type="dxa"/>
              <w:start w:w="80" w:type="dxa"/>
              <w:bottom w:w="70" w:type="dxa"/>
              <w:end w:w="80" w:type="dxa"/>
            </w:tcMar>
            <w:shd w:fill="FFFFFF"/>
          </w:tcPr>
          <w:p>
            <w:bookmarkStart w:id="2373" w:name="po_277"/>
            <w:pPr>
              <w:jc w:val="center"/>
            </w:pPr>
            <w:r/>
            <w:r>
              <w:rPr>
                <w:b w:val="0"/>
                <w:sz w:val="16"/>
              </w:rPr>
              <w:t>T2-PO-277</w:t>
            </w:r>
            <w:bookmarkEnd w:id="2373"/>
          </w:p>
        </w:tc>
        <w:tc>
          <w:tcPr>
            <w:tcW w:type="dxa" w:w="2438"/>
            <w:vAlign w:val="center"/>
            <w:tcMar>
              <w:top w:w="70" w:type="dxa"/>
              <w:start w:w="80" w:type="dxa"/>
              <w:bottom w:w="70" w:type="dxa"/>
              <w:end w:w="80" w:type="dxa"/>
            </w:tcMar>
            <w:shd w:fill="FFFFFF"/>
          </w:tcPr>
          <w:p>
            <w:pPr>
              <w:jc w:val="left"/>
            </w:pPr>
            <w:r/>
            <w:r>
              <w:rPr>
                <w:b w:val="0"/>
                <w:sz w:val="16"/>
              </w:rPr>
              <w:t>Доказать virtual-profile constancy.</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Theorem 19.6 H1-H8.</w:t>
            </w:r>
          </w:p>
        </w:tc>
      </w:tr>
      <w:tr>
        <w:trPr>
          <w:cantSplit/>
        </w:trPr>
        <w:tc>
          <w:tcPr>
            <w:tcW w:type="dxa" w:w="2438"/>
            <w:vAlign w:val="center"/>
            <w:tcMar>
              <w:top w:w="70" w:type="dxa"/>
              <w:start w:w="80" w:type="dxa"/>
              <w:bottom w:w="70" w:type="dxa"/>
              <w:end w:w="80" w:type="dxa"/>
            </w:tcMar>
            <w:shd w:fill="F2F4F7"/>
          </w:tcPr>
          <w:p>
            <w:bookmarkStart w:id="2374" w:name="po_278"/>
            <w:pPr>
              <w:jc w:val="center"/>
            </w:pPr>
            <w:r/>
            <w:r>
              <w:rPr>
                <w:b w:val="0"/>
                <w:sz w:val="16"/>
              </w:rPr>
              <w:t>T2-PO-278</w:t>
            </w:r>
            <w:bookmarkEnd w:id="2374"/>
          </w:p>
        </w:tc>
        <w:tc>
          <w:tcPr>
            <w:tcW w:type="dxa" w:w="2438"/>
            <w:vAlign w:val="center"/>
            <w:tcMar>
              <w:top w:w="70" w:type="dxa"/>
              <w:start w:w="80" w:type="dxa"/>
              <w:bottom w:w="70" w:type="dxa"/>
              <w:end w:w="80" w:type="dxa"/>
            </w:tcMar>
            <w:shd w:fill="F2F4F7"/>
          </w:tcPr>
          <w:p>
            <w:pPr>
              <w:jc w:val="left"/>
            </w:pPr>
            <w:r/>
            <w:r>
              <w:rPr>
                <w:b w:val="0"/>
                <w:sz w:val="16"/>
              </w:rPr>
              <w:t>Проверить wall-crossing jump formula.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Domain-specific comparison.</w:t>
            </w:r>
          </w:p>
        </w:tc>
      </w:tr>
      <w:tr>
        <w:trPr>
          <w:cantSplit/>
        </w:trPr>
        <w:tc>
          <w:tcPr>
            <w:tcW w:type="dxa" w:w="2438"/>
            <w:vAlign w:val="center"/>
            <w:tcMar>
              <w:top w:w="70" w:type="dxa"/>
              <w:start w:w="80" w:type="dxa"/>
              <w:bottom w:w="70" w:type="dxa"/>
              <w:end w:w="80" w:type="dxa"/>
            </w:tcMar>
            <w:shd w:fill="FFFFFF"/>
          </w:tcPr>
          <w:p>
            <w:bookmarkStart w:id="2375" w:name="po_279"/>
            <w:pPr>
              <w:jc w:val="center"/>
            </w:pPr>
            <w:r/>
            <w:r>
              <w:rPr>
                <w:b w:val="0"/>
                <w:sz w:val="16"/>
              </w:rPr>
              <w:t>T2-PO-279</w:t>
            </w:r>
            <w:bookmarkEnd w:id="2375"/>
          </w:p>
        </w:tc>
        <w:tc>
          <w:tcPr>
            <w:tcW w:type="dxa" w:w="2438"/>
            <w:vAlign w:val="center"/>
            <w:tcMar>
              <w:top w:w="70" w:type="dxa"/>
              <w:start w:w="80" w:type="dxa"/>
              <w:bottom w:w="70" w:type="dxa"/>
              <w:end w:w="80" w:type="dxa"/>
            </w:tcMar>
            <w:shd w:fill="FFFFFF"/>
          </w:tcPr>
          <w:p>
            <w:pPr>
              <w:jc w:val="left"/>
            </w:pPr>
            <w:r/>
            <w:r>
              <w:rPr>
                <w:b w:val="0"/>
                <w:sz w:val="16"/>
              </w:rPr>
              <w:t>Построить interval VFC computation.</w:t>
            </w:r>
          </w:p>
        </w:tc>
        <w:tc>
          <w:tcPr>
            <w:tcW w:type="dxa" w:w="2438"/>
            <w:vAlign w:val="center"/>
            <w:tcMar>
              <w:top w:w="70" w:type="dxa"/>
              <w:start w:w="80" w:type="dxa"/>
              <w:bottom w:w="70" w:type="dxa"/>
              <w:end w:w="80" w:type="dxa"/>
            </w:tcMar>
            <w:shd w:fill="FFFFFF"/>
          </w:tcPr>
          <w:p>
            <w:pPr>
              <w:jc w:val="center"/>
            </w:pPr>
            <w:r/>
            <w:r>
              <w:rPr>
                <w:b w:val="0"/>
                <w:sz w:val="16"/>
              </w:rPr>
              <w:t>COMP/OPEN</w:t>
            </w:r>
          </w:p>
        </w:tc>
        <w:tc>
          <w:tcPr>
            <w:tcW w:type="dxa" w:w="2438"/>
            <w:vAlign w:val="center"/>
            <w:tcMar>
              <w:top w:w="70" w:type="dxa"/>
              <w:start w:w="80" w:type="dxa"/>
              <w:bottom w:w="70" w:type="dxa"/>
              <w:end w:w="80" w:type="dxa"/>
            </w:tcMar>
            <w:shd w:fill="FFFFFF"/>
          </w:tcPr>
          <w:p>
            <w:pPr>
              <w:jc w:val="left"/>
            </w:pPr>
            <w:r/>
            <w:r>
              <w:rPr>
                <w:b w:val="0"/>
                <w:sz w:val="16"/>
              </w:rPr>
              <w:t>Exact arithmetic or certified bounds.</w:t>
            </w:r>
          </w:p>
        </w:tc>
      </w:tr>
      <w:tr>
        <w:trPr>
          <w:cantSplit/>
        </w:trPr>
        <w:tc>
          <w:tcPr>
            <w:tcW w:type="dxa" w:w="2438"/>
            <w:vAlign w:val="center"/>
            <w:tcMar>
              <w:top w:w="70" w:type="dxa"/>
              <w:start w:w="80" w:type="dxa"/>
              <w:bottom w:w="70" w:type="dxa"/>
              <w:end w:w="80" w:type="dxa"/>
            </w:tcMar>
            <w:shd w:fill="F2F4F7"/>
          </w:tcPr>
          <w:p>
            <w:bookmarkStart w:id="2376" w:name="po_280"/>
            <w:pPr>
              <w:jc w:val="center"/>
            </w:pPr>
            <w:r/>
            <w:r>
              <w:rPr>
                <w:b w:val="0"/>
                <w:sz w:val="16"/>
              </w:rPr>
              <w:t>T2-PO-280</w:t>
            </w:r>
            <w:bookmarkEnd w:id="2376"/>
          </w:p>
        </w:tc>
        <w:tc>
          <w:tcPr>
            <w:tcW w:type="dxa" w:w="2438"/>
            <w:vAlign w:val="center"/>
            <w:tcMar>
              <w:top w:w="70" w:type="dxa"/>
              <w:start w:w="80" w:type="dxa"/>
              <w:bottom w:w="70" w:type="dxa"/>
              <w:end w:w="80" w:type="dxa"/>
            </w:tcMar>
            <w:shd w:fill="F2F4F7"/>
          </w:tcPr>
          <w:p>
            <w:pPr>
              <w:jc w:val="left"/>
            </w:pPr>
            <w:r/>
            <w:r>
              <w:rPr>
                <w:b w:val="0"/>
                <w:sz w:val="16"/>
              </w:rPr>
              <w:t>Заморозить VFC-ENUM-PROB certificate.</w:t>
            </w:r>
          </w:p>
        </w:tc>
        <w:tc>
          <w:tcPr>
            <w:tcW w:type="dxa" w:w="2438"/>
            <w:vAlign w:val="center"/>
            <w:tcMar>
              <w:top w:w="70" w:type="dxa"/>
              <w:start w:w="80" w:type="dxa"/>
              <w:bottom w:w="70" w:type="dxa"/>
              <w:end w:w="80" w:type="dxa"/>
            </w:tcMar>
            <w:shd w:fill="F2F4F7"/>
          </w:tcPr>
          <w:p>
            <w:pPr>
              <w:jc w:val="center"/>
            </w:pPr>
            <w:r/>
            <w:r>
              <w:rPr>
                <w:b w:val="0"/>
                <w:sz w:val="16"/>
              </w:rPr>
              <w:t>COMP</w:t>
            </w:r>
          </w:p>
        </w:tc>
        <w:tc>
          <w:tcPr>
            <w:tcW w:type="dxa" w:w="2438"/>
            <w:vAlign w:val="center"/>
            <w:tcMar>
              <w:top w:w="70" w:type="dxa"/>
              <w:start w:w="80" w:type="dxa"/>
              <w:bottom w:w="70" w:type="dxa"/>
              <w:end w:w="80" w:type="dxa"/>
            </w:tcMar>
            <w:shd w:fill="F2F4F7"/>
          </w:tcPr>
          <w:p>
            <w:pPr>
              <w:jc w:val="left"/>
            </w:pPr>
            <w:r/>
            <w:r>
              <w:rPr>
                <w:b w:val="0"/>
                <w:sz w:val="16"/>
              </w:rPr>
              <w:t>VFC-01-VFC-30 and hashes.</w:t>
            </w:r>
          </w:p>
        </w:tc>
      </w:tr>
      <w:tr>
        <w:trPr>
          <w:cantSplit/>
        </w:trPr>
        <w:tc>
          <w:tcPr>
            <w:tcW w:type="dxa" w:w="2438"/>
            <w:vAlign w:val="center"/>
            <w:tcMar>
              <w:top w:w="70" w:type="dxa"/>
              <w:start w:w="80" w:type="dxa"/>
              <w:bottom w:w="70" w:type="dxa"/>
              <w:end w:w="80" w:type="dxa"/>
            </w:tcMar>
            <w:shd w:fill="FFFFFF"/>
          </w:tcPr>
          <w:p>
            <w:bookmarkStart w:id="2377" w:name="po_281"/>
            <w:pPr>
              <w:jc w:val="center"/>
            </w:pPr>
            <w:r/>
            <w:r>
              <w:rPr>
                <w:b w:val="0"/>
                <w:sz w:val="16"/>
              </w:rPr>
              <w:t>T2-PO-281</w:t>
            </w:r>
            <w:bookmarkEnd w:id="2377"/>
          </w:p>
        </w:tc>
        <w:tc>
          <w:tcPr>
            <w:tcW w:type="dxa" w:w="2438"/>
            <w:vAlign w:val="center"/>
            <w:tcMar>
              <w:top w:w="70" w:type="dxa"/>
              <w:start w:w="80" w:type="dxa"/>
              <w:bottom w:w="70" w:type="dxa"/>
              <w:end w:w="80" w:type="dxa"/>
            </w:tcMar>
            <w:shd w:fill="FFFFFF"/>
          </w:tcPr>
          <w:p>
            <w:pPr>
              <w:jc w:val="left"/>
            </w:pPr>
            <w:r/>
            <w:r>
              <w:rPr>
                <w:b w:val="0"/>
                <w:sz w:val="16"/>
              </w:rPr>
              <w:t>Заблокировать автоматический physical/probability export.</w:t>
            </w:r>
          </w:p>
        </w:tc>
        <w:tc>
          <w:tcPr>
            <w:tcW w:type="dxa" w:w="2438"/>
            <w:vAlign w:val="center"/>
            <w:tcMar>
              <w:top w:w="70" w:type="dxa"/>
              <w:start w:w="80" w:type="dxa"/>
              <w:bottom w:w="70" w:type="dxa"/>
              <w:end w:w="80" w:type="dxa"/>
            </w:tcMar>
            <w:shd w:fill="FFFFFF"/>
          </w:tcPr>
          <w:p>
            <w:pPr>
              <w:jc w:val="center"/>
            </w:pPr>
            <w:r/>
            <w:r>
              <w:rPr>
                <w:b w:val="0"/>
                <w:sz w:val="16"/>
              </w:rPr>
              <w:t>CLOSED</w:t>
            </w:r>
          </w:p>
        </w:tc>
        <w:tc>
          <w:tcPr>
            <w:tcW w:type="dxa" w:w="2438"/>
            <w:vAlign w:val="center"/>
            <w:tcMar>
              <w:top w:w="70" w:type="dxa"/>
              <w:start w:w="80" w:type="dxa"/>
              <w:bottom w:w="70" w:type="dxa"/>
              <w:end w:w="80" w:type="dxa"/>
            </w:tcMar>
            <w:shd w:fill="FFFFFF"/>
          </w:tcPr>
          <w:p>
            <w:pPr>
              <w:jc w:val="left"/>
            </w:pPr>
            <w:r/>
            <w:r>
              <w:rPr>
                <w:b w:val="0"/>
                <w:sz w:val="16"/>
              </w:rPr>
              <w:t>Probability firewall; B8.</w:t>
            </w:r>
          </w:p>
        </w:tc>
      </w:tr>
      <w:tr>
        <w:trPr>
          <w:cantSplit/>
        </w:trPr>
        <w:tc>
          <w:tcPr>
            <w:tcW w:type="dxa" w:w="2438"/>
            <w:vAlign w:val="center"/>
            <w:tcMar>
              <w:top w:w="70" w:type="dxa"/>
              <w:start w:w="80" w:type="dxa"/>
              <w:bottom w:w="70" w:type="dxa"/>
              <w:end w:w="80" w:type="dxa"/>
            </w:tcMar>
            <w:shd w:fill="F2F4F7"/>
          </w:tcPr>
          <w:p>
            <w:bookmarkStart w:id="2378" w:name="po_282"/>
            <w:pPr>
              <w:jc w:val="center"/>
            </w:pPr>
            <w:r/>
            <w:r>
              <w:rPr>
                <w:b w:val="0"/>
                <w:sz w:val="16"/>
              </w:rPr>
              <w:t>T2-PO-282</w:t>
            </w:r>
            <w:bookmarkEnd w:id="2378"/>
          </w:p>
        </w:tc>
        <w:tc>
          <w:tcPr>
            <w:tcW w:type="dxa" w:w="2438"/>
            <w:vAlign w:val="center"/>
            <w:tcMar>
              <w:top w:w="70" w:type="dxa"/>
              <w:start w:w="80" w:type="dxa"/>
              <w:bottom w:w="70" w:type="dxa"/>
              <w:end w:w="80" w:type="dxa"/>
            </w:tcMar>
            <w:shd w:fill="F2F4F7"/>
          </w:tcPr>
          <w:p>
            <w:pPr>
              <w:jc w:val="left"/>
            </w:pPr>
            <w:r/>
            <w:r>
              <w:rPr>
                <w:b w:val="0"/>
                <w:sz w:val="16"/>
              </w:rPr>
              <w:t>Закрыть главную теорему v0.16.</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All mathematical and empirical bridges.</w:t>
            </w:r>
          </w:p>
        </w:tc>
      </w:tr>
    </w:tbl>
    <w:p>
      <w:bookmarkStart w:id="1165" w:name="h_2528"/>
      <w:pPr>
        <w:pStyle w:val="Heading1"/>
        <w:keepNext/>
      </w:pPr>
      <w:r>
        <w:t>236. Prior art и граница авторского вклада</w:t>
      </w:r>
      <w:bookmarkEnd w:id="1165"/>
    </w:p>
    <w:p>
      <w:r>
        <w:t>Классический prior art главы включает intersection theory и refined Gysin maps; intrinsic normal cone и perfect obstruction theory; virtual moduli cycles; Gromov-Witten classes; virtual localization; weighted Euler-characteristic интерпретацию Donaldson-Thomas invariants. Авторский вклад настоящей главы состоит не в переименовании virtual fundamental class, а в его встраивании в blocker-safe архитектуру KLT-RBD: отдельные VirtCert, Reper/D/Dom, два горизонта, двухступенчатый вердикт и доказанный запрет универсальной вероятностной интерпретации.</w:t>
      </w:r>
    </w:p>
    <w:p>
      <w:pPr/>
      <w:r>
        <w:t>[V0.16-1] Fulton, W. Intersection Theory. 2nd ed., Springer, 1998. DOI 10.1007/978-1-4612-1700-8. [классический источник]</w:t>
      </w:r>
    </w:p>
    <w:p>
      <w:pPr/>
      <w:r>
        <w:t>[V0.16-2] Behrend, K.; Fantechi, B. The Intrinsic Normal Cone. Invent. Math. 128 (1997), 45-88. arXiv: alg-geom/9601010. [первичный источник]</w:t>
      </w:r>
    </w:p>
    <w:p>
      <w:pPr/>
      <w:r>
        <w:t>[V0.16-3] Li, J.; Tian, G. Virtual Moduli Cycles and Gromov-Witten Invariants of Algebraic Varieties. JAMS 11 (1998), 119-174. arXiv: alg-geom/9602007. [первичный источник]</w:t>
      </w:r>
    </w:p>
    <w:p>
      <w:pPr/>
      <w:r>
        <w:t>[V0.16-4] Kontsevich, M.; Manin, Yu. Gromov-Witten Classes, Quantum Cohomology, and Enumerative Geometry. Comm. Math. Phys. 164 (1994), 525-562. arXiv: hep-th/9402147. [первичный источник]</w:t>
      </w:r>
    </w:p>
    <w:p>
      <w:pPr/>
      <w:r>
        <w:t>[V0.16-5] Graber, T.; Pandharipande, R. Localization of Virtual Classes. Invent. Math. 135 (1999), 487-518. arXiv: alg-geom/9708001. [первичный источник]</w:t>
      </w:r>
    </w:p>
    <w:p>
      <w:pPr/>
      <w:r>
        <w:t>[V0.16-6] Behrend, K. Donaldson-Thomas Type Invariants via Microlocal Geometry. Ann. Math. 170 (2009), 1307-1338. arXiv: math/0507523. [первичный источник]</w:t>
      </w:r>
    </w:p>
    <w:p>
      <w:pPr/>
      <w:r>
        <w:t>[V0.16-7] Behrend, K.; Fantechi, B. Symmetric Obstruction Theories and Hilbert Schemes of Points on Threefolds. Algebra Number Theory 2 (2008), 313-345. [первичный источник]</w:t>
      </w:r>
    </w:p>
    <w:p>
      <w:pPr/>
      <w:r>
        <w:t>[V0.16-8] Stacks Project. Chow Groups of Spaces; Cotangent Complex; Obstruction Theories; Gysin Maps. [справочный первичный корпус]</w:t>
      </w:r>
    </w:p>
    <w:p>
      <w:pPr/>
      <w:r>
        <w:t>[V0.16-9] Kurpishev, I. B. Том I v197 RU; Том II T2-RP-v0.1-v0.15. [внутренний авторский корпус]</w:t>
      </w:r>
    </w:p>
    <w:p>
      <w:bookmarkStart w:id="1166" w:name="h_2539"/>
      <w:pPr>
        <w:pStyle w:val="Heading1"/>
        <w:keepNext/>
      </w:pPr>
      <w:r>
        <w:t>237. Контрольная точка и граница вывода</w:t>
      </w:r>
      <w:bookmarkEnd w:id="1166"/>
    </w:p>
    <w:p>
      <w:bookmarkStart w:id="1935" w:name="f_19_25"/>
      <w:pPr>
        <w:pStyle w:val="Quote"/>
        <w:keepLines/>
      </w:pPr>
      <w:r>
        <w:t>truth_layer_promotion=0; checkpoint=T2-RP-v0.16; next=T2-RP-v0.17.      (19.25)</w:t>
      </w:r>
      <w:bookmarkEnd w:id="1935"/>
    </w:p>
    <w:p>
      <w:r>
        <w:t>Глава 19 построила virtual/enumerative слой предсказательного метода и одновременно установила его жёсткий предел: virtual fundamental class и его интегралы являются математическими инвариантами при собственных гипотезах, но не вероятностями будущих событий. Вероятностный прогноз появляется только после отдельного пространства исходов, меры, link-модели, калибровки, transportability-аудита и независимого внешнего запуска. До этого система не “оценивает шанс”, а честно сообщает PROBABILITY-UNAVAILABLE.</w:t>
      </w:r>
    </w:p>
    <w:p>
      <w:pPr>
        <w:pStyle w:val="Small"/>
      </w:pPr>
      <w:r>
        <w:t>Следующая сборка tom2_v0_17 развивает категорифицированные, motivic и refined virtual invariants, generating series, функциональные уравнения и строгий запрет трактовать коэффициенты производящих рядов как временную динамику без эволюционного оператора и эмпирического моста.</w:t>
      </w:r>
    </w:p>
    <w:p>
      <w:pPr>
        <w:pStyle w:val="Small"/>
      </w:pPr>
      <w:r>
        <w:t>checkpoint=T2-RP-v0.16; source=T2-RP-v0.15; truth_layer_promotion=0; next=T2-RP-v0.17.</w:t>
      </w:r>
    </w:p>
    <w:p>
      <w:bookmarkStart w:id="1167" w:name="h_2544"/>
      <w:pPr>
        <w:pStyle w:val="Heading1"/>
        <w:keepNext/>
        <w:pageBreakBefore/>
      </w:pPr>
      <w:r>
        <w:t>Глава 20. Категорифицированные, мотивные и уточнённые виртуальные инварианты</w:t>
      </w:r>
      <w:bookmarkEnd w:id="1167"/>
    </w:p>
    <w:p>
      <w:pPr/>
      <w:r>
        <w:t>Глава 19 построила виртуальный цикл и запретила считать его степенью вероятности. Настоящая глава поднимает носитель на следующий уровень: от числа и класса к категории, мотиву, mixed-Hodge или cohomological объекту, а затем к completed generating series. Центральная задача состоит не в производстве ещё более впечатляющей формулы, а в точном учёте того, какие данные сохраняются при декатегорификации и какие не возникают вообще. Главный предел главы: grading, charge и степень модуля не являются временем до тех пор, пока не заданы временная шкала, оператор эволюции и наблюдательный мост.</w:t>
      </w:r>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4876"/>
            <w:shd w:fill="17345F"/>
            <w:tcMar>
              <w:top w:w="120" w:type="dxa"/>
              <w:start w:w="130" w:type="dxa"/>
              <w:bottom w:w="120" w:type="dxa"/>
              <w:end w:w="130" w:type="dxa"/>
            </w:tcMar>
            <w:vAlign w:val="center"/>
          </w:tcPr>
          <w:p>
            <w:pPr>
              <w:spacing w:after="0" w:line="252" w:lineRule="auto"/>
            </w:pPr>
            <w:r>
              <w:rPr>
                <w:b/>
                <w:color w:val="FFFFFF"/>
                <w:sz w:val="18"/>
              </w:rPr>
              <w:t>ОНТОЛОГИЯ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Категорифицированный инвариант является объектом категории с морфизмами, расширениями, градуировками и возможными higher-структурами. Его класс в K₀, мотив, Hodge-полином и число являются разными уровнями бытия математического носителя.</w:t>
            </w:r>
          </w:p>
        </w:tc>
      </w:tr>
      <w:tr>
        <w:trPr>
          <w:cantSplit/>
        </w:trPr>
        <w:tc>
          <w:tcPr>
            <w:tcW w:type="dxa" w:w="4876"/>
            <w:shd w:fill="17345F"/>
            <w:tcMar>
              <w:top w:w="120" w:type="dxa"/>
              <w:start w:w="130" w:type="dxa"/>
              <w:bottom w:w="120" w:type="dxa"/>
              <w:end w:w="130" w:type="dxa"/>
            </w:tcMar>
            <w:vAlign w:val="center"/>
          </w:tcPr>
          <w:p>
            <w:pPr>
              <w:spacing w:after="0" w:line="252" w:lineRule="auto"/>
            </w:pPr>
            <w:r>
              <w:rPr>
                <w:b/>
                <w:color w:val="FFFFFF"/>
                <w:sz w:val="18"/>
              </w:rPr>
              <w:t>ГНОСЕОЛОГИЯ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Каждый переход вниз по лестнице реализаций может быть неконсервативным. Равенство числовых специализаций не даёт права восстанавливать категорию или мотив без отдельной теоремы о консервативности.</w:t>
            </w:r>
          </w:p>
        </w:tc>
      </w:tr>
      <w:tr>
        <w:trPr>
          <w:cantSplit/>
        </w:trPr>
        <w:tc>
          <w:tcPr>
            <w:tcW w:type="dxa" w:w="4876"/>
            <w:shd w:fill="17345F"/>
            <w:tcMar>
              <w:top w:w="120" w:type="dxa"/>
              <w:start w:w="130" w:type="dxa"/>
              <w:bottom w:w="120" w:type="dxa"/>
              <w:end w:w="130" w:type="dxa"/>
            </w:tcMar>
            <w:vAlign w:val="center"/>
          </w:tcPr>
          <w:p>
            <w:pPr>
              <w:spacing w:after="0" w:line="252" w:lineRule="auto"/>
            </w:pPr>
            <w:r>
              <w:rPr>
                <w:b/>
                <w:color w:val="FFFFFF"/>
                <w:sz w:val="18"/>
              </w:rPr>
              <w:t>ФЕНОМЕНОЛОГИЯ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Производящий ряд показывает распределение инвариантов по зарядам, степеням или классам. Последовательность коэффициентов похожа на “историю”, но это сходство является визуальным, а не динамическим.</w:t>
            </w:r>
          </w:p>
        </w:tc>
      </w:tr>
      <w:tr>
        <w:trPr>
          <w:cantSplit/>
        </w:trPr>
        <w:tc>
          <w:tcPr>
            <w:tcW w:type="dxa" w:w="4876"/>
            <w:shd w:fill="A87312"/>
            <w:tcMar>
              <w:top w:w="120" w:type="dxa"/>
              <w:start w:w="130" w:type="dxa"/>
              <w:bottom w:w="120" w:type="dxa"/>
              <w:end w:w="130" w:type="dxa"/>
            </w:tcMar>
            <w:vAlign w:val="center"/>
          </w:tcPr>
          <w:p>
            <w:pPr>
              <w:spacing w:after="0" w:line="252" w:lineRule="auto"/>
            </w:pPr>
            <w:r>
              <w:rPr>
                <w:b/>
                <w:color w:val="FFFFFF"/>
                <w:sz w:val="18"/>
              </w:rPr>
              <w:t>ГРАНИЦА</w:t>
            </w:r>
          </w:p>
        </w:tc>
        <w:tc>
          <w:tcPr>
            <w:tcW w:type="dxa" w:w="4876"/>
            <w:shd w:fill="F7EED8"/>
            <w:tcMar>
              <w:top w:w="120" w:type="dxa"/>
              <w:start w:w="130" w:type="dxa"/>
              <w:bottom w:w="120" w:type="dxa"/>
              <w:end w:w="130" w:type="dxa"/>
            </w:tcMar>
            <w:vAlign w:val="center"/>
          </w:tcPr>
          <w:p>
            <w:pPr>
              <w:spacing w:after="0" w:line="252" w:lineRule="auto"/>
            </w:pPr>
            <w:r>
              <w:rPr>
                <w:b w:val="0"/>
                <w:sz w:val="18"/>
              </w:rPr>
              <w:t>Глава не строит общую motivic Donaldson-Thomas theory для NAPG и не вводит физическую BPS-интерпретацию. Все такие мосты сохраняют статус COND. Коэффициент формального ряда не считается состоянием во времени без τ, U(t,s), наблюдаемой и EXT-RUN.</w:t>
            </w:r>
          </w:p>
        </w:tc>
      </w:tr>
    </w:tbl>
    <w:p>
      <w:pPr>
        <w:spacing w:after="0"/>
      </w:pPr>
    </w:p>
    <w:p>
      <w:bookmarkStart w:id="1168" w:name="h_2547"/>
      <w:pPr>
        <w:pStyle w:val="Heading1"/>
        <w:keepNext/>
      </w:pPr>
      <w:r>
        <w:t>238. Лестница носителей и правило неповышения статуса</w:t>
      </w:r>
      <w:bookmarkEnd w:id="1168"/>
    </w:p>
    <w:p>
      <w:bookmarkStart w:id="1642" w:name="s_DEF_20_1"/>
      <w:pPr/>
      <w:r>
        <w:t>Определение 20.1. Лестницей refined-носителей называется диаграмма</w:t>
      </w:r>
      <w:bookmarkEnd w:id="1642"/>
    </w:p>
    <w:p>
      <w:bookmarkStart w:id="1936" w:name="f_20_1"/>
      <w:pPr>
        <w:pStyle w:val="Quote"/>
        <w:jc w:val="center"/>
      </w:pPr>
      <w:r>
        <w:t>𝕍_γ ∈ 𝒞_γ  →  [𝕍_γ] ∈ K₀(𝒞_γ)  →  𝓜_γ ∈ R_mot  →  Real(𝓜_γ)  →  I_γ ∈ R_num.  (20.1)</w:t>
      </w:r>
      <w:bookmarkEnd w:id="1936"/>
    </w:p>
    <w:p>
      <w:pPr/>
      <w:r>
        <w:t>Здесь 𝒞_γ является категорией или стабильной ∞-категорией объектов класса γ; K₀ выполняет декатегорификацию; R_mot является выбранным мотивным кольцом или его локализацией/пополнением; Real обозначает Hodge-, ℓ-adic-, Poincaré- или Euler-реализацию; I_γ является числовым либо полиномиальным инвариантом.</w:t>
      </w:r>
    </w:p>
    <w:p>
      <w:pPr/>
      <w:r>
        <w:t>Правило 20.A. Стрелки (20.1) направлены от более богатого носителя к более грубому. Обратная стрелка не допускается без отдельно доказанного lifting/reconstruction theorem. В частности, равенство I_γ=I_γ′ не означает эквивалентности 𝕍_γ≃𝕍_γ′.</w:t>
      </w:r>
    </w:p>
    <w:p>
      <w:pPr>
        <w:jc w:val="center"/>
      </w:pPr>
      <w:r>
        <w:drawing>
          <wp:inline xmlns:a="http://schemas.openxmlformats.org/drawingml/2006/main" xmlns:pic="http://schemas.openxmlformats.org/drawingml/2006/picture">
            <wp:extent cx="5796000" cy="3401889"/>
            <wp:docPr id="52" name="Picture 52" descr="Рисунок 20.1. Лестница категорификации, мотивных реализаций и информационных потерь. Собственная схема Тома II." title="Рисунок 20.1. Лестница категорификации, мотивных реализаций и информационных потерь. Собственная схема Тома II."/>
            <wp:cNvGraphicFramePr>
              <a:graphicFrameLocks noChangeAspect="1"/>
            </wp:cNvGraphicFramePr>
            <a:graphic>
              <a:graphicData uri="http://schemas.openxmlformats.org/drawingml/2006/picture">
                <pic:pic>
                  <pic:nvPicPr>
                    <pic:cNvPr id="0" name="fig20_1.png" descr="Рисунок 20.1. Лестница категорификации, мотивных реализаций и информационных потерь. Собственная схема Тома II." title="Рисунок 20.1. Лестница категорификации, мотивных реализаций и информационных потерь. Собственная схема Тома II."/>
                    <pic:cNvPicPr/>
                  </pic:nvPicPr>
                  <pic:blipFill>
                    <a:blip r:embed="rId89"/>
                    <a:stretch>
                      <a:fillRect/>
                    </a:stretch>
                  </pic:blipFill>
                  <pic:spPr>
                    <a:xfrm>
                      <a:off x="0" y="0"/>
                      <a:ext cx="5796000" cy="3401889"/>
                    </a:xfrm>
                    <a:prstGeom prst="rect"/>
                  </pic:spPr>
                </pic:pic>
              </a:graphicData>
            </a:graphic>
          </wp:inline>
        </w:drawing>
      </w:r>
    </w:p>
    <w:p>
      <w:pPr>
        <w:pStyle w:val="Caption"/>
        <w:keepNext w:val="0"/>
        <w:jc w:val="center"/>
      </w:pPr>
      <w:r>
        <w:t>Рисунок 20.1. Лестница категорификации, мотивных реализаций и информационных потерь. Собственная схема Тома II.</w:t>
      </w:r>
    </w:p>
    <w:p>
      <w:bookmarkStart w:id="1169" w:name="h_2554"/>
      <w:pPr>
        <w:pStyle w:val="Heading1"/>
        <w:keepNext/>
      </w:pPr>
      <w:r>
        <w:t>239. Категорификация и декатегорификация</w:t>
      </w:r>
      <w:bookmarkEnd w:id="1169"/>
    </w:p>
    <w:p>
      <w:bookmarkStart w:id="1643" w:name="s_DEF_20_2"/>
      <w:pPr/>
      <w:r>
        <w:t>Определение 20.2. Категорификацией числового или кольцевого инварианта A называется выбор категории 𝒞, дополнительной структуры на 𝒞 и отображения декатегорификации dec:K₀(𝒞)→A, при котором заданный инвариант получается из класса категоризированного объекта. Это определение фиксирует минимальную структуру; в конкретной теории могут потребоваться dg-, A∞-, stable-∞- или monoidal-данные.</w:t>
      </w:r>
      <w:bookmarkEnd w:id="1643"/>
    </w:p>
    <w:p>
      <w:pPr/>
      <w:r>
        <w:t>Grothendieck-группа аддитивной/триангулированной категории порождается символами [X] с отношениями аддитивности. Для точного треугольника X→Y→Z→X[1] действует</w:t>
      </w:r>
    </w:p>
    <w:p>
      <w:bookmarkStart w:id="1937" w:name="f_20_2"/>
      <w:pPr>
        <w:pStyle w:val="Quote"/>
        <w:jc w:val="center"/>
      </w:pPr>
      <w:r>
        <w:t>[Y]=[X]+[Z].  (20.2)</w:t>
      </w:r>
      <w:bookmarkEnd w:id="1937"/>
    </w:p>
    <w:p>
      <w:pPr/>
      <w:r>
        <w:t>Отношение (20.2) намеренно стирает конкретный класс расширения. Поэтому K₀ хранит additive shadow, но не всю геометрию Hom, Ext, t-структур и higher compositions.</w:t>
      </w:r>
    </w:p>
    <w:p>
      <w:bookmarkStart w:id="1644" w:name="s_THM_20_1"/>
      <w:pPr/>
      <w:r>
        <w:t>Теорема 20.1 (Decategorification no-go). [THM] Функтор K₀ не является консервативным на естественных классах tensor-triangulated categories. Существуют неэквивалентные категории с изоморфными Grothendieck-группами.</w:t>
      </w:r>
      <w:bookmarkEnd w:id="1644"/>
    </w:p>
    <w:p>
      <w:pPr/>
      <w:r>
        <w:t>Доказательство. Для поля k рассмотрим Perf(k) и Perf(k[ε]/(ε²)). Оба базовых кольца локальны, поэтому K₀ их категорий совершенных комплексов изоморфен ℤ посредством ранга. Однако tensor-unit имеет кольцо эндоморфизмов k в первом случае и k[ε]/(ε²) во втором. Tensor-triangulated equivalence должна сохранять unit и его эндоморфизмы, что невозможно. Следовательно, совпадение K₀ не восстанавливает категорию.</w:t>
      </w:r>
    </w:p>
    <w:p>
      <w:bookmarkStart w:id="1170" w:name="h_2561"/>
      <w:pPr>
        <w:pStyle w:val="Heading1"/>
        <w:keepNext/>
      </w:pPr>
      <w:r>
        <w:t>240. Мотивный носитель и Grothendieck-кольцо разновидностей</w:t>
      </w:r>
      <w:bookmarkEnd w:id="1170"/>
    </w:p>
    <w:p>
      <w:pPr/>
      <w:r>
        <w:t>Пусть k — поле. Grothendieck-кольцо K₀(Var_k) порождается классами [X] k-разновидностей с scissors relation</w:t>
      </w:r>
    </w:p>
    <w:p>
      <w:bookmarkStart w:id="1938" w:name="f_20_3"/>
      <w:pPr>
        <w:pStyle w:val="Quote"/>
        <w:jc w:val="center"/>
      </w:pPr>
      <w:r>
        <w:t>[X]=[Z]+[X∖Z]  для замкнутого Z⊂X,   [X]·[Y]=[X×Y].  (20.3)</w:t>
      </w:r>
      <w:bookmarkEnd w:id="1938"/>
    </w:p>
    <w:p>
      <w:pPr/>
      <w:r>
        <w:t>Обозначим 𝕃=[𝔸¹] классом аффинной прямой. В motivic DT- и vanishing-cycle контекстах обычно требуется локализация по 𝕃, присоединение 𝕃^{1/2}, μ̂-эквивариантность и пополнение относительно размерности или эффективного конуса. Каждая такая операция меняет носитель и обязана входить в Evidence-D.</w:t>
      </w:r>
    </w:p>
    <w:p>
      <w:bookmarkStart w:id="1645" w:name="s_DEF_20_3"/>
      <w:pPr/>
      <w:r>
        <w:t>Определение 20.3. Motivic carrier NAPG-кандидата есть кортеж</w:t>
      </w:r>
      <w:bookmarkEnd w:id="1645"/>
    </w:p>
    <w:p>
      <w:bookmarkStart w:id="1939" w:name="f_20_4"/>
      <w:pPr>
        <w:pStyle w:val="Quote"/>
        <w:jc w:val="center"/>
      </w:pPr>
      <w:r>
        <w:t>MotCar=(R_mot, 𝕃^{1/2}, Fil, Comp, μ̂, or, src, D, Dom),  (20.4)</w:t>
      </w:r>
      <w:bookmarkEnd w:id="1939"/>
    </w:p>
    <w:p>
      <w:pPr/>
      <w:r>
        <w:t>где явно указаны коэффициентное кольцо, выбранная квадратная корень-мера, фильтрация и пополнение, монодромический слой, orientation data, происхождение и домен.</w:t>
      </w:r>
    </w:p>
    <w:p>
      <w:pPr/>
      <w:r>
        <w:t>Граница. Символ [X] является классом в конкретном Grothendieck-кольце. Он не равен множеству точек X, числу точек, Euler characteristic или вероятности.</w:t>
      </w:r>
    </w:p>
    <w:p>
      <w:bookmarkStart w:id="1171" w:name="h_2569"/>
      <w:pPr>
        <w:pStyle w:val="Heading1"/>
        <w:keepNext/>
      </w:pPr>
      <w:r>
        <w:t>241. Реализации и теорема числовой неразличимости</w:t>
      </w:r>
      <w:bookmarkEnd w:id="1171"/>
    </w:p>
    <w:p>
      <w:pPr/>
      <w:r>
        <w:t>Реализацией называется кольцевой или групповой гомоморфизм из мотивного носителя в более вычислимый объект. Типичные примеры: Hodge-Deligne polynomial E_c(X;u,v), weight polynomial, Poincaré polynomial и compactly supported Euler characteristic χ_c.</w:t>
      </w:r>
    </w:p>
    <w:p>
      <w:bookmarkStart w:id="1940" w:name="f_20_5"/>
      <w:pPr>
        <w:pStyle w:val="Quote"/>
        <w:jc w:val="center"/>
      </w:pPr>
      <w:r>
        <w:t>χ_c : K₀(Var_ℂ) → ℤ,      E_c : K₀(Var_ℂ) → ℤ[u,v].  (20.5)</w:t>
      </w:r>
      <w:bookmarkEnd w:id="1940"/>
    </w:p>
    <w:p>
      <w:bookmarkStart w:id="1646" w:name="s_THM_20_2"/>
      <w:pPr/>
      <w:r>
        <w:t>Теорема 20.2 (Numerical realization no-go). [THM] Euler-реализация χ_c не инъективна.</w:t>
      </w:r>
      <w:bookmarkEnd w:id="1646"/>
    </w:p>
    <w:p>
      <w:pPr/>
      <w:r>
        <w:t>Доказательство. Для точки pt и аффинной прямой 𝔸¹ имеем χ_c(pt)=1 и χ_c(𝔸¹)=1. Однако E_c(pt;u,v)=1, тогда как E_c(𝔸¹;u,v)=uv. Следовательно, их мотивные классы различаются по Hodge-реализации, хотя числовая Euler-реализация совпадает.</w:t>
      </w:r>
    </w:p>
    <w:p>
      <w:pPr/>
      <w:r>
        <w:t>Следствие. Числовой инвариант может быть устойчивым и воспроизводимым, но не быть полным. Предсказательный алгоритм обязан хранить realization ledger и запрещать обратное восстановление данных, потерянных специализацией.</w:t>
      </w:r>
    </w:p>
    <w:tbl>
      <w:tblPr>
        <w:tblStyle w:val="TableGrid"/>
        <w:tblW w:type="auto" w:w="0"/>
        <w:jc w:val="center"/>
        <w:tblLayout w:type="autofit"/>
        <w:tblLook w:firstColumn="1" w:firstRow="1" w:lastColumn="0" w:lastRow="0" w:noHBand="0" w:noVBand="1" w:val="04A0"/>
      </w:tblPr>
      <w:tblGrid>
        <w:gridCol w:w="2438"/>
        <w:gridCol w:w="2438"/>
        <w:gridCol w:w="2438"/>
        <w:gridCol w:w="2438"/>
      </w:tblGrid>
      <w:tr>
        <w:trPr>
          <w:tblHeader w:val="true"/>
          <w:cantSplit/>
        </w:trPr>
        <w:tc>
          <w:tcPr>
            <w:tcW w:type="dxa" w:w="680"/>
            <w:tcMar>
              <w:top w:w="90" w:type="dxa"/>
              <w:start w:w="110" w:type="dxa"/>
              <w:bottom w:w="90" w:type="dxa"/>
              <w:end w:w="110" w:type="dxa"/>
            </w:tcMar>
            <w:vAlign w:val="center"/>
            <w:shd w:fill="17345F"/>
          </w:tcPr>
          <w:p>
            <w:pPr>
              <w:spacing w:after="0" w:before="0" w:line="240" w:lineRule="auto"/>
            </w:pPr>
            <w:r>
              <w:rPr>
                <w:b/>
                <w:color w:val="FFFFFF"/>
                <w:sz w:val="16"/>
              </w:rPr>
              <w:t>Уровень</w:t>
            </w:r>
          </w:p>
        </w:tc>
        <w:tc>
          <w:tcPr>
            <w:tcW w:type="dxa" w:w="2154"/>
            <w:tcMar>
              <w:top w:w="90" w:type="dxa"/>
              <w:start w:w="110" w:type="dxa"/>
              <w:bottom w:w="90" w:type="dxa"/>
              <w:end w:w="110" w:type="dxa"/>
            </w:tcMar>
            <w:vAlign w:val="center"/>
            <w:shd w:fill="17345F"/>
          </w:tcPr>
          <w:p>
            <w:pPr>
              <w:spacing w:after="0" w:before="0" w:line="240" w:lineRule="auto"/>
            </w:pPr>
            <w:r>
              <w:rPr>
                <w:b/>
                <w:color w:val="FFFFFF"/>
                <w:sz w:val="16"/>
              </w:rPr>
              <w:t>Объект</w:t>
            </w:r>
          </w:p>
        </w:tc>
        <w:tc>
          <w:tcPr>
            <w:tcW w:type="dxa" w:w="2948"/>
            <w:tcMar>
              <w:top w:w="90" w:type="dxa"/>
              <w:start w:w="110" w:type="dxa"/>
              <w:bottom w:w="90" w:type="dxa"/>
              <w:end w:w="110" w:type="dxa"/>
            </w:tcMar>
            <w:vAlign w:val="center"/>
            <w:shd w:fill="17345F"/>
          </w:tcPr>
          <w:p>
            <w:pPr>
              <w:spacing w:after="0" w:before="0" w:line="240" w:lineRule="auto"/>
            </w:pPr>
            <w:r>
              <w:rPr>
                <w:b/>
                <w:color w:val="FFFFFF"/>
                <w:sz w:val="16"/>
              </w:rPr>
              <w:t>Сохраняет</w:t>
            </w:r>
          </w:p>
        </w:tc>
        <w:tc>
          <w:tcPr>
            <w:tcW w:type="dxa" w:w="3458"/>
            <w:tcMar>
              <w:top w:w="90" w:type="dxa"/>
              <w:start w:w="110" w:type="dxa"/>
              <w:bottom w:w="90" w:type="dxa"/>
              <w:end w:w="110" w:type="dxa"/>
            </w:tcMar>
            <w:vAlign w:val="center"/>
            <w:shd w:fill="17345F"/>
          </w:tcPr>
          <w:p>
            <w:pPr>
              <w:spacing w:after="0" w:before="0" w:line="240" w:lineRule="auto"/>
            </w:pPr>
            <w:r>
              <w:rPr>
                <w:b/>
                <w:color w:val="FFFFFF"/>
                <w:sz w:val="16"/>
              </w:rPr>
              <w:t>Может потерять</w:t>
            </w:r>
          </w:p>
        </w:tc>
      </w:tr>
      <w:tr>
        <w:trPr>
          <w:cantSplit/>
        </w:trPr>
        <w:tc>
          <w:tcPr>
            <w:tcW w:type="dxa" w:w="680"/>
            <w:tcMar>
              <w:top w:w="90" w:type="dxa"/>
              <w:start w:w="110" w:type="dxa"/>
              <w:bottom w:w="90" w:type="dxa"/>
              <w:end w:w="110" w:type="dxa"/>
            </w:tcMar>
            <w:vAlign w:val="center"/>
          </w:tcPr>
          <w:p>
            <w:pPr>
              <w:spacing w:after="0" w:before="0" w:line="240" w:lineRule="auto"/>
            </w:pPr>
            <w:r>
              <w:rPr>
                <w:b w:val="0"/>
                <w:sz w:val="16"/>
              </w:rPr>
              <w:t>C</w:t>
            </w:r>
          </w:p>
        </w:tc>
        <w:tc>
          <w:tcPr>
            <w:tcW w:type="dxa" w:w="2154"/>
            <w:tcMar>
              <w:top w:w="90" w:type="dxa"/>
              <w:start w:w="110" w:type="dxa"/>
              <w:bottom w:w="90" w:type="dxa"/>
              <w:end w:w="110" w:type="dxa"/>
            </w:tcMar>
            <w:vAlign w:val="center"/>
          </w:tcPr>
          <w:p>
            <w:pPr>
              <w:spacing w:after="0" w:before="0" w:line="240" w:lineRule="auto"/>
            </w:pPr>
            <w:r>
              <w:rPr>
                <w:b w:val="0"/>
                <w:sz w:val="16"/>
              </w:rPr>
              <w:t>𝕍γ∈𝒞γ</w:t>
            </w:r>
          </w:p>
        </w:tc>
        <w:tc>
          <w:tcPr>
            <w:tcW w:type="dxa" w:w="2948"/>
            <w:tcMar>
              <w:top w:w="90" w:type="dxa"/>
              <w:start w:w="110" w:type="dxa"/>
              <w:bottom w:w="90" w:type="dxa"/>
              <w:end w:w="110" w:type="dxa"/>
            </w:tcMar>
            <w:vAlign w:val="center"/>
          </w:tcPr>
          <w:p>
            <w:pPr>
              <w:spacing w:after="0" w:before="0" w:line="240" w:lineRule="auto"/>
            </w:pPr>
            <w:r>
              <w:rPr>
                <w:b w:val="0"/>
                <w:sz w:val="16"/>
              </w:rPr>
              <w:t>объекты, morphisms, extensions, higher structure</w:t>
            </w:r>
          </w:p>
        </w:tc>
        <w:tc>
          <w:tcPr>
            <w:tcW w:type="dxa" w:w="3458"/>
            <w:tcMar>
              <w:top w:w="90" w:type="dxa"/>
              <w:start w:w="110" w:type="dxa"/>
              <w:bottom w:w="90" w:type="dxa"/>
              <w:end w:w="110" w:type="dxa"/>
            </w:tcMar>
            <w:vAlign w:val="center"/>
          </w:tcPr>
          <w:p>
            <w:pPr>
              <w:spacing w:after="0" w:before="0" w:line="240" w:lineRule="auto"/>
            </w:pPr>
            <w:r>
              <w:rPr>
                <w:b w:val="0"/>
                <w:sz w:val="16"/>
              </w:rPr>
              <w:t>—</w:t>
            </w:r>
          </w:p>
        </w:tc>
      </w:tr>
      <w:tr>
        <w:trPr>
          <w:cantSplit/>
        </w:trPr>
        <w:tc>
          <w:tcPr>
            <w:tcW w:type="dxa" w:w="680"/>
            <w:tcMar>
              <w:top w:w="90" w:type="dxa"/>
              <w:start w:w="110" w:type="dxa"/>
              <w:bottom w:w="90" w:type="dxa"/>
              <w:end w:w="110" w:type="dxa"/>
            </w:tcMar>
            <w:vAlign w:val="center"/>
          </w:tcPr>
          <w:p>
            <w:pPr>
              <w:spacing w:after="0" w:before="0" w:line="240" w:lineRule="auto"/>
            </w:pPr>
            <w:r>
              <w:rPr>
                <w:b w:val="0"/>
                <w:sz w:val="16"/>
              </w:rPr>
              <w:t>K</w:t>
            </w:r>
          </w:p>
        </w:tc>
        <w:tc>
          <w:tcPr>
            <w:tcW w:type="dxa" w:w="2154"/>
            <w:tcMar>
              <w:top w:w="90" w:type="dxa"/>
              <w:start w:w="110" w:type="dxa"/>
              <w:bottom w:w="90" w:type="dxa"/>
              <w:end w:w="110" w:type="dxa"/>
            </w:tcMar>
            <w:vAlign w:val="center"/>
          </w:tcPr>
          <w:p>
            <w:pPr>
              <w:spacing w:after="0" w:before="0" w:line="240" w:lineRule="auto"/>
            </w:pPr>
            <w:r>
              <w:rPr>
                <w:b w:val="0"/>
                <w:sz w:val="16"/>
              </w:rPr>
              <w:t>[𝕍γ]∈K₀</w:t>
            </w:r>
          </w:p>
        </w:tc>
        <w:tc>
          <w:tcPr>
            <w:tcW w:type="dxa" w:w="2948"/>
            <w:tcMar>
              <w:top w:w="90" w:type="dxa"/>
              <w:start w:w="110" w:type="dxa"/>
              <w:bottom w:w="90" w:type="dxa"/>
              <w:end w:w="110" w:type="dxa"/>
            </w:tcMar>
            <w:vAlign w:val="center"/>
          </w:tcPr>
          <w:p>
            <w:pPr>
              <w:spacing w:after="0" w:before="0" w:line="240" w:lineRule="auto"/>
            </w:pPr>
            <w:r>
              <w:rPr>
                <w:b w:val="0"/>
                <w:sz w:val="16"/>
              </w:rPr>
              <w:t>аддитивные классы</w:t>
            </w:r>
          </w:p>
        </w:tc>
        <w:tc>
          <w:tcPr>
            <w:tcW w:type="dxa" w:w="3458"/>
            <w:tcMar>
              <w:top w:w="90" w:type="dxa"/>
              <w:start w:w="110" w:type="dxa"/>
              <w:bottom w:w="90" w:type="dxa"/>
              <w:end w:w="110" w:type="dxa"/>
            </w:tcMar>
            <w:vAlign w:val="center"/>
          </w:tcPr>
          <w:p>
            <w:pPr>
              <w:spacing w:after="0" w:before="0" w:line="240" w:lineRule="auto"/>
            </w:pPr>
            <w:r>
              <w:rPr>
                <w:b w:val="0"/>
                <w:sz w:val="16"/>
              </w:rPr>
              <w:t>extension classes, полный Hom/Ext</w:t>
            </w:r>
          </w:p>
        </w:tc>
      </w:tr>
      <w:tr>
        <w:trPr>
          <w:cantSplit/>
        </w:trPr>
        <w:tc>
          <w:tcPr>
            <w:tcW w:type="dxa" w:w="680"/>
            <w:tcMar>
              <w:top w:w="90" w:type="dxa"/>
              <w:start w:w="110" w:type="dxa"/>
              <w:bottom w:w="90" w:type="dxa"/>
              <w:end w:w="110" w:type="dxa"/>
            </w:tcMar>
            <w:vAlign w:val="center"/>
          </w:tcPr>
          <w:p>
            <w:pPr>
              <w:spacing w:after="0" w:before="0" w:line="240" w:lineRule="auto"/>
            </w:pPr>
            <w:r>
              <w:rPr>
                <w:b w:val="0"/>
                <w:sz w:val="16"/>
              </w:rPr>
              <w:t>M</w:t>
            </w:r>
          </w:p>
        </w:tc>
        <w:tc>
          <w:tcPr>
            <w:tcW w:type="dxa" w:w="2154"/>
            <w:tcMar>
              <w:top w:w="90" w:type="dxa"/>
              <w:start w:w="110" w:type="dxa"/>
              <w:bottom w:w="90" w:type="dxa"/>
              <w:end w:w="110" w:type="dxa"/>
            </w:tcMar>
            <w:vAlign w:val="center"/>
          </w:tcPr>
          <w:p>
            <w:pPr>
              <w:spacing w:after="0" w:before="0" w:line="240" w:lineRule="auto"/>
            </w:pPr>
            <w:r>
              <w:rPr>
                <w:b w:val="0"/>
                <w:sz w:val="16"/>
              </w:rPr>
              <w:t>𝓜γ∈R_mot</w:t>
            </w:r>
          </w:p>
        </w:tc>
        <w:tc>
          <w:tcPr>
            <w:tcW w:type="dxa" w:w="2948"/>
            <w:tcMar>
              <w:top w:w="90" w:type="dxa"/>
              <w:start w:w="110" w:type="dxa"/>
              <w:bottom w:w="90" w:type="dxa"/>
              <w:end w:w="110" w:type="dxa"/>
            </w:tcMar>
            <w:vAlign w:val="center"/>
          </w:tcPr>
          <w:p>
            <w:pPr>
              <w:spacing w:after="0" w:before="0" w:line="240" w:lineRule="auto"/>
            </w:pPr>
            <w:r>
              <w:rPr>
                <w:b w:val="0"/>
                <w:sz w:val="16"/>
              </w:rPr>
              <w:t>склейку, произведения, монодромию по выбранному носителю</w:t>
            </w:r>
          </w:p>
        </w:tc>
        <w:tc>
          <w:tcPr>
            <w:tcW w:type="dxa" w:w="3458"/>
            <w:tcMar>
              <w:top w:w="90" w:type="dxa"/>
              <w:start w:w="110" w:type="dxa"/>
              <w:bottom w:w="90" w:type="dxa"/>
              <w:end w:w="110" w:type="dxa"/>
            </w:tcMar>
            <w:vAlign w:val="center"/>
          </w:tcPr>
          <w:p>
            <w:pPr>
              <w:spacing w:after="0" w:before="0" w:line="240" w:lineRule="auto"/>
            </w:pPr>
            <w:r>
              <w:rPr>
                <w:b w:val="0"/>
                <w:sz w:val="16"/>
              </w:rPr>
              <w:t>конкретный категориальный lift</w:t>
            </w:r>
          </w:p>
        </w:tc>
      </w:tr>
      <w:tr>
        <w:trPr>
          <w:cantSplit/>
        </w:trPr>
        <w:tc>
          <w:tcPr>
            <w:tcW w:type="dxa" w:w="680"/>
            <w:tcMar>
              <w:top w:w="90" w:type="dxa"/>
              <w:start w:w="110" w:type="dxa"/>
              <w:bottom w:w="90" w:type="dxa"/>
              <w:end w:w="110" w:type="dxa"/>
            </w:tcMar>
            <w:vAlign w:val="center"/>
          </w:tcPr>
          <w:p>
            <w:pPr>
              <w:spacing w:after="0" w:before="0" w:line="240" w:lineRule="auto"/>
            </w:pPr>
            <w:r>
              <w:rPr>
                <w:b w:val="0"/>
                <w:sz w:val="16"/>
              </w:rPr>
              <w:t>R</w:t>
            </w:r>
          </w:p>
        </w:tc>
        <w:tc>
          <w:tcPr>
            <w:tcW w:type="dxa" w:w="2154"/>
            <w:tcMar>
              <w:top w:w="90" w:type="dxa"/>
              <w:start w:w="110" w:type="dxa"/>
              <w:bottom w:w="90" w:type="dxa"/>
              <w:end w:w="110" w:type="dxa"/>
            </w:tcMar>
            <w:vAlign w:val="center"/>
          </w:tcPr>
          <w:p>
            <w:pPr>
              <w:spacing w:after="0" w:before="0" w:line="240" w:lineRule="auto"/>
            </w:pPr>
            <w:r>
              <w:rPr>
                <w:b w:val="0"/>
                <w:sz w:val="16"/>
              </w:rPr>
              <w:t>E_c, P_t, W_t</w:t>
            </w:r>
          </w:p>
        </w:tc>
        <w:tc>
          <w:tcPr>
            <w:tcW w:type="dxa" w:w="2948"/>
            <w:tcMar>
              <w:top w:w="90" w:type="dxa"/>
              <w:start w:w="110" w:type="dxa"/>
              <w:bottom w:w="90" w:type="dxa"/>
              <w:end w:w="110" w:type="dxa"/>
            </w:tcMar>
            <w:vAlign w:val="center"/>
          </w:tcPr>
          <w:p>
            <w:pPr>
              <w:spacing w:after="0" w:before="0" w:line="240" w:lineRule="auto"/>
            </w:pPr>
            <w:r>
              <w:rPr>
                <w:b w:val="0"/>
                <w:sz w:val="16"/>
              </w:rPr>
              <w:t>градуированные размеры/веса</w:t>
            </w:r>
          </w:p>
        </w:tc>
        <w:tc>
          <w:tcPr>
            <w:tcW w:type="dxa" w:w="3458"/>
            <w:tcMar>
              <w:top w:w="90" w:type="dxa"/>
              <w:start w:w="110" w:type="dxa"/>
              <w:bottom w:w="90" w:type="dxa"/>
              <w:end w:w="110" w:type="dxa"/>
            </w:tcMar>
            <w:vAlign w:val="center"/>
          </w:tcPr>
          <w:p>
            <w:pPr>
              <w:spacing w:after="0" w:before="0" w:line="240" w:lineRule="auto"/>
            </w:pPr>
            <w:r>
              <w:rPr>
                <w:b w:val="0"/>
                <w:sz w:val="16"/>
              </w:rPr>
              <w:t>часть мотивной структуры</w:t>
            </w:r>
          </w:p>
        </w:tc>
      </w:tr>
      <w:tr>
        <w:trPr>
          <w:cantSplit/>
        </w:trPr>
        <w:tc>
          <w:tcPr>
            <w:tcW w:type="dxa" w:w="680"/>
            <w:tcMar>
              <w:top w:w="90" w:type="dxa"/>
              <w:start w:w="110" w:type="dxa"/>
              <w:bottom w:w="90" w:type="dxa"/>
              <w:end w:w="110" w:type="dxa"/>
            </w:tcMar>
            <w:vAlign w:val="center"/>
          </w:tcPr>
          <w:p>
            <w:pPr>
              <w:spacing w:after="0" w:before="0" w:line="240" w:lineRule="auto"/>
            </w:pPr>
            <w:r>
              <w:rPr>
                <w:b w:val="0"/>
                <w:sz w:val="16"/>
              </w:rPr>
              <w:t>N</w:t>
            </w:r>
          </w:p>
        </w:tc>
        <w:tc>
          <w:tcPr>
            <w:tcW w:type="dxa" w:w="2154"/>
            <w:tcMar>
              <w:top w:w="90" w:type="dxa"/>
              <w:start w:w="110" w:type="dxa"/>
              <w:bottom w:w="90" w:type="dxa"/>
              <w:end w:w="110" w:type="dxa"/>
            </w:tcMar>
            <w:vAlign w:val="center"/>
          </w:tcPr>
          <w:p>
            <w:pPr>
              <w:spacing w:after="0" w:before="0" w:line="240" w:lineRule="auto"/>
            </w:pPr>
            <w:r>
              <w:rPr>
                <w:b w:val="0"/>
                <w:sz w:val="16"/>
              </w:rPr>
              <w:t>χ_c, degree</w:t>
            </w:r>
          </w:p>
        </w:tc>
        <w:tc>
          <w:tcPr>
            <w:tcW w:type="dxa" w:w="2948"/>
            <w:tcMar>
              <w:top w:w="90" w:type="dxa"/>
              <w:start w:w="110" w:type="dxa"/>
              <w:bottom w:w="90" w:type="dxa"/>
              <w:end w:w="110" w:type="dxa"/>
            </w:tcMar>
            <w:vAlign w:val="center"/>
          </w:tcPr>
          <w:p>
            <w:pPr>
              <w:spacing w:after="0" w:before="0" w:line="240" w:lineRule="auto"/>
            </w:pPr>
            <w:r>
              <w:rPr>
                <w:b w:val="0"/>
                <w:sz w:val="16"/>
              </w:rPr>
              <w:t>одно число или конечный вектор</w:t>
            </w:r>
          </w:p>
        </w:tc>
        <w:tc>
          <w:tcPr>
            <w:tcW w:type="dxa" w:w="3458"/>
            <w:tcMar>
              <w:top w:w="90" w:type="dxa"/>
              <w:start w:w="110" w:type="dxa"/>
              <w:bottom w:w="90" w:type="dxa"/>
              <w:end w:w="110" w:type="dxa"/>
            </w:tcMar>
            <w:vAlign w:val="center"/>
          </w:tcPr>
          <w:p>
            <w:pPr>
              <w:spacing w:after="0" w:before="0" w:line="240" w:lineRule="auto"/>
            </w:pPr>
            <w:r>
              <w:rPr>
                <w:b w:val="0"/>
                <w:sz w:val="16"/>
              </w:rPr>
              <w:t>градуировки, знаки, носитель, branch data</w:t>
            </w:r>
          </w:p>
        </w:tc>
      </w:tr>
    </w:tbl>
    <w:p>
      <w:pPr>
        <w:spacing w:after="0"/>
      </w:pPr>
    </w:p>
    <w:p>
      <w:bookmarkStart w:id="1172" w:name="h_2576"/>
      <w:pPr>
        <w:pStyle w:val="Heading1"/>
        <w:keepNext/>
      </w:pPr>
      <w:r>
        <w:t>242. Power structures и плетистические операции</w:t>
      </w:r>
      <w:bookmarkEnd w:id="1172"/>
    </w:p>
    <w:p>
      <w:pPr/>
      <w:r>
        <w:t>Пусть R является полным λ-кольцом с Adams-операциями ψ_r и полным идеалом I. Для f∈I определяется plethystic exponential</w:t>
      </w:r>
    </w:p>
    <w:p>
      <w:bookmarkStart w:id="1941" w:name="f_20_6"/>
      <w:pPr>
        <w:pStyle w:val="Quote"/>
        <w:jc w:val="center"/>
      </w:pPr>
      <w:r>
        <w:t>PExp(f)=exp(Σ_{r≥1} ψ_r(f)/r),     PLog=PExp^{-1}.  (20.6)</w:t>
      </w:r>
      <w:bookmarkEnd w:id="1941"/>
    </w:p>
    <w:p>
      <w:pPr/>
      <w:r>
        <w:t>Формула (20.6) корректна только после спецификации коэффициентного кольца, пополнения и делимости, необходимой для экспоненты. В геометрическом power structure выражение A(t)^{[X]} кодирует конфигурации точек на X и не является обычным возведением чисел в степень.</w:t>
      </w:r>
    </w:p>
    <w:p>
      <w:bookmarkStart w:id="1647" w:name="s_LEM_20_3"/>
      <w:pPr/>
      <w:r>
        <w:t>Лемма 20.3. [THM] Если R полно относительно I и ψ_r(I)⊂I^r, то PExp задаёт биекцию между I и 1+I. Доказательство следует из формальной экспоненты и логарифма в полном фильтрованном кольце. При отсутствии полноты равенство является лишь формальным шаблоном и не разрешает подстановку числовых значений.</w:t>
      </w:r>
      <w:bookmarkEnd w:id="1647"/>
    </w:p>
    <w:p>
      <w:bookmarkStart w:id="1173" w:name="h_2581"/>
      <w:pPr>
        <w:pStyle w:val="Heading1"/>
        <w:keepNext/>
      </w:pPr>
      <w:r>
        <w:t>243. Motivic vanishing cycles и orientation data</w:t>
      </w:r>
      <w:bookmarkEnd w:id="1173"/>
    </w:p>
    <w:p>
      <w:pPr/>
      <w:r>
        <w:t>Для критического локуса X=Crit(f) гладкой пары (U,f) motivic vanishing cycle хранит больше информации, чем взвешенная Euler characteristic. В глобальном d-critical или derived-контексте локальные циклы склеиваются только при совместимых orientation data и переходных тождествах.</w:t>
      </w:r>
    </w:p>
    <w:p>
      <w:bookmarkStart w:id="1942" w:name="f_20_7"/>
      <w:pPr>
        <w:pStyle w:val="Quote"/>
        <w:jc w:val="center"/>
      </w:pPr>
      <w:r>
        <w:t>MF^φ_{U,f} ∈ 𝓜_X^{μ̂},        Real(MF^φ_{U,f}) = vanishing-cycle realization.  (20.7)</w:t>
      </w:r>
      <w:bookmarkEnd w:id="1942"/>
    </w:p>
    <w:p>
      <w:pPr/>
      <w:r>
        <w:t>NAPG-импорт (20.7) получает статус COND. Требуются: критическая chart-модель; независимость от chart; orientation gerbe; совместимость с derived stack главы 18; связь с virtual class главы 19; доказанная functoriality по NAPG-морфизмам.</w:t>
      </w:r>
    </w:p>
    <w:p>
      <w:pPr/>
      <w:r>
        <w:t>Запрет 20.B. Наличие функции, похожей на потенциал, не даёт права использовать motivic vanishing cycles. Необходимо доказать, что локальный carrier действительно является критическим локусом и что переходы сохраняют заданную d-critical/derived структуру.</w:t>
      </w:r>
    </w:p>
    <w:p>
      <w:bookmarkStart w:id="1174" w:name="h_2586"/>
      <w:pPr>
        <w:pStyle w:val="Heading1"/>
        <w:keepNext/>
      </w:pPr>
      <w:r>
        <w:t>244. Refined-инварианты и реализационный паспорт</w:t>
      </w:r>
      <w:bookmarkEnd w:id="1174"/>
    </w:p>
    <w:p>
      <w:pPr/>
      <w:r>
        <w:t>Уточнённый инвариант сохраняет дополнительную градуировку, вес, spin, Hodge-тип или монодромию. В минимальном абстрактном виде</w:t>
      </w:r>
    </w:p>
    <w:p>
      <w:bookmarkStart w:id="1943" w:name="f_20_8"/>
      <w:pPr>
        <w:pStyle w:val="Quote"/>
        <w:jc w:val="center"/>
      </w:pPr>
      <w:r>
        <w:t>Ω_γ^{ref}(y)=Σ_j (-1)^j dim 𝓗_γ^j · y^{j/2}.  (20.8)</w:t>
      </w:r>
      <w:bookmarkEnd w:id="1943"/>
    </w:p>
    <w:p>
      <w:pPr/>
      <w:r>
        <w:t>Конвенция знаков, полуцелых степеней и weight shifts зависит от теории. Поэтому объектом сравнения служит не голая формула, а паспорт RefCert=(𝓗_γ, grading, weight, shift, duality, realization, source, D, Dom).</w:t>
      </w:r>
    </w:p>
    <w:p>
      <w:pPr/>
      <w:r>
        <w:t>Specialization map y↦1 или y↦-1 может давать числовой индекс, но она обычно неинъективна. Например, Laurent-полиномы y+y^{-1} и 2 имеют одинаковое значение при y=1, хотя refined-профили различны.</w:t>
      </w:r>
    </w:p>
    <w:p>
      <w:bookmarkStart w:id="1175" w:name="h_2591"/>
      <w:pPr>
        <w:pStyle w:val="Heading1"/>
        <w:keepNext/>
      </w:pPr>
      <w:r>
        <w:t>245. Cohomological Hall algebra</w:t>
      </w:r>
      <w:bookmarkEnd w:id="1175"/>
    </w:p>
    <w:p>
      <w:pPr/>
      <w:r>
        <w:t>Для подходящего quiver-with-potential или 3-Calabi-Yau контекста cohomological Hall algebra имеет градуированное пространство</w:t>
      </w:r>
    </w:p>
    <w:p>
      <w:bookmarkStart w:id="1944" w:name="f_20_9"/>
      <w:pPr>
        <w:pStyle w:val="Quote"/>
        <w:jc w:val="center"/>
      </w:pPr>
      <w:r>
        <w:t>CoHA=⊕_{γ∈Γ_+} H^•_{c,G_γ}(Rep_γ, φ_{Tr W}),  (20.9)</w:t>
      </w:r>
      <w:bookmarkEnd w:id="1944"/>
    </w:p>
    <w:p>
      <w:pPr/>
      <w:r>
        <w:t>а произведение строится через correspondences, pull-push operations и vanishing cycles. Ассоциативность произведения является теоремой конкретной CoHA-конструкции и не следует из одной аддитивной градуировки.</w:t>
      </w:r>
    </w:p>
    <w:p>
      <w:pPr/>
      <w:r>
        <w:t>Для NAPG возможный CoHA-мост требует: категории объектов/расширений; стеков коротких точных последовательностей; proper/smooth conditions для pull-push; orientation/vanishing-cycle data; proof of associativity; совместимости с частичным произведением ⊙. До закрытия этих пунктов обозначение CoHA_NAPG является OPEN-CANDIDATE.</w:t>
      </w:r>
    </w:p>
    <w:p>
      <w:bookmarkStart w:id="1176" w:name="h_2596"/>
      <w:pPr>
        <w:pStyle w:val="Heading1"/>
        <w:keepNext/>
      </w:pPr>
      <w:r>
        <w:t>246. BPS-cohomology и интегральность</w:t>
      </w:r>
      <w:bookmarkEnd w:id="1176"/>
    </w:p>
    <w:p>
      <w:pPr/>
      <w:r>
        <w:t>В cohomological DT theory числовые BPS-инварианты заменяются mixed Hodge structures или cohomological BPS spaces. Схематически</w:t>
      </w:r>
    </w:p>
    <w:p>
      <w:bookmarkStart w:id="1945" w:name="f_20_10"/>
      <w:pPr>
        <w:pStyle w:val="Quote"/>
        <w:jc w:val="center"/>
      </w:pPr>
      <w:r>
        <w:t>BPS_γ ∈ MHM(M_γ),      Ω_γ^{ref}=Real(BPS_γ).  (20.10)</w:t>
      </w:r>
      <w:bookmarkEnd w:id="1945"/>
    </w:p>
    <w:p>
      <w:pPr/>
      <w:r>
        <w:t>Интегральность числового инварианта может быть следствием существования категоризированного носителя, но не означает существования физической частицы. Термин BPS в настоящей главе используется только как имя классического математического слоя DT-теории; физический экспорт требует отдельного тома и независимого моста.</w:t>
      </w:r>
    </w:p>
    <w:p>
      <w:pPr/>
      <w:r>
        <w:t>PBW/freeness statements для CoHA фиксируют структурную генерацию алгебры BPS-слоем при собственных гипотезах. Они не задают временной порядок рождения объектов: порядок в PBW-базисе является алгебраическим.</w:t>
      </w:r>
    </w:p>
    <w:p>
      <w:bookmarkStart w:id="1177" w:name="h_2601"/>
      <w:pPr>
        <w:pStyle w:val="Heading1"/>
        <w:keepNext/>
      </w:pPr>
      <w:r>
        <w:t>247. Производящие ряды как завершённые градуированные объекты</w:t>
      </w:r>
      <w:bookmarkEnd w:id="1177"/>
    </w:p>
    <w:p>
      <w:pPr/>
      <w:r>
        <w:t>Пусть Γ_+ — положительный конус классов, R — коэффициентное кольцо, а R[[Γ_+]] — его completion. Refined generating series определяется как</w:t>
      </w:r>
    </w:p>
    <w:p>
      <w:bookmarkStart w:id="1946" w:name="f_20_11"/>
      <w:pPr>
        <w:pStyle w:val="Quote"/>
        <w:jc w:val="center"/>
      </w:pPr>
      <w:r>
        <w:t>Z_ref(𝐱;y,𝕃)=1+Σ_{0≠γ∈Γ_+} Ω_γ^{ref}(y,𝕃) 𝐱^γ ∈ 1+Î.  (20.11)</w:t>
      </w:r>
      <w:bookmarkEnd w:id="1946"/>
    </w:p>
    <w:p>
      <w:pPr/>
      <w:r>
        <w:t>Переменная 𝐱^γ маркирует класс γ. Она не является моментом времени, если отдельно не задана карта τ:Γ_+→T. Даже при Γ_+=ℕ индекс n может означать длину, заряд, степень, число точек, Chern character, размерность представления или порядок возмущения.</w:t>
      </w:r>
    </w:p>
    <w:tbl>
      <w:tblPr>
        <w:tblStyle w:val="TableGrid"/>
        <w:tblW w:type="auto" w:w="0"/>
        <w:jc w:val="center"/>
        <w:tblLayout w:type="autofit"/>
        <w:tblLook w:firstColumn="1" w:firstRow="1" w:lastColumn="0" w:lastRow="0" w:noHBand="0" w:noVBand="1" w:val="04A0"/>
      </w:tblPr>
      <w:tblGrid>
        <w:gridCol w:w="3251"/>
        <w:gridCol w:w="3251"/>
        <w:gridCol w:w="3251"/>
      </w:tblGrid>
      <w:tr>
        <w:trPr>
          <w:tblHeader w:val="true"/>
          <w:cantSplit/>
        </w:trPr>
        <w:tc>
          <w:tcPr>
            <w:tcW w:type="dxa" w:w="2041"/>
            <w:tcMar>
              <w:top w:w="90" w:type="dxa"/>
              <w:start w:w="110" w:type="dxa"/>
              <w:bottom w:w="90" w:type="dxa"/>
              <w:end w:w="110" w:type="dxa"/>
            </w:tcMar>
            <w:vAlign w:val="center"/>
            <w:shd w:fill="17345F"/>
          </w:tcPr>
          <w:p>
            <w:pPr>
              <w:spacing w:after="0" w:before="0" w:line="240" w:lineRule="auto"/>
            </w:pPr>
            <w:r>
              <w:rPr>
                <w:b/>
                <w:color w:val="FFFFFF"/>
                <w:sz w:val="17"/>
              </w:rPr>
              <w:t>Компонент ряда</w:t>
            </w:r>
          </w:p>
        </w:tc>
        <w:tc>
          <w:tcPr>
            <w:tcW w:type="dxa" w:w="3458"/>
            <w:tcMar>
              <w:top w:w="90" w:type="dxa"/>
              <w:start w:w="110" w:type="dxa"/>
              <w:bottom w:w="90" w:type="dxa"/>
              <w:end w:w="110" w:type="dxa"/>
            </w:tcMar>
            <w:vAlign w:val="center"/>
            <w:shd w:fill="17345F"/>
          </w:tcPr>
          <w:p>
            <w:pPr>
              <w:spacing w:after="0" w:before="0" w:line="240" w:lineRule="auto"/>
            </w:pPr>
            <w:r>
              <w:rPr>
                <w:b/>
                <w:color w:val="FFFFFF"/>
                <w:sz w:val="17"/>
              </w:rPr>
              <w:t>Математическая роль</w:t>
            </w:r>
          </w:p>
        </w:tc>
        <w:tc>
          <w:tcPr>
            <w:tcW w:type="dxa" w:w="3515"/>
            <w:tcMar>
              <w:top w:w="90" w:type="dxa"/>
              <w:start w:w="110" w:type="dxa"/>
              <w:bottom w:w="90" w:type="dxa"/>
              <w:end w:w="110" w:type="dxa"/>
            </w:tcMar>
            <w:vAlign w:val="center"/>
            <w:shd w:fill="17345F"/>
          </w:tcPr>
          <w:p>
            <w:pPr>
              <w:spacing w:after="0" w:before="0" w:line="240" w:lineRule="auto"/>
            </w:pPr>
            <w:r>
              <w:rPr>
                <w:b/>
                <w:color w:val="FFFFFF"/>
                <w:sz w:val="17"/>
              </w:rPr>
              <w:t>Чего он не задаёт</w:t>
            </w:r>
          </w:p>
        </w:tc>
      </w:tr>
      <w:tr>
        <w:trPr>
          <w:cantSplit/>
        </w:trPr>
        <w:tc>
          <w:tcPr>
            <w:tcW w:type="dxa" w:w="2041"/>
            <w:tcMar>
              <w:top w:w="90" w:type="dxa"/>
              <w:start w:w="110" w:type="dxa"/>
              <w:bottom w:w="90" w:type="dxa"/>
              <w:end w:w="110" w:type="dxa"/>
            </w:tcMar>
            <w:vAlign w:val="center"/>
          </w:tcPr>
          <w:p>
            <w:pPr>
              <w:spacing w:after="0" w:before="0" w:line="240" w:lineRule="auto"/>
            </w:pPr>
            <w:r>
              <w:rPr>
                <w:b w:val="0"/>
                <w:sz w:val="17"/>
              </w:rPr>
              <w:t>γ∈Γ</w:t>
            </w:r>
          </w:p>
        </w:tc>
        <w:tc>
          <w:tcPr>
            <w:tcW w:type="dxa" w:w="3458"/>
            <w:tcMar>
              <w:top w:w="90" w:type="dxa"/>
              <w:start w:w="110" w:type="dxa"/>
              <w:bottom w:w="90" w:type="dxa"/>
              <w:end w:w="110" w:type="dxa"/>
            </w:tcMar>
            <w:vAlign w:val="center"/>
          </w:tcPr>
          <w:p>
            <w:pPr>
              <w:spacing w:after="0" w:before="0" w:line="240" w:lineRule="auto"/>
            </w:pPr>
            <w:r>
              <w:rPr>
                <w:b w:val="0"/>
                <w:sz w:val="17"/>
              </w:rPr>
              <w:t>градуировка/заряд/класс</w:t>
            </w:r>
          </w:p>
        </w:tc>
        <w:tc>
          <w:tcPr>
            <w:tcW w:type="dxa" w:w="3515"/>
            <w:tcMar>
              <w:top w:w="90" w:type="dxa"/>
              <w:start w:w="110" w:type="dxa"/>
              <w:bottom w:w="90" w:type="dxa"/>
              <w:end w:w="110" w:type="dxa"/>
            </w:tcMar>
            <w:vAlign w:val="center"/>
          </w:tcPr>
          <w:p>
            <w:pPr>
              <w:spacing w:after="0" w:before="0" w:line="240" w:lineRule="auto"/>
            </w:pPr>
            <w:r>
              <w:rPr>
                <w:b w:val="0"/>
                <w:sz w:val="17"/>
              </w:rPr>
              <w:t>момент времени</w:t>
            </w:r>
          </w:p>
        </w:tc>
      </w:tr>
      <w:tr>
        <w:trPr>
          <w:cantSplit/>
        </w:trPr>
        <w:tc>
          <w:tcPr>
            <w:tcW w:type="dxa" w:w="2041"/>
            <w:tcMar>
              <w:top w:w="90" w:type="dxa"/>
              <w:start w:w="110" w:type="dxa"/>
              <w:bottom w:w="90" w:type="dxa"/>
              <w:end w:w="110" w:type="dxa"/>
            </w:tcMar>
            <w:vAlign w:val="center"/>
          </w:tcPr>
          <w:p>
            <w:pPr>
              <w:spacing w:after="0" w:before="0" w:line="240" w:lineRule="auto"/>
            </w:pPr>
            <w:r>
              <w:rPr>
                <w:b w:val="0"/>
                <w:sz w:val="17"/>
              </w:rPr>
              <w:t>Ωγ</w:t>
            </w:r>
          </w:p>
        </w:tc>
        <w:tc>
          <w:tcPr>
            <w:tcW w:type="dxa" w:w="3458"/>
            <w:tcMar>
              <w:top w:w="90" w:type="dxa"/>
              <w:start w:w="110" w:type="dxa"/>
              <w:bottom w:w="90" w:type="dxa"/>
              <w:end w:w="110" w:type="dxa"/>
            </w:tcMar>
            <w:vAlign w:val="center"/>
          </w:tcPr>
          <w:p>
            <w:pPr>
              <w:spacing w:after="0" w:before="0" w:line="240" w:lineRule="auto"/>
            </w:pPr>
            <w:r>
              <w:rPr>
                <w:b w:val="0"/>
                <w:sz w:val="17"/>
              </w:rPr>
              <w:t>коэффициентный invariant</w:t>
            </w:r>
          </w:p>
        </w:tc>
        <w:tc>
          <w:tcPr>
            <w:tcW w:type="dxa" w:w="3515"/>
            <w:tcMar>
              <w:top w:w="90" w:type="dxa"/>
              <w:start w:w="110" w:type="dxa"/>
              <w:bottom w:w="90" w:type="dxa"/>
              <w:end w:w="110" w:type="dxa"/>
            </w:tcMar>
            <w:vAlign w:val="center"/>
          </w:tcPr>
          <w:p>
            <w:pPr>
              <w:spacing w:after="0" w:before="0" w:line="240" w:lineRule="auto"/>
            </w:pPr>
            <w:r>
              <w:rPr>
                <w:b w:val="0"/>
                <w:sz w:val="17"/>
              </w:rPr>
              <w:t>вероятность или частоту</w:t>
            </w:r>
          </w:p>
        </w:tc>
      </w:tr>
      <w:tr>
        <w:trPr>
          <w:cantSplit/>
        </w:trPr>
        <w:tc>
          <w:tcPr>
            <w:tcW w:type="dxa" w:w="2041"/>
            <w:tcMar>
              <w:top w:w="90" w:type="dxa"/>
              <w:start w:w="110" w:type="dxa"/>
              <w:bottom w:w="90" w:type="dxa"/>
              <w:end w:w="110" w:type="dxa"/>
            </w:tcMar>
            <w:vAlign w:val="center"/>
          </w:tcPr>
          <w:p>
            <w:pPr>
              <w:spacing w:after="0" w:before="0" w:line="240" w:lineRule="auto"/>
            </w:pPr>
            <w:r>
              <w:rPr>
                <w:b w:val="0"/>
                <w:sz w:val="17"/>
              </w:rPr>
              <w:t>x^γ</w:t>
            </w:r>
          </w:p>
        </w:tc>
        <w:tc>
          <w:tcPr>
            <w:tcW w:type="dxa" w:w="3458"/>
            <w:tcMar>
              <w:top w:w="90" w:type="dxa"/>
              <w:start w:w="110" w:type="dxa"/>
              <w:bottom w:w="90" w:type="dxa"/>
              <w:end w:w="110" w:type="dxa"/>
            </w:tcMar>
            <w:vAlign w:val="center"/>
          </w:tcPr>
          <w:p>
            <w:pPr>
              <w:spacing w:after="0" w:before="0" w:line="240" w:lineRule="auto"/>
            </w:pPr>
            <w:r>
              <w:rPr>
                <w:b w:val="0"/>
                <w:sz w:val="17"/>
              </w:rPr>
              <w:t>формальный моном</w:t>
            </w:r>
          </w:p>
        </w:tc>
        <w:tc>
          <w:tcPr>
            <w:tcW w:type="dxa" w:w="3515"/>
            <w:tcMar>
              <w:top w:w="90" w:type="dxa"/>
              <w:start w:w="110" w:type="dxa"/>
              <w:bottom w:w="90" w:type="dxa"/>
              <w:end w:w="110" w:type="dxa"/>
            </w:tcMar>
            <w:vAlign w:val="center"/>
          </w:tcPr>
          <w:p>
            <w:pPr>
              <w:spacing w:after="0" w:before="0" w:line="240" w:lineRule="auto"/>
            </w:pPr>
            <w:r>
              <w:rPr>
                <w:b w:val="0"/>
                <w:sz w:val="17"/>
              </w:rPr>
              <w:t>состояние системы</w:t>
            </w:r>
          </w:p>
        </w:tc>
      </w:tr>
      <w:tr>
        <w:trPr>
          <w:cantSplit/>
        </w:trPr>
        <w:tc>
          <w:tcPr>
            <w:tcW w:type="dxa" w:w="2041"/>
            <w:tcMar>
              <w:top w:w="90" w:type="dxa"/>
              <w:start w:w="110" w:type="dxa"/>
              <w:bottom w:w="90" w:type="dxa"/>
              <w:end w:w="110" w:type="dxa"/>
            </w:tcMar>
            <w:vAlign w:val="center"/>
          </w:tcPr>
          <w:p>
            <w:pPr>
              <w:spacing w:after="0" w:before="0" w:line="240" w:lineRule="auto"/>
            </w:pPr>
            <w:r>
              <w:rPr>
                <w:b w:val="0"/>
                <w:sz w:val="17"/>
              </w:rPr>
              <w:t>PExp/PLog</w:t>
            </w:r>
          </w:p>
        </w:tc>
        <w:tc>
          <w:tcPr>
            <w:tcW w:type="dxa" w:w="3458"/>
            <w:tcMar>
              <w:top w:w="90" w:type="dxa"/>
              <w:start w:w="110" w:type="dxa"/>
              <w:bottom w:w="90" w:type="dxa"/>
              <w:end w:w="110" w:type="dxa"/>
            </w:tcMar>
            <w:vAlign w:val="center"/>
          </w:tcPr>
          <w:p>
            <w:pPr>
              <w:spacing w:after="0" w:before="0" w:line="240" w:lineRule="auto"/>
            </w:pPr>
            <w:r>
              <w:rPr>
                <w:b w:val="0"/>
                <w:sz w:val="17"/>
              </w:rPr>
              <w:t>упаковка multi-particle/combinatorial data</w:t>
            </w:r>
          </w:p>
        </w:tc>
        <w:tc>
          <w:tcPr>
            <w:tcW w:type="dxa" w:w="3515"/>
            <w:tcMar>
              <w:top w:w="90" w:type="dxa"/>
              <w:start w:w="110" w:type="dxa"/>
              <w:bottom w:w="90" w:type="dxa"/>
              <w:end w:w="110" w:type="dxa"/>
            </w:tcMar>
            <w:vAlign w:val="center"/>
          </w:tcPr>
          <w:p>
            <w:pPr>
              <w:spacing w:after="0" w:before="0" w:line="240" w:lineRule="auto"/>
            </w:pPr>
            <w:r>
              <w:rPr>
                <w:b w:val="0"/>
                <w:sz w:val="17"/>
              </w:rPr>
              <w:t>эволюционный оператор</w:t>
            </w:r>
          </w:p>
        </w:tc>
      </w:tr>
      <w:tr>
        <w:trPr>
          <w:cantSplit/>
        </w:trPr>
        <w:tc>
          <w:tcPr>
            <w:tcW w:type="dxa" w:w="2041"/>
            <w:tcMar>
              <w:top w:w="90" w:type="dxa"/>
              <w:start w:w="110" w:type="dxa"/>
              <w:bottom w:w="90" w:type="dxa"/>
              <w:end w:w="110" w:type="dxa"/>
            </w:tcMar>
            <w:vAlign w:val="center"/>
          </w:tcPr>
          <w:p>
            <w:pPr>
              <w:spacing w:after="0" w:before="0" w:line="240" w:lineRule="auto"/>
            </w:pPr>
            <w:r>
              <w:rPr>
                <w:b w:val="0"/>
                <w:sz w:val="17"/>
              </w:rPr>
              <w:t>functional equation</w:t>
            </w:r>
          </w:p>
        </w:tc>
        <w:tc>
          <w:tcPr>
            <w:tcW w:type="dxa" w:w="3458"/>
            <w:tcMar>
              <w:top w:w="90" w:type="dxa"/>
              <w:start w:w="110" w:type="dxa"/>
              <w:bottom w:w="90" w:type="dxa"/>
              <w:end w:w="110" w:type="dxa"/>
            </w:tcMar>
            <w:vAlign w:val="center"/>
          </w:tcPr>
          <w:p>
            <w:pPr>
              <w:spacing w:after="0" w:before="0" w:line="240" w:lineRule="auto"/>
            </w:pPr>
            <w:r>
              <w:rPr>
                <w:b w:val="0"/>
                <w:sz w:val="17"/>
              </w:rPr>
              <w:t>алгебраическая симметрия</w:t>
            </w:r>
          </w:p>
        </w:tc>
        <w:tc>
          <w:tcPr>
            <w:tcW w:type="dxa" w:w="3515"/>
            <w:tcMar>
              <w:top w:w="90" w:type="dxa"/>
              <w:start w:w="110" w:type="dxa"/>
              <w:bottom w:w="90" w:type="dxa"/>
              <w:end w:w="110" w:type="dxa"/>
            </w:tcMar>
            <w:vAlign w:val="center"/>
          </w:tcPr>
          <w:p>
            <w:pPr>
              <w:spacing w:after="0" w:before="0" w:line="240" w:lineRule="auto"/>
            </w:pPr>
            <w:r>
              <w:rPr>
                <w:b w:val="0"/>
                <w:sz w:val="17"/>
              </w:rPr>
              <w:t>причинность</w:t>
            </w:r>
          </w:p>
        </w:tc>
      </w:tr>
      <w:tr>
        <w:trPr>
          <w:cantSplit/>
        </w:trPr>
        <w:tc>
          <w:tcPr>
            <w:tcW w:type="dxa" w:w="2041"/>
            <w:tcMar>
              <w:top w:w="90" w:type="dxa"/>
              <w:start w:w="110" w:type="dxa"/>
              <w:bottom w:w="90" w:type="dxa"/>
              <w:end w:w="110" w:type="dxa"/>
            </w:tcMar>
            <w:vAlign w:val="center"/>
          </w:tcPr>
          <w:p>
            <w:pPr>
              <w:spacing w:after="0" w:before="0" w:line="240" w:lineRule="auto"/>
            </w:pPr>
            <w:r>
              <w:rPr>
                <w:b w:val="0"/>
                <w:sz w:val="17"/>
              </w:rPr>
              <w:t>radius of convergence</w:t>
            </w:r>
          </w:p>
        </w:tc>
        <w:tc>
          <w:tcPr>
            <w:tcW w:type="dxa" w:w="3458"/>
            <w:tcMar>
              <w:top w:w="90" w:type="dxa"/>
              <w:start w:w="110" w:type="dxa"/>
              <w:bottom w:w="90" w:type="dxa"/>
              <w:end w:w="110" w:type="dxa"/>
            </w:tcMar>
            <w:vAlign w:val="center"/>
          </w:tcPr>
          <w:p>
            <w:pPr>
              <w:spacing w:after="0" w:before="0" w:line="240" w:lineRule="auto"/>
            </w:pPr>
            <w:r>
              <w:rPr>
                <w:b w:val="0"/>
                <w:sz w:val="17"/>
              </w:rPr>
              <w:t>аналитическая область числовой реализации</w:t>
            </w:r>
          </w:p>
        </w:tc>
        <w:tc>
          <w:tcPr>
            <w:tcW w:type="dxa" w:w="3515"/>
            <w:tcMar>
              <w:top w:w="90" w:type="dxa"/>
              <w:start w:w="110" w:type="dxa"/>
              <w:bottom w:w="90" w:type="dxa"/>
              <w:end w:w="110" w:type="dxa"/>
            </w:tcMar>
            <w:vAlign w:val="center"/>
          </w:tcPr>
          <w:p>
            <w:pPr>
              <w:spacing w:after="0" w:before="0" w:line="240" w:lineRule="auto"/>
            </w:pPr>
            <w:r>
              <w:rPr>
                <w:b w:val="0"/>
                <w:sz w:val="17"/>
              </w:rPr>
              <w:t>физический горизонт без модели</w:t>
            </w:r>
          </w:p>
        </w:tc>
      </w:tr>
    </w:tbl>
    <w:p>
      <w:pPr>
        <w:spacing w:after="0"/>
      </w:pPr>
    </w:p>
    <w:p>
      <w:bookmarkStart w:id="1178" w:name="h_2606"/>
      <w:pPr>
        <w:pStyle w:val="Heading1"/>
        <w:keepNext/>
      </w:pPr>
      <w:r>
        <w:t>248. Квантовый тор и упорядоченные факторизации</w:t>
      </w:r>
      <w:bookmarkEnd w:id="1178"/>
    </w:p>
    <w:p>
      <w:pPr/>
      <w:r>
        <w:t>Если Γ снабжена кососимметрической формой ⟨·,·⟩, motivic DT series часто живёт в quantum torus с умножением</w:t>
      </w:r>
    </w:p>
    <w:p>
      <w:bookmarkStart w:id="1947" w:name="f_20_12"/>
      <w:pPr>
        <w:pStyle w:val="Quote"/>
        <w:jc w:val="center"/>
      </w:pPr>
      <w:r>
        <w:t>𝐱^α 𝐱^β = 𝕃^{⟨α,β⟩/2} 𝐱^{α+β}.  (20.12)</w:t>
      </w:r>
      <w:bookmarkEnd w:id="1947"/>
    </w:p>
    <w:p>
      <w:pPr/>
      <w:r>
        <w:t>При ненулевой форме порядок множителей существенен. Wall-crossing утверждает инвариантность соответствующего ordered product при изменении стабильности, а не покадровую временную эволюцию каждого коэффициента. Лучи центрального заряда задают порядок в факторизации, но не физические даты.</w:t>
      </w:r>
    </w:p>
    <w:p>
      <w:bookmarkStart w:id="1648" w:name="s_DEF_20_4"/>
      <w:pPr/>
      <w:r>
        <w:t>Определение 20.4. Series certificate включает (Γ,R,completion,pairing,ordering,chamber,PExp/PLog,convergence_status,D,Dom). Без этого произведение и перестановка факторов не считаются типизированными.</w:t>
      </w:r>
      <w:bookmarkEnd w:id="1648"/>
    </w:p>
    <w:p>
      <w:bookmarkStart w:id="1179" w:name="h_2611"/>
      <w:pPr>
        <w:pStyle w:val="Heading1"/>
        <w:keepNext/>
      </w:pPr>
      <w:r>
        <w:t>249. Rationality и функциональные уравнения</w:t>
      </w:r>
      <w:bookmarkEnd w:id="1179"/>
    </w:p>
    <w:p>
      <w:pPr/>
      <w:r>
        <w:t>В ряде curve-counting задач generating functions являются разложениями рациональных функций или удовлетворяют duality/functional equations. Эти свойства являются сильными структурными ограничениями, но не задают trajectory law.</w:t>
      </w:r>
    </w:p>
    <w:p>
      <w:bookmarkStart w:id="1948" w:name="f_20_13"/>
      <w:pPr>
        <w:pStyle w:val="Quote"/>
        <w:jc w:val="center"/>
      </w:pPr>
      <w:r>
        <w:t>Z(q^{-1}) = q^a · ε · Z(q)    или    Z(q)=P(q)/Q(q).  (20.13)</w:t>
      </w:r>
      <w:bookmarkEnd w:id="1948"/>
    </w:p>
    <w:p>
      <w:pPr/>
      <w:r>
        <w:t>Формула (20.13) связывает коэффициенты как алгебраические данные. Она не сообщает, как состояние при времени t переходит в состояние при t+Δt. Даже recurrence relation для коэффициентов становится динамикой только после определения state vector, transition map и интерпретации шага индекса.</w:t>
      </w:r>
    </w:p>
    <w:p>
      <w:bookmarkStart w:id="1180" w:name="h_2615"/>
      <w:pPr>
        <w:pStyle w:val="Heading1"/>
        <w:keepNext/>
      </w:pPr>
      <w:r>
        <w:t>250. Теорема неидентифицируемости времени по коэффициентам</w:t>
      </w:r>
      <w:bookmarkEnd w:id="1180"/>
    </w:p>
    <w:p>
      <w:bookmarkStart w:id="1649" w:name="s_THM_20_4"/>
      <w:pPr/>
      <w:r>
        <w:t>Теорема 20.4 (Coefficient-time non-identifiability). [THM] Формальный ряд Z(q)=Σ_{n≥0}a_nq^n сам по себе не определяет временную шкалу, длительности между наблюдениями или эволюционный оператор.</w:t>
      </w:r>
      <w:bookmarkEnd w:id="1649"/>
    </w:p>
    <w:p>
      <w:pPr/>
      <w:r>
        <w:t>Доказательство. Ряд определяет функцию коэффициентов a:ℕ→R. Выберем две инъективные временные разметки τ₁(n)=n и τ₂(n)=n² в ℝ_{≥0}. Они присваивают одной и той же последовательности различные интервалы: τ₁(n+1)-τ₁(n)=1, тогда как τ₂(n+1)-τ₂(n)=2n+1. Никакое свойство коэффициентов не выбирает одну разметку. Более того, ряд не содержит операторов U(τ(n+1),τ(n)), поэтому не определяет переход между состояниями. Следовательно, time metric и dynamics неидентифицируемы.</w:t>
      </w:r>
    </w:p>
    <w:p>
      <w:bookmarkStart w:id="1949" w:name="f_20_14"/>
      <w:pPr>
        <w:pStyle w:val="Quote"/>
        <w:jc w:val="center"/>
      </w:pPr>
      <w:r>
        <w:t>graded coefficient ≠ time-stamped state; generating series ≠ flow.  (20.14)</w:t>
      </w:r>
      <w:bookmarkEnd w:id="1949"/>
    </w:p>
    <w:p>
      <w:pPr>
        <w:jc w:val="center"/>
      </w:pPr>
      <w:r>
        <w:drawing>
          <wp:inline xmlns:a="http://schemas.openxmlformats.org/drawingml/2006/main" xmlns:pic="http://schemas.openxmlformats.org/drawingml/2006/picture">
            <wp:extent cx="5796000" cy="3401889"/>
            <wp:docPr id="53" name="Picture 53" descr="Рисунок 20.2. Типовой барьер между производящим рядом и временной динамикой. Собственная схема Тома II." title="Рисунок 20.2. Типовой барьер между производящим рядом и временной динамикой. Собственная схема Тома II."/>
            <wp:cNvGraphicFramePr>
              <a:graphicFrameLocks noChangeAspect="1"/>
            </wp:cNvGraphicFramePr>
            <a:graphic>
              <a:graphicData uri="http://schemas.openxmlformats.org/drawingml/2006/picture">
                <pic:pic>
                  <pic:nvPicPr>
                    <pic:cNvPr id="0" name="fig20_2.png" descr="Рисунок 20.2. Типовой барьер между производящим рядом и временной динамикой. Собственная схема Тома II." title="Рисунок 20.2. Типовой барьер между производящим рядом и временной динамикой. Собственная схема Тома II."/>
                    <pic:cNvPicPr/>
                  </pic:nvPicPr>
                  <pic:blipFill>
                    <a:blip r:embed="rId90"/>
                    <a:stretch>
                      <a:fillRect/>
                    </a:stretch>
                  </pic:blipFill>
                  <pic:spPr>
                    <a:xfrm>
                      <a:off x="0" y="0"/>
                      <a:ext cx="5796000" cy="3401889"/>
                    </a:xfrm>
                    <a:prstGeom prst="rect"/>
                  </pic:spPr>
                </pic:pic>
              </a:graphicData>
            </a:graphic>
          </wp:inline>
        </w:drawing>
      </w:r>
    </w:p>
    <w:p>
      <w:pPr>
        <w:pStyle w:val="Caption"/>
        <w:keepNext w:val="0"/>
        <w:jc w:val="center"/>
      </w:pPr>
      <w:r>
        <w:t>Рисунок 20.2. Типовой барьер между производящим рядом и временной динамикой. Собственная схема Тома II.</w:t>
      </w:r>
    </w:p>
    <w:p>
      <w:bookmarkStart w:id="1181" w:name="h_2621"/>
      <w:pPr>
        <w:pStyle w:val="Heading1"/>
        <w:keepNext/>
      </w:pPr>
      <w:r>
        <w:t>251. Минимальный динамический мост</w:t>
      </w:r>
      <w:bookmarkEnd w:id="1181"/>
    </w:p>
    <w:p>
      <w:bookmarkStart w:id="1650" w:name="s_DEF_20_5"/>
      <w:pPr/>
      <w:r>
        <w:t>Определение 20.5. Динамический мост задаётся кортежем</w:t>
      </w:r>
      <w:bookmarkEnd w:id="1650"/>
    </w:p>
    <w:p>
      <w:bookmarkStart w:id="1950" w:name="f_20_15"/>
      <w:pPr>
        <w:pStyle w:val="Quote"/>
        <w:jc w:val="center"/>
      </w:pPr>
      <w:r>
        <w:t>B_dyn=(T,S,τ,U,𝒢,ι,Obs,noise,Cal,Ext,D,Dom).  (20.15)</w:t>
      </w:r>
      <w:bookmarkEnd w:id="1950"/>
    </w:p>
    <w:p>
      <w:pPr>
        <w:pStyle w:val="ListBullet"/>
      </w:pPr>
      <w:r>
        <w:t>T — временной носитель с выбранной топологией/мерой и направлением;</w:t>
      </w:r>
    </w:p>
    <w:p>
      <w:pPr>
        <w:pStyle w:val="ListBullet"/>
      </w:pPr>
      <w:r>
        <w:t>S — пространство состояний;</w:t>
      </w:r>
    </w:p>
    <w:p>
      <w:pPr>
        <w:pStyle w:val="ListBullet"/>
      </w:pPr>
      <w:r>
        <w:t>τ:Γ→T связывает grading с моментами или интервалами;</w:t>
      </w:r>
    </w:p>
    <w:p>
      <w:pPr>
        <w:pStyle w:val="ListBullet"/>
      </w:pPr>
      <w:r>
        <w:t>U(t,s):S→S — evolution family, определённая при t≥s;</w:t>
      </w:r>
    </w:p>
    <w:p>
      <w:pPr>
        <w:pStyle w:val="ListBullet"/>
      </w:pPr>
      <w:r>
        <w:t>𝒢 — генератор, уравнение или kernel, если он существует;</w:t>
      </w:r>
    </w:p>
    <w:p>
      <w:pPr>
        <w:pStyle w:val="ListBullet"/>
      </w:pPr>
      <w:r>
        <w:t>ι — embedding refined/motivic data в state/parameter space;</w:t>
      </w:r>
    </w:p>
    <w:p>
      <w:pPr>
        <w:pStyle w:val="ListBullet"/>
      </w:pPr>
      <w:r>
        <w:t>Obs — наблюдательная карта;</w:t>
      </w:r>
    </w:p>
    <w:p>
      <w:pPr>
        <w:pStyle w:val="ListBullet"/>
      </w:pPr>
      <w:r>
        <w:t>noise — вероятностная или интервальная модель ошибок;</w:t>
      </w:r>
    </w:p>
    <w:p>
      <w:pPr>
        <w:pStyle w:val="ListBullet"/>
      </w:pPr>
      <w:r>
        <w:t>Cal и Ext — калибровка и независимый внешний запуск;</w:t>
      </w:r>
    </w:p>
    <w:p>
      <w:pPr>
        <w:pStyle w:val="ListBullet"/>
      </w:pPr>
      <w:r>
        <w:t>D/ Dom — достаточное основание и допустимая область.</w:t>
      </w:r>
    </w:p>
    <w:p>
      <w:pPr/>
      <w:r>
        <w:t>Основные тождества evolution family:</w:t>
      </w:r>
    </w:p>
    <w:p>
      <w:bookmarkStart w:id="1951" w:name="f_20_16"/>
      <w:pPr>
        <w:pStyle w:val="Quote"/>
        <w:jc w:val="center"/>
      </w:pPr>
      <w:r>
        <w:t>U(t,t)=Id,       U(t,r)∘U(r,s)=U(t,s),       t≥r≥s.  (20.16)</w:t>
      </w:r>
      <w:bookmarkEnd w:id="1951"/>
    </w:p>
    <w:p>
      <w:pPr/>
      <w:r>
        <w:t>Без (20.16) символ “эволюция” остаётся метафорой или независимым набором операторов.</w:t>
      </w:r>
    </w:p>
    <w:p>
      <w:bookmarkStart w:id="1182" w:name="h_2637"/>
      <w:pPr>
        <w:pStyle w:val="Heading1"/>
        <w:keepNext/>
      </w:pPr>
      <w:r>
        <w:t>252. Полугруппы, генераторы и transfer operators</w:t>
      </w:r>
      <w:bookmarkEnd w:id="1182"/>
    </w:p>
    <w:p>
      <w:pPr/>
      <w:r>
        <w:t>Для автономной линейной модели может использоваться strongly continuous semigroup U(t)=e^{tA}. Генератор определяется пределом</w:t>
      </w:r>
    </w:p>
    <w:p>
      <w:bookmarkStart w:id="1952" w:name="f_20_17"/>
      <w:pPr>
        <w:pStyle w:val="Quote"/>
        <w:jc w:val="center"/>
      </w:pPr>
      <w:r>
        <w:t>Ax = lim_{t↓0} (U(t)x-x)/t,  x∈Dom(A).  (20.17)</w:t>
      </w:r>
      <w:bookmarkEnd w:id="1952"/>
    </w:p>
    <w:p>
      <w:pPr/>
      <w:r>
        <w:t>Для неавтономной модели требуется двупараметрическое U(t,s), а для вероятностных состояний — Markov/transfer operator с сохранением положительности и массы. Ни одно из этих свойств не следует из positivity коэффициентов generating series: положительный коэффициент не является positive operator.</w:t>
      </w:r>
    </w:p>
    <w:p>
      <w:pPr/>
      <w:r>
        <w:t>NAPG-версия transfer bridge должна также сохранять реперные ограничения, D/Dom, partial operation domains и blocker-safe abstention. Существование такого оператора в общей NAPG остаётся OPEN.</w:t>
      </w:r>
    </w:p>
    <w:p>
      <w:bookmarkStart w:id="1183" w:name="h_2642"/>
      <w:pPr>
        <w:pStyle w:val="Heading1"/>
        <w:keepNext/>
      </w:pPr>
      <w:r>
        <w:t>253. Path-space carrier и причинный порядок</w:t>
      </w:r>
      <w:bookmarkEnd w:id="1183"/>
    </w:p>
    <w:p>
      <w:pPr/>
      <w:r>
        <w:t>Временной прогноз требует не только маргинальных состояний, но и допустимых путей. Вводится path-space 𝒫(S) и мера/множество допустимых траекторий 𝔔. Причинный kernel K_{t,s} должен удовлетворять композиции Чепмена–Колмогорова или её детерминированному аналогу.</w:t>
      </w:r>
    </w:p>
    <w:p>
      <w:bookmarkStart w:id="1953" w:name="f_20_18"/>
      <w:pPr>
        <w:pStyle w:val="Quote"/>
        <w:jc w:val="center"/>
      </w:pPr>
      <w:r>
        <w:t>K_{t,s}=K_{t,r}∘K_{r,s}.  (20.18)</w:t>
      </w:r>
      <w:bookmarkEnd w:id="1953"/>
    </w:p>
    <w:p>
      <w:pPr/>
      <w:r>
        <w:t>Формальный ряд может кодировать суммы по путям после того, как path model уже задана. Обратный вывод “есть ряд, значит есть путь” недопустим. Один и тот же partition function допускает различные microscopic path models.</w:t>
      </w:r>
    </w:p>
    <w:p>
      <w:bookmarkStart w:id="1184" w:name="h_2646"/>
      <w:pPr>
        <w:pStyle w:val="Heading1"/>
        <w:keepNext/>
      </w:pPr>
      <w:r>
        <w:t>254. Эмпирический мост и операционализация</w:t>
      </w:r>
      <w:bookmarkEnd w:id="1184"/>
    </w:p>
    <w:p>
      <w:pPr/>
      <w:r>
        <w:t>Динамический мост становится эмпирическим только после спецификации наблюдаемой Y_t, частоты измерения, censoring, selection mechanism, train/validation/test split и критериев фальсификации. Внешний слой имеет вид</w:t>
      </w:r>
    </w:p>
    <w:p>
      <w:bookmarkStart w:id="1954" w:name="f_20_19"/>
      <w:pPr>
        <w:pStyle w:val="Quote"/>
        <w:jc w:val="center"/>
      </w:pPr>
      <w:r>
        <w:t>Y_t = Obs(U(t,t₀)ι(𝓜_ref)) + ε_t.  (20.19)</w:t>
      </w:r>
      <w:bookmarkEnd w:id="1954"/>
    </w:p>
    <w:p>
      <w:pPr/>
      <w:r>
        <w:t>Формула (20.19) является моделью измерения. Она не выводится из мотивного кольца. Параметры Obs, ε_t и τ должны быть определены до раскрытия контрольного результата, иначе коэффициенты ряда могут быть постфактум переименованы во “временные признаки”.</w:t>
      </w:r>
    </w:p>
    <w:p>
      <w:bookmarkStart w:id="1185" w:name="h_2650"/>
      <w:pPr>
        <w:pStyle w:val="Heading1"/>
        <w:keepNext/>
      </w:pPr>
      <w:r>
        <w:t>255. Мотивно-refined Reper-сертификат</w:t>
      </w:r>
      <w:bookmarkEnd w:id="1185"/>
    </w:p>
    <w:p>
      <w:bookmarkStart w:id="1651" w:name="s_DEF_20_6"/>
      <w:pPr/>
      <w:r>
        <w:t>Определение 20.6. Полный сертификат главы имеет вид</w:t>
      </w:r>
      <w:bookmarkEnd w:id="1651"/>
    </w:p>
    <w:p>
      <w:bookmarkStart w:id="1955" w:name="f_20_20"/>
      <w:pPr>
        <w:pStyle w:val="Quote"/>
        <w:jc w:val="center"/>
      </w:pPr>
      <w:r>
        <w:t>MotRefCert=(𝕍,K₀,𝓜,Real,Ω_ref,Z_ref,B_dyn,B_emp,src,code,D,Dom).  (20.20)</w:t>
      </w:r>
      <w:bookmarkEnd w:id="1955"/>
    </w:p>
    <w:p>
      <w:pPr/>
      <w:r>
        <w:t>Ему сопоставляется Reper-четвёрка</w:t>
      </w:r>
    </w:p>
    <w:p>
      <w:bookmarkStart w:id="1956" w:name="f_20_21"/>
      <w:pPr>
        <w:pStyle w:val="Quote"/>
        <w:jc w:val="center"/>
      </w:pPr>
      <w:r>
        <w:t>Rep_mot=(R_mot,I_mot,U_mot;D_mot),  (20.21)</w:t>
      </w:r>
      <w:bookmarkEnd w:id="1956"/>
    </w:p>
    <w:p>
      <w:pPr>
        <w:pStyle w:val="ListBullet"/>
      </w:pPr>
      <w:r>
        <w:t>R_mot: фактически построенный категориальный/мотивный/refined carrier;</w:t>
      </w:r>
    </w:p>
    <w:p>
      <w:pPr>
        <w:pStyle w:val="ListBullet"/>
      </w:pPr>
      <w:r>
        <w:t>I_mot: выбранный invariant, realization и правило сравнения;</w:t>
      </w:r>
    </w:p>
    <w:p>
      <w:pPr>
        <w:pStyle w:val="ListBullet"/>
      </w:pPr>
      <w:r>
        <w:t>U_mot: допустимые chamber, grading, completion, specialization и dynamic bridges;</w:t>
      </w:r>
    </w:p>
    <w:p>
      <w:pPr>
        <w:pStyle w:val="ListBullet"/>
      </w:pPr>
      <w:r>
        <w:t>D_mot: orientation, source provenance, software, exact/interval arithmetic, time map, evolution law и external evidence.</w:t>
      </w:r>
    </w:p>
    <w:p>
      <w:pPr/>
      <w:r>
        <w:t>Проективно-гармоническая координата λ вычисляется только для типизированной четвёрки (20.21). Она не извлекается из одного коэффициента и не назначает индексу временной смысл.</w:t>
      </w:r>
    </w:p>
    <w:p>
      <w:bookmarkStart w:id="1186" w:name="h_2660"/>
      <w:pPr>
        <w:pStyle w:val="Heading1"/>
        <w:keepNext/>
      </w:pPr>
      <w:r>
        <w:t>256. Информационные остатки и refined-CGI</w:t>
      </w:r>
      <w:bookmarkEnd w:id="1186"/>
    </w:p>
    <w:p>
      <w:pPr/>
      <w:r>
        <w:t>Вместо преждевременного сведения всех ошибок к одному числу вводится вектор остатков</w:t>
      </w:r>
    </w:p>
    <w:p>
      <w:bookmarkStart w:id="1957" w:name="f_20_22"/>
      <w:pPr>
        <w:pStyle w:val="Quote"/>
        <w:jc w:val="center"/>
      </w:pPr>
      <w:r>
        <w:t>R_ref=(r_cat,r_K₀,r_mot,r_real,r_spec,r_series,r_time,r_evol,r_obs,r_ext).  (20.22)</w:t>
      </w:r>
      <w:bookmarkEnd w:id="1957"/>
    </w:p>
    <w:p>
      <w:pPr/>
      <w:r>
        <w:t>Компоненты измеряют соответственно потерю категориальных данных, неопределённость декатегорификации, motivic orientation/gluing, неконсервативность realization, ошибку специализации, дефект completed series, отсутствие time map, нарушение evolution law, observational mismatch и внешний validation gap.</w:t>
      </w:r>
    </w:p>
    <w:p>
      <w:pPr/>
      <w:r>
        <w:t>Скалярный индекс CGI_ref=∥W R_ref∥ разрешён только после публикации весового оператора W и анализа чувствительности. Изменение W может менять ranking кандидатов, поэтому W входит в D и контрольный хеш.</w:t>
      </w:r>
    </w:p>
    <w:p>
      <w:bookmarkStart w:id="1187" w:name="h_2665"/>
      <w:pPr>
        <w:pStyle w:val="Heading1"/>
        <w:keepNext/>
      </w:pPr>
      <w:r>
        <w:t>257. Три переходных горизонта v0.17</w:t>
      </w:r>
      <w:bookmarkEnd w:id="1187"/>
    </w:p>
    <w:p>
      <w:bookmarkStart w:id="1958" w:name="f_20_23"/>
      <w:pPr>
        <w:pStyle w:val="Quote"/>
        <w:jc w:val="center"/>
      </w:pPr>
      <w:r>
        <w:t>Δ_mot = Δ_cat ∪ Δ_or ∪ Δ_glue ∪ Δ_comp ∪ Δ_real ∪ Δ_spec.  (20.23)</w:t>
      </w:r>
      <w:bookmarkEnd w:id="1958"/>
    </w:p>
    <w:p>
      <w:bookmarkStart w:id="1959" w:name="f_20_24"/>
      <w:pPr>
        <w:pStyle w:val="Quote"/>
        <w:jc w:val="center"/>
      </w:pPr>
      <w:r>
        <w:t>Δ_series = Δ_ring ∪ Δ_order ∪ Δ_wall ∪ Δ_PExp ∪ Δ_conv ∪ Δ_func.  (20.24)</w:t>
      </w:r>
      <w:bookmarkEnd w:id="1959"/>
    </w:p>
    <w:p>
      <w:bookmarkStart w:id="1960" w:name="f_20_25"/>
      <w:pPr>
        <w:pStyle w:val="Quote"/>
        <w:jc w:val="center"/>
      </w:pPr>
      <w:r>
        <w:t>Δ_dyn = Δ_time ∪ Δ_state ∪ Δ_U ∪ Δ_gen ∪ Δ_path ∪ Δ_obs ∪ Δ_cal ∪ Δ_ext.  (20.25)</w:t>
      </w:r>
      <w:bookmarkEnd w:id="1960"/>
    </w:p>
    <w:p>
      <w:pPr/>
      <w:r>
        <w:t>Первый горизонт фиксирует смену категориального/мотивного carrier, orientation, gluing, completion, realization и specialization. Второй — смену coefficient ring, порядка в quantum torus, wall, plethystic admissibility, режима сходимости и functional equation. Третий — изменение времени, state space, evolution family, generator, path model, observation, calibration и внешней проверки.</w:t>
      </w:r>
    </w:p>
    <w:p>
      <w:bookmarkStart w:id="1961" w:name="f_20_26"/>
      <w:pPr>
        <w:pStyle w:val="Quote"/>
        <w:jc w:val="center"/>
      </w:pPr>
      <w:r>
        <w:t>Δ_safe^{v0.17}=Δ_safe^{v0.16}∪Δ_mot∪Δ_series∪Δ_dyn.  (20.26)</w:t>
      </w:r>
      <w:bookmarkEnd w:id="1961"/>
    </w:p>
    <w:p>
      <w:bookmarkStart w:id="1188" w:name="h_2671"/>
      <w:pPr>
        <w:pStyle w:val="Heading1"/>
        <w:keepNext/>
      </w:pPr>
      <w:r>
        <w:t>258. Главная условная теорема T2-RP-v0.17</w:t>
      </w:r>
      <w:bookmarkEnd w:id="1188"/>
    </w:p>
    <w:p>
      <w:bookmarkStart w:id="1652" w:name="s_THM_20_5"/>
      <w:pPr/>
      <w:r>
        <w:t>Теорема 20.5 (Motivic-series-dynamic safe theorem). [COND] Пусть над связной камерой параметров выполнены условия:</w:t>
      </w:r>
      <w:bookmarkEnd w:id="1652"/>
    </w:p>
    <w:p>
      <w:pPr>
        <w:pStyle w:val="ListNumber"/>
      </w:pPr>
      <w:r>
        <w:t>существует глобальный categorified/refined carrier 𝕍_γ с доказанным descent;</w:t>
      </w:r>
    </w:p>
    <w:p>
      <w:pPr>
        <w:pStyle w:val="ListNumber"/>
      </w:pPr>
      <w:r>
        <w:t>orientation и motivic vanishing-cycle data согласованы;</w:t>
      </w:r>
    </w:p>
    <w:p>
      <w:pPr>
        <w:pStyle w:val="ListNumber"/>
      </w:pPr>
      <w:r>
        <w:t>Grothendieck, motivic и realization maps типизированы и естественны;</w:t>
      </w:r>
    </w:p>
    <w:p>
      <w:pPr>
        <w:pStyle w:val="ListNumber"/>
      </w:pPr>
      <w:r>
        <w:t>coefficient ring complete, а PExp/PLog и ordered products определены;</w:t>
      </w:r>
    </w:p>
    <w:p>
      <w:pPr>
        <w:pStyle w:val="ListNumber"/>
      </w:pPr>
      <w:r>
        <w:t>grading cone, chamber и wall-crossing transport фиксированы;</w:t>
      </w:r>
    </w:p>
    <w:p>
      <w:pPr>
        <w:pStyle w:val="ListNumber"/>
      </w:pPr>
      <w:r>
        <w:t>MotRefCert, Evidence-D и Dom валидны;</w:t>
      </w:r>
    </w:p>
    <w:p>
      <w:pPr>
        <w:pStyle w:val="ListNumber"/>
      </w:pPr>
      <w:r>
        <w:t>если заявлен временной вывод, то задан B_dyn с (20.16) и B_emp с (20.19);</w:t>
      </w:r>
    </w:p>
    <w:p>
      <w:pPr>
        <w:pStyle w:val="ListNumber"/>
      </w:pPr>
      <w:r>
        <w:t>путь γ(I) не пересекает Δ_safe^{v0.17}.</w:t>
      </w:r>
    </w:p>
    <w:p>
      <w:pPr/>
      <w:r>
        <w:t>Тогда motivic/refined profile</w:t>
      </w:r>
    </w:p>
    <w:p>
      <w:bookmarkStart w:id="1962" w:name="f_20_27"/>
      <w:pPr>
        <w:pStyle w:val="Quote"/>
        <w:jc w:val="center"/>
      </w:pPr>
      <w:r>
        <w:t>P_ref(t)=([𝕍_t],𝓜_t,Real_t,Ω_t^{ref},Z_t,chamber_t,λ_t,CGI_ref,t)  (20.27)</w:t>
      </w:r>
      <w:bookmarkEnd w:id="1962"/>
    </w:p>
    <w:p>
      <w:pPr/>
      <w:r>
        <w:t>постоянен вдоль пути с точностью до доказанного transport. Если временной мост отсутствует, допустим только вывод</w:t>
      </w:r>
    </w:p>
    <w:p>
      <w:bookmarkStart w:id="1963" w:name="f_20_28"/>
      <w:pPr>
        <w:pStyle w:val="Quote"/>
        <w:jc w:val="center"/>
      </w:pPr>
      <w:r>
        <w:t>NO-REFINED-CHANGE-IN-MODEL  или  FORMAL-SERIES-ONLY.  (20.28)</w:t>
      </w:r>
      <w:bookmarkEnd w:id="1963"/>
    </w:p>
    <w:p>
      <w:pPr/>
      <w:r>
        <w:t>Если B_dyn и B_emp закрыты, дополнительно разрешается проверка динамического профиля. Даже тогда теорема не утверждает физическую универсальность: она ограничена выбранными state space, time map, evolution law, observation и доменом.</w:t>
      </w:r>
    </w:p>
    <w:p>
      <w:bookmarkStart w:id="1189" w:name="h_2686"/>
      <w:pPr>
        <w:pStyle w:val="Heading1"/>
        <w:keepNext/>
      </w:pPr>
      <w:r>
        <w:t>259. Трёхступенчатый blocker-safe вердикт</w:t>
      </w:r>
      <w:bookmarkEnd w:id="1189"/>
    </w:p>
    <w:tbl>
      <w:tblPr>
        <w:tblStyle w:val="TableGrid"/>
        <w:tblW w:type="auto" w:w="0"/>
        <w:jc w:val="center"/>
        <w:tblLayout w:type="autofit"/>
        <w:tblLook w:firstColumn="1" w:firstRow="1" w:lastColumn="0" w:lastRow="0" w:noHBand="0" w:noVBand="1" w:val="04A0"/>
      </w:tblPr>
      <w:tblGrid>
        <w:gridCol w:w="3251"/>
        <w:gridCol w:w="3251"/>
        <w:gridCol w:w="3251"/>
      </w:tblGrid>
      <w:tr>
        <w:trPr>
          <w:tblHeader w:val="true"/>
          <w:cantSplit/>
        </w:trPr>
        <w:tc>
          <w:tcPr>
            <w:tcW w:type="dxa" w:w="1531"/>
            <w:tcMar>
              <w:top w:w="90" w:type="dxa"/>
              <w:start w:w="110" w:type="dxa"/>
              <w:bottom w:w="90" w:type="dxa"/>
              <w:end w:w="110" w:type="dxa"/>
            </w:tcMar>
            <w:vAlign w:val="center"/>
            <w:shd w:fill="17345F"/>
          </w:tcPr>
          <w:p>
            <w:pPr>
              <w:spacing w:after="0" w:before="0" w:line="240" w:lineRule="auto"/>
            </w:pPr>
            <w:r>
              <w:rPr>
                <w:b/>
                <w:color w:val="FFFFFF"/>
                <w:sz w:val="17"/>
              </w:rPr>
              <w:t>Ступень</w:t>
            </w:r>
          </w:p>
        </w:tc>
        <w:tc>
          <w:tcPr>
            <w:tcW w:type="dxa" w:w="4025"/>
            <w:tcMar>
              <w:top w:w="90" w:type="dxa"/>
              <w:start w:w="110" w:type="dxa"/>
              <w:bottom w:w="90" w:type="dxa"/>
              <w:end w:w="110" w:type="dxa"/>
            </w:tcMar>
            <w:vAlign w:val="center"/>
            <w:shd w:fill="17345F"/>
          </w:tcPr>
          <w:p>
            <w:pPr>
              <w:spacing w:after="0" w:before="0" w:line="240" w:lineRule="auto"/>
            </w:pPr>
            <w:r>
              <w:rPr>
                <w:b/>
                <w:color w:val="FFFFFF"/>
                <w:sz w:val="17"/>
              </w:rPr>
              <w:t>Необходимые условия</w:t>
            </w:r>
          </w:p>
        </w:tc>
        <w:tc>
          <w:tcPr>
            <w:tcW w:type="dxa" w:w="3515"/>
            <w:tcMar>
              <w:top w:w="90" w:type="dxa"/>
              <w:start w:w="110" w:type="dxa"/>
              <w:bottom w:w="90" w:type="dxa"/>
              <w:end w:w="110" w:type="dxa"/>
            </w:tcMar>
            <w:vAlign w:val="center"/>
            <w:shd w:fill="17345F"/>
          </w:tcPr>
          <w:p>
            <w:pPr>
              <w:spacing w:after="0" w:before="0" w:line="240" w:lineRule="auto"/>
            </w:pPr>
            <w:r>
              <w:rPr>
                <w:b/>
                <w:color w:val="FFFFFF"/>
                <w:sz w:val="17"/>
              </w:rPr>
              <w:t>Допустимый результат</w:t>
            </w:r>
          </w:p>
        </w:tc>
      </w:tr>
      <w:tr>
        <w:trPr>
          <w:cantSplit/>
        </w:trPr>
        <w:tc>
          <w:tcPr>
            <w:tcW w:type="dxa" w:w="1531"/>
            <w:tcMar>
              <w:top w:w="90" w:type="dxa"/>
              <w:start w:w="110" w:type="dxa"/>
              <w:bottom w:w="90" w:type="dxa"/>
              <w:end w:w="110" w:type="dxa"/>
            </w:tcMar>
            <w:vAlign w:val="center"/>
          </w:tcPr>
          <w:p>
            <w:pPr>
              <w:spacing w:after="0" w:before="0" w:line="240" w:lineRule="auto"/>
            </w:pPr>
            <w:r>
              <w:rPr>
                <w:b w:val="0"/>
                <w:sz w:val="17"/>
              </w:rPr>
              <w:t>M: categorified/motivic</w:t>
            </w:r>
          </w:p>
        </w:tc>
        <w:tc>
          <w:tcPr>
            <w:tcW w:type="dxa" w:w="4025"/>
            <w:tcMar>
              <w:top w:w="90" w:type="dxa"/>
              <w:start w:w="110" w:type="dxa"/>
              <w:bottom w:w="90" w:type="dxa"/>
              <w:end w:w="110" w:type="dxa"/>
            </w:tcMar>
            <w:vAlign w:val="center"/>
          </w:tcPr>
          <w:p>
            <w:pPr>
              <w:spacing w:after="0" w:before="0" w:line="240" w:lineRule="auto"/>
            </w:pPr>
            <w:r>
              <w:rPr>
                <w:b w:val="0"/>
                <w:sz w:val="17"/>
              </w:rPr>
              <w:t>carrier, orientation, descent, realization</w:t>
            </w:r>
          </w:p>
        </w:tc>
        <w:tc>
          <w:tcPr>
            <w:tcW w:type="dxa" w:w="3515"/>
            <w:tcMar>
              <w:top w:w="90" w:type="dxa"/>
              <w:start w:w="110" w:type="dxa"/>
              <w:bottom w:w="90" w:type="dxa"/>
              <w:end w:w="110" w:type="dxa"/>
            </w:tcMar>
            <w:vAlign w:val="center"/>
          </w:tcPr>
          <w:p>
            <w:pPr>
              <w:spacing w:after="0" w:before="0" w:line="240" w:lineRule="auto"/>
            </w:pPr>
            <w:r>
              <w:rPr>
                <w:b w:val="0"/>
                <w:sz w:val="17"/>
              </w:rPr>
              <w:t>MOTIVIC-STABLE / CANDIDATE-MOTIVIC-JUMP / ABSTAIN</w:t>
            </w:r>
          </w:p>
        </w:tc>
      </w:tr>
      <w:tr>
        <w:trPr>
          <w:cantSplit/>
        </w:trPr>
        <w:tc>
          <w:tcPr>
            <w:tcW w:type="dxa" w:w="1531"/>
            <w:tcMar>
              <w:top w:w="90" w:type="dxa"/>
              <w:start w:w="110" w:type="dxa"/>
              <w:bottom w:w="90" w:type="dxa"/>
              <w:end w:w="110" w:type="dxa"/>
            </w:tcMar>
            <w:vAlign w:val="center"/>
          </w:tcPr>
          <w:p>
            <w:pPr>
              <w:spacing w:after="0" w:before="0" w:line="240" w:lineRule="auto"/>
            </w:pPr>
            <w:r>
              <w:rPr>
                <w:b w:val="0"/>
                <w:sz w:val="17"/>
              </w:rPr>
              <w:t>S: generating series</w:t>
            </w:r>
          </w:p>
        </w:tc>
        <w:tc>
          <w:tcPr>
            <w:tcW w:type="dxa" w:w="4025"/>
            <w:tcMar>
              <w:top w:w="90" w:type="dxa"/>
              <w:start w:w="110" w:type="dxa"/>
              <w:bottom w:w="90" w:type="dxa"/>
              <w:end w:w="110" w:type="dxa"/>
            </w:tcMar>
            <w:vAlign w:val="center"/>
          </w:tcPr>
          <w:p>
            <w:pPr>
              <w:spacing w:after="0" w:before="0" w:line="240" w:lineRule="auto"/>
            </w:pPr>
            <w:r>
              <w:rPr>
                <w:b w:val="0"/>
                <w:sz w:val="17"/>
              </w:rPr>
              <w:t>completion, ordering, PExp/PLog, chamber</w:t>
            </w:r>
          </w:p>
        </w:tc>
        <w:tc>
          <w:tcPr>
            <w:tcW w:type="dxa" w:w="3515"/>
            <w:tcMar>
              <w:top w:w="90" w:type="dxa"/>
              <w:start w:w="110" w:type="dxa"/>
              <w:bottom w:w="90" w:type="dxa"/>
              <w:end w:w="110" w:type="dxa"/>
            </w:tcMar>
            <w:vAlign w:val="center"/>
          </w:tcPr>
          <w:p>
            <w:pPr>
              <w:spacing w:after="0" w:before="0" w:line="240" w:lineRule="auto"/>
            </w:pPr>
            <w:r>
              <w:rPr>
                <w:b w:val="0"/>
                <w:sz w:val="17"/>
              </w:rPr>
              <w:t>SERIES-STABLE / CANDIDATE-SERIES-JUMP / FORMAL-SERIES-ONLY</w:t>
            </w:r>
          </w:p>
        </w:tc>
      </w:tr>
      <w:tr>
        <w:trPr>
          <w:cantSplit/>
        </w:trPr>
        <w:tc>
          <w:tcPr>
            <w:tcW w:type="dxa" w:w="1531"/>
            <w:tcMar>
              <w:top w:w="90" w:type="dxa"/>
              <w:start w:w="110" w:type="dxa"/>
              <w:bottom w:w="90" w:type="dxa"/>
              <w:end w:w="110" w:type="dxa"/>
            </w:tcMar>
            <w:vAlign w:val="center"/>
          </w:tcPr>
          <w:p>
            <w:pPr>
              <w:spacing w:after="0" w:before="0" w:line="240" w:lineRule="auto"/>
            </w:pPr>
            <w:r>
              <w:rPr>
                <w:b w:val="0"/>
                <w:sz w:val="17"/>
              </w:rPr>
              <w:t>D: dynamics</w:t>
            </w:r>
          </w:p>
        </w:tc>
        <w:tc>
          <w:tcPr>
            <w:tcW w:type="dxa" w:w="4025"/>
            <w:tcMar>
              <w:top w:w="90" w:type="dxa"/>
              <w:start w:w="110" w:type="dxa"/>
              <w:bottom w:w="90" w:type="dxa"/>
              <w:end w:w="110" w:type="dxa"/>
            </w:tcMar>
            <w:vAlign w:val="center"/>
          </w:tcPr>
          <w:p>
            <w:pPr>
              <w:spacing w:after="0" w:before="0" w:line="240" w:lineRule="auto"/>
            </w:pPr>
            <w:r>
              <w:rPr>
                <w:b w:val="0"/>
                <w:sz w:val="17"/>
              </w:rPr>
              <w:t>τ, state space, U(t,s), generator/path law</w:t>
            </w:r>
          </w:p>
        </w:tc>
        <w:tc>
          <w:tcPr>
            <w:tcW w:type="dxa" w:w="3515"/>
            <w:tcMar>
              <w:top w:w="90" w:type="dxa"/>
              <w:start w:w="110" w:type="dxa"/>
              <w:bottom w:w="90" w:type="dxa"/>
              <w:end w:w="110" w:type="dxa"/>
            </w:tcMar>
            <w:vAlign w:val="center"/>
          </w:tcPr>
          <w:p>
            <w:pPr>
              <w:spacing w:after="0" w:before="0" w:line="240" w:lineRule="auto"/>
            </w:pPr>
            <w:r>
              <w:rPr>
                <w:b w:val="0"/>
                <w:sz w:val="17"/>
              </w:rPr>
              <w:t>DYNAMIC-CANDIDATE / NO-DYNAMIC-CHANGE-IN-MODEL / ABSTAIN</w:t>
            </w:r>
          </w:p>
        </w:tc>
      </w:tr>
      <w:tr>
        <w:trPr>
          <w:cantSplit/>
        </w:trPr>
        <w:tc>
          <w:tcPr>
            <w:tcW w:type="dxa" w:w="1531"/>
            <w:tcMar>
              <w:top w:w="90" w:type="dxa"/>
              <w:start w:w="110" w:type="dxa"/>
              <w:bottom w:w="90" w:type="dxa"/>
              <w:end w:w="110" w:type="dxa"/>
            </w:tcMar>
            <w:vAlign w:val="center"/>
          </w:tcPr>
          <w:p>
            <w:pPr>
              <w:spacing w:after="0" w:before="0" w:line="240" w:lineRule="auto"/>
            </w:pPr>
            <w:r>
              <w:rPr>
                <w:b w:val="0"/>
                <w:sz w:val="17"/>
              </w:rPr>
              <w:t>E: empirical</w:t>
            </w:r>
          </w:p>
        </w:tc>
        <w:tc>
          <w:tcPr>
            <w:tcW w:type="dxa" w:w="4025"/>
            <w:tcMar>
              <w:top w:w="90" w:type="dxa"/>
              <w:start w:w="110" w:type="dxa"/>
              <w:bottom w:w="90" w:type="dxa"/>
              <w:end w:w="110" w:type="dxa"/>
            </w:tcMar>
            <w:vAlign w:val="center"/>
          </w:tcPr>
          <w:p>
            <w:pPr>
              <w:spacing w:after="0" w:before="0" w:line="240" w:lineRule="auto"/>
            </w:pPr>
            <w:r>
              <w:rPr>
                <w:b w:val="0"/>
                <w:sz w:val="17"/>
              </w:rPr>
              <w:t>Obs, calibration, frozen split, EXT-RUN</w:t>
            </w:r>
          </w:p>
        </w:tc>
        <w:tc>
          <w:tcPr>
            <w:tcW w:type="dxa" w:w="3515"/>
            <w:tcMar>
              <w:top w:w="90" w:type="dxa"/>
              <w:start w:w="110" w:type="dxa"/>
              <w:bottom w:w="90" w:type="dxa"/>
              <w:end w:w="110" w:type="dxa"/>
            </w:tcMar>
            <w:vAlign w:val="center"/>
          </w:tcPr>
          <w:p>
            <w:pPr>
              <w:spacing w:after="0" w:before="0" w:line="240" w:lineRule="auto"/>
            </w:pPr>
            <w:r>
              <w:rPr>
                <w:b w:val="0"/>
                <w:sz w:val="17"/>
              </w:rPr>
              <w:t>EMPIRICALLY-VALIDATED / FALSIFIED-IN-DOMAIN / ABSTAIN</w:t>
            </w:r>
          </w:p>
        </w:tc>
      </w:tr>
    </w:tbl>
    <w:p>
      <w:pPr>
        <w:spacing w:after="0"/>
      </w:pPr>
    </w:p>
    <w:p>
      <w:pPr>
        <w:jc w:val="center"/>
      </w:pPr>
      <w:r>
        <w:drawing>
          <wp:inline xmlns:a="http://schemas.openxmlformats.org/drawingml/2006/main" xmlns:pic="http://schemas.openxmlformats.org/drawingml/2006/picture">
            <wp:extent cx="5796000" cy="3623844"/>
            <wp:docPr id="54" name="Picture 54" descr="Рисунок 20.3. Трёхступенчатый motivic/series/dynamic verdict. Собственная схема Тома II." title="Рисунок 20.3. Трёхступенчатый motivic/series/dynamic verdict. Собственная схема Тома II."/>
            <wp:cNvGraphicFramePr>
              <a:graphicFrameLocks noChangeAspect="1"/>
            </wp:cNvGraphicFramePr>
            <a:graphic>
              <a:graphicData uri="http://schemas.openxmlformats.org/drawingml/2006/picture">
                <pic:pic>
                  <pic:nvPicPr>
                    <pic:cNvPr id="0" name="fig20_3.png" descr="Рисунок 20.3. Трёхступенчатый motivic/series/dynamic verdict. Собственная схема Тома II." title="Рисунок 20.3. Трёхступенчатый motivic/series/dynamic verdict. Собственная схема Тома II."/>
                    <pic:cNvPicPr/>
                  </pic:nvPicPr>
                  <pic:blipFill>
                    <a:blip r:embed="rId91"/>
                    <a:stretch>
                      <a:fillRect/>
                    </a:stretch>
                  </pic:blipFill>
                  <pic:spPr>
                    <a:xfrm>
                      <a:off x="0" y="0"/>
                      <a:ext cx="5796000" cy="3623844"/>
                    </a:xfrm>
                    <a:prstGeom prst="rect"/>
                  </pic:spPr>
                </pic:pic>
              </a:graphicData>
            </a:graphic>
          </wp:inline>
        </w:drawing>
      </w:r>
    </w:p>
    <w:p>
      <w:pPr>
        <w:pStyle w:val="Caption"/>
        <w:keepNext w:val="0"/>
        <w:jc w:val="center"/>
      </w:pPr>
      <w:r>
        <w:t>Рисунок 20.3. Трёхступенчатый motivic/series/dynamic verdict. Собственная схема Тома II.</w:t>
      </w:r>
    </w:p>
    <w:p>
      <w:bookmarkStart w:id="1190" w:name="h_2690"/>
      <w:pPr>
        <w:pStyle w:val="Heading1"/>
        <w:keepNext/>
      </w:pPr>
      <w:r>
        <w:t>260. Контрпримеры и разделяющие модели</w:t>
      </w:r>
      <w:bookmarkEnd w:id="1190"/>
    </w:p>
    <w:p>
      <w:pPr>
        <w:pStyle w:val="ListBullet"/>
      </w:pPr>
      <w:r>
        <w:t>Perf(k) и Perf(k[ε]/ε²) имеют K₀≅ℤ, но не эквивалентны как tensor-triangulated categories.</w:t>
      </w:r>
    </w:p>
    <w:p>
      <w:pPr>
        <w:pStyle w:val="ListBullet"/>
      </w:pPr>
      <w:r>
        <w:t>𝔸¹ и pt имеют одинаковую χ_c, но разные Hodge-Deligne realizations uv и 1.</w:t>
      </w:r>
    </w:p>
    <w:p>
      <w:pPr>
        <w:pStyle w:val="ListBullet"/>
      </w:pPr>
      <w:r>
        <w:t>Разные refined polynomials могут иметь одинаковую specialization при y=1.</w:t>
      </w:r>
    </w:p>
    <w:p>
      <w:pPr>
        <w:pStyle w:val="ListBullet"/>
      </w:pPr>
      <w:r>
        <w:t>Один и тот же ряд Z(q) допускает временные разметки τ(n)=n и τ(n)=n².</w:t>
      </w:r>
    </w:p>
    <w:p>
      <w:pPr>
        <w:pStyle w:val="ListBullet"/>
      </w:pPr>
      <w:r>
        <w:t>Рекуррентность коэффициентов не задаёт state space: scalar recurrence и companion-matrix system имеют разные carriers.</w:t>
      </w:r>
    </w:p>
    <w:p>
      <w:pPr>
        <w:pStyle w:val="ListBullet"/>
      </w:pPr>
      <w:r>
        <w:t>Рациональная функция может иметь несколько Laurent-разложений в разных камерах; их порядок не является временем.</w:t>
      </w:r>
    </w:p>
    <w:p>
      <w:pPr>
        <w:pStyle w:val="ListBullet"/>
      </w:pPr>
      <w:r>
        <w:t>Положительные коэффициенты не гарантируют Markov property и нормировку суммы к единице.</w:t>
      </w:r>
    </w:p>
    <w:p>
      <w:pPr>
        <w:pStyle w:val="ListBullet"/>
      </w:pPr>
      <w:r>
        <w:t>Quantum-torus product зависит от порядка, но ordered ray factorization является wall-crossing datum, а не chronology.</w:t>
      </w:r>
    </w:p>
    <w:p>
      <w:pPr>
        <w:pStyle w:val="ListBullet"/>
      </w:pPr>
      <w:r>
        <w:t>Нулевой числовой индекс может возникать из cancellation ненулевых cohomological pieces.</w:t>
      </w:r>
    </w:p>
    <w:p>
      <w:pPr>
        <w:pStyle w:val="ListBullet"/>
      </w:pPr>
      <w:r>
        <w:t>Ненулевой motivic class может иметь нулевую Euler realization.</w:t>
      </w:r>
    </w:p>
    <w:p>
      <w:pPr>
        <w:pStyle w:val="ListBullet"/>
      </w:pPr>
      <w:r>
        <w:t>Функциональное уравнение q↦q^{-1} выражает duality, а не обратимость временной эволюции.</w:t>
      </w:r>
    </w:p>
    <w:p>
      <w:pPr>
        <w:pStyle w:val="ListBullet"/>
      </w:pPr>
      <w:r>
        <w:t>λ=-1 для Rep_mot не создаёт τ, U(t,s), Obs или EXT-RUN.</w:t>
      </w:r>
    </w:p>
    <w:p>
      <w:bookmarkStart w:id="1191" w:name="h_2703"/>
      <w:pPr>
        <w:pStyle w:val="Heading1"/>
        <w:keepNext/>
      </w:pPr>
      <w:r>
        <w:t>261. Вычислительный сертификат MOT-REF-SER-DYN v0.17</w:t>
      </w:r>
      <w:bookmarkEnd w:id="1191"/>
    </w:p>
    <w:p>
      <w:pPr>
        <w:pStyle w:val="ListBullet"/>
      </w:pPr>
      <w:r>
        <w:t>MOT-01 category/carrier inventory; MOT-02 morphism and Ext typing; MOT-03 K₀ relations; MOT-04 tensor/monoidal data;</w:t>
      </w:r>
    </w:p>
    <w:p>
      <w:pPr>
        <w:pStyle w:val="ListBullet"/>
      </w:pPr>
      <w:r>
        <w:t>MOT-05 Grothendieck motivic ring; MOT-06 localization by 𝕃; MOT-07 square-root convention; MOT-08 completion/filtration;</w:t>
      </w:r>
    </w:p>
    <w:p>
      <w:pPr>
        <w:pStyle w:val="ListBullet"/>
      </w:pPr>
      <w:r>
        <w:t>MOT-09 vanishing-cycle chart; MOT-10 orientation data; MOT-11 descent/gluing; MOT-12 realization ledger;</w:t>
      </w:r>
    </w:p>
    <w:p>
      <w:pPr>
        <w:pStyle w:val="ListBullet"/>
      </w:pPr>
      <w:r>
        <w:t>MOT-13 Hodge/weight/Poincaré data; MOT-14 numerical specialization; MOT-15 information-loss tests; MOT-16 refined invariant;</w:t>
      </w:r>
    </w:p>
    <w:p>
      <w:pPr>
        <w:pStyle w:val="ListBullet"/>
      </w:pPr>
      <w:r>
        <w:t>MOT-17 CoHA correspondence; MOT-18 associativity/PBW test; MOT-19 BPS carrier; MOT-20 integrality certificate;</w:t>
      </w:r>
    </w:p>
    <w:p>
      <w:pPr>
        <w:pStyle w:val="ListBullet"/>
      </w:pPr>
      <w:r>
        <w:t>MOT-21 generating series; MOT-22 coefficient monoid; MOT-23 PExp/PLog; MOT-24 quantum-torus ordering;</w:t>
      </w:r>
    </w:p>
    <w:p>
      <w:pPr>
        <w:pStyle w:val="ListBullet"/>
      </w:pPr>
      <w:r>
        <w:t>MOT-25 wall/functional equation; MOT-26 exact/formal/convergent status; MOT-27 time map τ; MOT-28 state space;</w:t>
      </w:r>
    </w:p>
    <w:p>
      <w:pPr>
        <w:pStyle w:val="ListBullet"/>
      </w:pPr>
      <w:r>
        <w:t>MOT-29 evolution cocycle; MOT-30 observation/calibration/EXT-RUN; MOT-31 blocker-safe verdict; MOT-32 source/code/data/environment hashes.</w:t>
      </w:r>
    </w:p>
    <w:p>
      <w:pPr>
        <w:pStyle w:val="Heading2"/>
        <w:keepNext/>
      </w:pPr>
      <w:r>
        <w:t>Псевдокод</w:t>
      </w:r>
    </w:p>
    <w:p>
      <w:pPr>
        <w:pStyle w:val="Quote"/>
        <w:jc w:val="center"/>
      </w:pPr>
      <w:r>
        <w:t>INPUT categorified carrier, motivic ring, realizations, refined coefficients, chamber, optional dynamic bridge</w:t>
        <w:br/>
        <w:t>CHECK category/K₀/motive/realization types and information-loss ledger</w:t>
        <w:br/>
        <w:t>BUILD Z_ref in certified completion; CHECK ordering, PExp/PLog and wall data</w:t>
        <w:br/>
        <w:t>IF no τ or U(t,s): RETURN FORMAL-SERIES-ONLY</w:t>
        <w:br/>
        <w:t>CHECK evolution cocycle, observation model, calibration and EXT-RUN</w:t>
        <w:br/>
        <w:t>IF any blocker: RETURN ABSTAIN</w:t>
        <w:br/>
        <w:t>ELSE RETURN domain-bounded refined/dynamic verdict + hashes</w:t>
      </w:r>
    </w:p>
    <w:p>
      <w:bookmarkStart w:id="1192" w:name="h_2714"/>
      <w:pPr>
        <w:pStyle w:val="Heading1"/>
        <w:keepNext/>
      </w:pPr>
      <w:r>
        <w:t>262. Доказательные обязательства T2-PO-283–T2-PO-314</w:t>
      </w:r>
      <w:bookmarkEnd w:id="1192"/>
    </w:p>
    <w:tbl>
      <w:tblPr>
        <w:tblStyle w:val="TableGrid"/>
        <w:tblW w:type="auto" w:w="0"/>
        <w:jc w:val="center"/>
        <w:tblLayout w:type="autofit"/>
        <w:tblLook w:firstColumn="1" w:firstRow="1" w:lastColumn="0" w:lastRow="0" w:noHBand="0" w:noVBand="1" w:val="04A0"/>
      </w:tblPr>
      <w:tblGrid>
        <w:gridCol w:w="2438"/>
        <w:gridCol w:w="2438"/>
        <w:gridCol w:w="2438"/>
        <w:gridCol w:w="2438"/>
      </w:tblGrid>
      <w:tr>
        <w:trPr>
          <w:tblHeader w:val="true"/>
          <w:cantSplit/>
        </w:trPr>
        <w:tc>
          <w:tcPr>
            <w:tcW w:type="dxa" w:w="1304"/>
            <w:tcMar>
              <w:top w:w="90" w:type="dxa"/>
              <w:start w:w="110" w:type="dxa"/>
              <w:bottom w:w="90" w:type="dxa"/>
              <w:end w:w="110" w:type="dxa"/>
            </w:tcMar>
            <w:vAlign w:val="center"/>
            <w:shd w:fill="17345F"/>
          </w:tcPr>
          <w:p>
            <w:pPr>
              <w:spacing w:after="0" w:before="0" w:line="240" w:lineRule="auto"/>
            </w:pPr>
            <w:r>
              <w:rPr>
                <w:b/>
                <w:color w:val="FFFFFF"/>
                <w:sz w:val="15"/>
              </w:rPr>
              <w:t>PO</w:t>
            </w:r>
          </w:p>
        </w:tc>
        <w:tc>
          <w:tcPr>
            <w:tcW w:type="dxa" w:w="3685"/>
            <w:tcMar>
              <w:top w:w="90" w:type="dxa"/>
              <w:start w:w="110" w:type="dxa"/>
              <w:bottom w:w="90" w:type="dxa"/>
              <w:end w:w="110" w:type="dxa"/>
            </w:tcMar>
            <w:vAlign w:val="center"/>
            <w:shd w:fill="17345F"/>
          </w:tcPr>
          <w:p>
            <w:pPr>
              <w:spacing w:after="0" w:before="0" w:line="240" w:lineRule="auto"/>
            </w:pPr>
            <w:r>
              <w:rPr>
                <w:b/>
                <w:color w:val="FFFFFF"/>
                <w:sz w:val="15"/>
              </w:rPr>
              <w:t>Обязательство</w:t>
            </w:r>
          </w:p>
        </w:tc>
        <w:tc>
          <w:tcPr>
            <w:tcW w:type="dxa" w:w="1417"/>
            <w:tcMar>
              <w:top w:w="90" w:type="dxa"/>
              <w:start w:w="110" w:type="dxa"/>
              <w:bottom w:w="90" w:type="dxa"/>
              <w:end w:w="110" w:type="dxa"/>
            </w:tcMar>
            <w:vAlign w:val="center"/>
            <w:shd w:fill="17345F"/>
          </w:tcPr>
          <w:p>
            <w:pPr>
              <w:spacing w:after="0" w:before="0" w:line="240" w:lineRule="auto"/>
            </w:pPr>
            <w:r>
              <w:rPr>
                <w:b/>
                <w:color w:val="FFFFFF"/>
                <w:sz w:val="15"/>
              </w:rPr>
              <w:t>Статус</w:t>
            </w:r>
          </w:p>
        </w:tc>
        <w:tc>
          <w:tcPr>
            <w:tcW w:type="dxa" w:w="2835"/>
            <w:tcMar>
              <w:top w:w="90" w:type="dxa"/>
              <w:start w:w="110" w:type="dxa"/>
              <w:bottom w:w="90" w:type="dxa"/>
              <w:end w:w="110" w:type="dxa"/>
            </w:tcMar>
            <w:vAlign w:val="center"/>
            <w:shd w:fill="17345F"/>
          </w:tcPr>
          <w:p>
            <w:pPr>
              <w:spacing w:after="0" w:before="0" w:line="240" w:lineRule="auto"/>
            </w:pPr>
            <w:r>
              <w:rPr>
                <w:b/>
                <w:color w:val="FFFFFF"/>
                <w:sz w:val="15"/>
              </w:rPr>
              <w:t>Условие закрытия</w:t>
            </w:r>
          </w:p>
        </w:tc>
      </w:tr>
      <w:tr>
        <w:trPr>
          <w:cantSplit/>
        </w:trPr>
        <w:tc>
          <w:tcPr>
            <w:tcW w:type="dxa" w:w="1304"/>
            <w:tcMar>
              <w:top w:w="90" w:type="dxa"/>
              <w:start w:w="110" w:type="dxa"/>
              <w:bottom w:w="90" w:type="dxa"/>
              <w:end w:w="110" w:type="dxa"/>
            </w:tcMar>
            <w:vAlign w:val="center"/>
          </w:tcPr>
          <w:p>
            <w:bookmarkStart w:id="2379" w:name="po_283"/>
            <w:pPr>
              <w:spacing w:after="0" w:before="0" w:line="240" w:lineRule="auto"/>
            </w:pPr>
            <w:r>
              <w:rPr>
                <w:b w:val="0"/>
                <w:sz w:val="15"/>
              </w:rPr>
              <w:t>T2-PO-283</w:t>
            </w:r>
            <w:bookmarkEnd w:id="2379"/>
          </w:p>
        </w:tc>
        <w:tc>
          <w:tcPr>
            <w:tcW w:type="dxa" w:w="3685"/>
            <w:tcMar>
              <w:top w:w="90" w:type="dxa"/>
              <w:start w:w="110" w:type="dxa"/>
              <w:bottom w:w="90" w:type="dxa"/>
              <w:end w:w="110" w:type="dxa"/>
            </w:tcMar>
            <w:vAlign w:val="center"/>
          </w:tcPr>
          <w:p>
            <w:pPr>
              <w:spacing w:after="0" w:before="0" w:line="240" w:lineRule="auto"/>
            </w:pPr>
            <w:r>
              <w:rPr>
                <w:b w:val="0"/>
                <w:sz w:val="15"/>
              </w:rPr>
              <w:t>Определить категориальный carrier общей 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Concrete stable/dg/∞ category.</w:t>
            </w:r>
          </w:p>
        </w:tc>
      </w:tr>
      <w:tr>
        <w:trPr>
          <w:cantSplit/>
        </w:trPr>
        <w:tc>
          <w:tcPr>
            <w:tcW w:type="dxa" w:w="1304"/>
            <w:tcMar>
              <w:top w:w="90" w:type="dxa"/>
              <w:start w:w="110" w:type="dxa"/>
              <w:bottom w:w="90" w:type="dxa"/>
              <w:end w:w="110" w:type="dxa"/>
            </w:tcMar>
            <w:vAlign w:val="center"/>
          </w:tcPr>
          <w:p>
            <w:bookmarkStart w:id="2380" w:name="po_284"/>
            <w:pPr>
              <w:spacing w:after="0" w:before="0" w:line="240" w:lineRule="auto"/>
            </w:pPr>
            <w:r>
              <w:rPr>
                <w:b w:val="0"/>
                <w:sz w:val="15"/>
              </w:rPr>
              <w:t>T2-PO-284</w:t>
            </w:r>
            <w:bookmarkEnd w:id="2380"/>
          </w:p>
        </w:tc>
        <w:tc>
          <w:tcPr>
            <w:tcW w:type="dxa" w:w="3685"/>
            <w:tcMar>
              <w:top w:w="90" w:type="dxa"/>
              <w:start w:w="110" w:type="dxa"/>
              <w:bottom w:w="90" w:type="dxa"/>
              <w:end w:w="110" w:type="dxa"/>
            </w:tcMar>
            <w:vAlign w:val="center"/>
          </w:tcPr>
          <w:p>
            <w:pPr>
              <w:spacing w:after="0" w:before="0" w:line="240" w:lineRule="auto"/>
            </w:pPr>
            <w:r>
              <w:rPr>
                <w:b w:val="0"/>
                <w:sz w:val="15"/>
              </w:rPr>
              <w:t>Построить functorial K₀.</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Exact/triangulated structure and naturality.</w:t>
            </w:r>
          </w:p>
        </w:tc>
      </w:tr>
      <w:tr>
        <w:trPr>
          <w:cantSplit/>
        </w:trPr>
        <w:tc>
          <w:tcPr>
            <w:tcW w:type="dxa" w:w="1304"/>
            <w:tcMar>
              <w:top w:w="90" w:type="dxa"/>
              <w:start w:w="110" w:type="dxa"/>
              <w:bottom w:w="90" w:type="dxa"/>
              <w:end w:w="110" w:type="dxa"/>
            </w:tcMar>
            <w:vAlign w:val="center"/>
          </w:tcPr>
          <w:p>
            <w:bookmarkStart w:id="2381" w:name="po_285"/>
            <w:pPr>
              <w:spacing w:after="0" w:before="0" w:line="240" w:lineRule="auto"/>
            </w:pPr>
            <w:r>
              <w:rPr>
                <w:b w:val="0"/>
                <w:sz w:val="15"/>
              </w:rPr>
              <w:t>T2-PO-285</w:t>
            </w:r>
            <w:bookmarkEnd w:id="2381"/>
          </w:p>
        </w:tc>
        <w:tc>
          <w:tcPr>
            <w:tcW w:type="dxa" w:w="3685"/>
            <w:tcMar>
              <w:top w:w="90" w:type="dxa"/>
              <w:start w:w="110" w:type="dxa"/>
              <w:bottom w:w="90" w:type="dxa"/>
              <w:end w:w="110" w:type="dxa"/>
            </w:tcMar>
            <w:vAlign w:val="center"/>
          </w:tcPr>
          <w:p>
            <w:pPr>
              <w:spacing w:after="0" w:before="0" w:line="240" w:lineRule="auto"/>
            </w:pPr>
            <w:r>
              <w:rPr>
                <w:b w:val="0"/>
                <w:sz w:val="15"/>
              </w:rPr>
              <w:t>Доказать tensor compatibility декатегорификации.</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Monoidal enhancement.</w:t>
            </w:r>
          </w:p>
        </w:tc>
      </w:tr>
      <w:tr>
        <w:trPr>
          <w:cantSplit/>
        </w:trPr>
        <w:tc>
          <w:tcPr>
            <w:tcW w:type="dxa" w:w="1304"/>
            <w:tcMar>
              <w:top w:w="90" w:type="dxa"/>
              <w:start w:w="110" w:type="dxa"/>
              <w:bottom w:w="90" w:type="dxa"/>
              <w:end w:w="110" w:type="dxa"/>
            </w:tcMar>
            <w:vAlign w:val="center"/>
          </w:tcPr>
          <w:p>
            <w:bookmarkStart w:id="2382" w:name="po_286"/>
            <w:pPr>
              <w:spacing w:after="0" w:before="0" w:line="240" w:lineRule="auto"/>
            </w:pPr>
            <w:r>
              <w:rPr>
                <w:b w:val="0"/>
                <w:sz w:val="15"/>
              </w:rPr>
              <w:t>T2-PO-286</w:t>
            </w:r>
            <w:bookmarkEnd w:id="2382"/>
          </w:p>
        </w:tc>
        <w:tc>
          <w:tcPr>
            <w:tcW w:type="dxa" w:w="3685"/>
            <w:tcMar>
              <w:top w:w="90" w:type="dxa"/>
              <w:start w:w="110" w:type="dxa"/>
              <w:bottom w:w="90" w:type="dxa"/>
              <w:end w:w="110" w:type="dxa"/>
            </w:tcMar>
            <w:vAlign w:val="center"/>
          </w:tcPr>
          <w:p>
            <w:pPr>
              <w:spacing w:after="0" w:before="0" w:line="240" w:lineRule="auto"/>
            </w:pPr>
            <w:r>
              <w:rPr>
                <w:b w:val="0"/>
                <w:sz w:val="15"/>
              </w:rPr>
              <w:t>Зафиксировать motivic coefficient ring.</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Ring/localization/completion passport.</w:t>
            </w:r>
          </w:p>
        </w:tc>
      </w:tr>
      <w:tr>
        <w:trPr>
          <w:cantSplit/>
        </w:trPr>
        <w:tc>
          <w:tcPr>
            <w:tcW w:type="dxa" w:w="1304"/>
            <w:tcMar>
              <w:top w:w="90" w:type="dxa"/>
              <w:start w:w="110" w:type="dxa"/>
              <w:bottom w:w="90" w:type="dxa"/>
              <w:end w:w="110" w:type="dxa"/>
            </w:tcMar>
            <w:vAlign w:val="center"/>
          </w:tcPr>
          <w:p>
            <w:bookmarkStart w:id="2383" w:name="po_287"/>
            <w:pPr>
              <w:spacing w:after="0" w:before="0" w:line="240" w:lineRule="auto"/>
            </w:pPr>
            <w:r>
              <w:rPr>
                <w:b w:val="0"/>
                <w:sz w:val="15"/>
              </w:rPr>
              <w:t>T2-PO-287</w:t>
            </w:r>
            <w:bookmarkEnd w:id="2383"/>
          </w:p>
        </w:tc>
        <w:tc>
          <w:tcPr>
            <w:tcW w:type="dxa" w:w="3685"/>
            <w:tcMar>
              <w:top w:w="90" w:type="dxa"/>
              <w:start w:w="110" w:type="dxa"/>
              <w:bottom w:w="90" w:type="dxa"/>
              <w:end w:w="110" w:type="dxa"/>
            </w:tcMar>
            <w:vAlign w:val="center"/>
          </w:tcPr>
          <w:p>
            <w:pPr>
              <w:spacing w:after="0" w:before="0" w:line="240" w:lineRule="auto"/>
            </w:pPr>
            <w:r>
              <w:rPr>
                <w:b w:val="0"/>
                <w:sz w:val="15"/>
              </w:rPr>
              <w:t>Построить motivic measure 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Scissors/product theorem.</w:t>
            </w:r>
          </w:p>
        </w:tc>
      </w:tr>
      <w:tr>
        <w:trPr>
          <w:cantSplit/>
        </w:trPr>
        <w:tc>
          <w:tcPr>
            <w:tcW w:type="dxa" w:w="1304"/>
            <w:tcMar>
              <w:top w:w="90" w:type="dxa"/>
              <w:start w:w="110" w:type="dxa"/>
              <w:bottom w:w="90" w:type="dxa"/>
              <w:end w:w="110" w:type="dxa"/>
            </w:tcMar>
            <w:vAlign w:val="center"/>
          </w:tcPr>
          <w:p>
            <w:bookmarkStart w:id="2384" w:name="po_288"/>
            <w:pPr>
              <w:spacing w:after="0" w:before="0" w:line="240" w:lineRule="auto"/>
            </w:pPr>
            <w:r>
              <w:rPr>
                <w:b w:val="0"/>
                <w:sz w:val="15"/>
              </w:rPr>
              <w:t>T2-PO-288</w:t>
            </w:r>
            <w:bookmarkEnd w:id="2384"/>
          </w:p>
        </w:tc>
        <w:tc>
          <w:tcPr>
            <w:tcW w:type="dxa" w:w="3685"/>
            <w:tcMar>
              <w:top w:w="90" w:type="dxa"/>
              <w:start w:w="110" w:type="dxa"/>
              <w:bottom w:w="90" w:type="dxa"/>
              <w:end w:w="110" w:type="dxa"/>
            </w:tcMar>
            <w:vAlign w:val="center"/>
          </w:tcPr>
          <w:p>
            <w:pPr>
              <w:spacing w:after="0" w:before="0" w:line="240" w:lineRule="auto"/>
            </w:pPr>
            <w:r>
              <w:rPr>
                <w:b w:val="0"/>
                <w:sz w:val="15"/>
              </w:rPr>
              <w:t>Проверить 𝕃^{1/2} convention.</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Orientation and coefficient extension.</w:t>
            </w:r>
          </w:p>
        </w:tc>
      </w:tr>
      <w:tr>
        <w:trPr>
          <w:cantSplit/>
        </w:trPr>
        <w:tc>
          <w:tcPr>
            <w:tcW w:type="dxa" w:w="1304"/>
            <w:tcMar>
              <w:top w:w="90" w:type="dxa"/>
              <w:start w:w="110" w:type="dxa"/>
              <w:bottom w:w="90" w:type="dxa"/>
              <w:end w:w="110" w:type="dxa"/>
            </w:tcMar>
            <w:vAlign w:val="center"/>
          </w:tcPr>
          <w:p>
            <w:bookmarkStart w:id="2385" w:name="po_289"/>
            <w:pPr>
              <w:spacing w:after="0" w:before="0" w:line="240" w:lineRule="auto"/>
            </w:pPr>
            <w:r>
              <w:rPr>
                <w:b w:val="0"/>
                <w:sz w:val="15"/>
              </w:rPr>
              <w:t>T2-PO-289</w:t>
            </w:r>
            <w:bookmarkEnd w:id="2385"/>
          </w:p>
        </w:tc>
        <w:tc>
          <w:tcPr>
            <w:tcW w:type="dxa" w:w="3685"/>
            <w:tcMar>
              <w:top w:w="90" w:type="dxa"/>
              <w:start w:w="110" w:type="dxa"/>
              <w:bottom w:w="90" w:type="dxa"/>
              <w:end w:w="110" w:type="dxa"/>
            </w:tcMar>
            <w:vAlign w:val="center"/>
          </w:tcPr>
          <w:p>
            <w:pPr>
              <w:spacing w:after="0" w:before="0" w:line="240" w:lineRule="auto"/>
            </w:pPr>
            <w:r>
              <w:rPr>
                <w:b w:val="0"/>
                <w:sz w:val="15"/>
              </w:rPr>
              <w:t>Построить motivic vanishing cycles.</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Critical charts + orientation data.</w:t>
            </w:r>
          </w:p>
        </w:tc>
      </w:tr>
      <w:tr>
        <w:trPr>
          <w:cantSplit/>
        </w:trPr>
        <w:tc>
          <w:tcPr>
            <w:tcW w:type="dxa" w:w="1304"/>
            <w:tcMar>
              <w:top w:w="90" w:type="dxa"/>
              <w:start w:w="110" w:type="dxa"/>
              <w:bottom w:w="90" w:type="dxa"/>
              <w:end w:w="110" w:type="dxa"/>
            </w:tcMar>
            <w:vAlign w:val="center"/>
          </w:tcPr>
          <w:p>
            <w:bookmarkStart w:id="2386" w:name="po_290"/>
            <w:pPr>
              <w:spacing w:after="0" w:before="0" w:line="240" w:lineRule="auto"/>
            </w:pPr>
            <w:r>
              <w:rPr>
                <w:b w:val="0"/>
                <w:sz w:val="15"/>
              </w:rPr>
              <w:t>T2-PO-290</w:t>
            </w:r>
            <w:bookmarkEnd w:id="2386"/>
          </w:p>
        </w:tc>
        <w:tc>
          <w:tcPr>
            <w:tcW w:type="dxa" w:w="3685"/>
            <w:tcMar>
              <w:top w:w="90" w:type="dxa"/>
              <w:start w:w="110" w:type="dxa"/>
              <w:bottom w:w="90" w:type="dxa"/>
              <w:end w:w="110" w:type="dxa"/>
            </w:tcMar>
            <w:vAlign w:val="center"/>
          </w:tcPr>
          <w:p>
            <w:pPr>
              <w:spacing w:after="0" w:before="0" w:line="240" w:lineRule="auto"/>
            </w:pPr>
            <w:r>
              <w:rPr>
                <w:b w:val="0"/>
                <w:sz w:val="15"/>
              </w:rPr>
              <w:t>Доказать chart independence.</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d-critical/derived comparison theorem.</w:t>
            </w:r>
          </w:p>
        </w:tc>
      </w:tr>
      <w:tr>
        <w:trPr>
          <w:cantSplit/>
        </w:trPr>
        <w:tc>
          <w:tcPr>
            <w:tcW w:type="dxa" w:w="1304"/>
            <w:tcMar>
              <w:top w:w="90" w:type="dxa"/>
              <w:start w:w="110" w:type="dxa"/>
              <w:bottom w:w="90" w:type="dxa"/>
              <w:end w:w="110" w:type="dxa"/>
            </w:tcMar>
            <w:vAlign w:val="center"/>
          </w:tcPr>
          <w:p>
            <w:bookmarkStart w:id="2387" w:name="po_291"/>
            <w:pPr>
              <w:spacing w:after="0" w:before="0" w:line="240" w:lineRule="auto"/>
            </w:pPr>
            <w:r>
              <w:rPr>
                <w:b w:val="0"/>
                <w:sz w:val="15"/>
              </w:rPr>
              <w:t>T2-PO-291</w:t>
            </w:r>
            <w:bookmarkEnd w:id="2387"/>
          </w:p>
        </w:tc>
        <w:tc>
          <w:tcPr>
            <w:tcW w:type="dxa" w:w="3685"/>
            <w:tcMar>
              <w:top w:w="90" w:type="dxa"/>
              <w:start w:w="110" w:type="dxa"/>
              <w:bottom w:w="90" w:type="dxa"/>
              <w:end w:w="110" w:type="dxa"/>
            </w:tcMar>
            <w:vAlign w:val="center"/>
          </w:tcPr>
          <w:p>
            <w:pPr>
              <w:spacing w:after="0" w:before="0" w:line="240" w:lineRule="auto"/>
            </w:pPr>
            <w:r>
              <w:rPr>
                <w:b w:val="0"/>
                <w:sz w:val="15"/>
              </w:rPr>
              <w:t>Построить realization functors.</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Hodge/weight/ℓ-adic realization.</w:t>
            </w:r>
          </w:p>
        </w:tc>
      </w:tr>
      <w:tr>
        <w:trPr>
          <w:cantSplit/>
        </w:trPr>
        <w:tc>
          <w:tcPr>
            <w:tcW w:type="dxa" w:w="1304"/>
            <w:tcMar>
              <w:top w:w="90" w:type="dxa"/>
              <w:start w:w="110" w:type="dxa"/>
              <w:bottom w:w="90" w:type="dxa"/>
              <w:end w:w="110" w:type="dxa"/>
            </w:tcMar>
            <w:vAlign w:val="center"/>
          </w:tcPr>
          <w:p>
            <w:bookmarkStart w:id="2388" w:name="po_292"/>
            <w:pPr>
              <w:spacing w:after="0" w:before="0" w:line="240" w:lineRule="auto"/>
            </w:pPr>
            <w:r>
              <w:rPr>
                <w:b w:val="0"/>
                <w:sz w:val="15"/>
              </w:rPr>
              <w:t>T2-PO-292</w:t>
            </w:r>
            <w:bookmarkEnd w:id="2388"/>
          </w:p>
        </w:tc>
        <w:tc>
          <w:tcPr>
            <w:tcW w:type="dxa" w:w="3685"/>
            <w:tcMar>
              <w:top w:w="90" w:type="dxa"/>
              <w:start w:w="110" w:type="dxa"/>
              <w:bottom w:w="90" w:type="dxa"/>
              <w:end w:w="110" w:type="dxa"/>
            </w:tcMar>
            <w:vAlign w:val="center"/>
          </w:tcPr>
          <w:p>
            <w:pPr>
              <w:spacing w:after="0" w:before="0" w:line="240" w:lineRule="auto"/>
            </w:pPr>
            <w:r>
              <w:rPr>
                <w:b w:val="0"/>
                <w:sz w:val="15"/>
              </w:rPr>
              <w:t>Вести information-loss ledger.</w:t>
            </w:r>
          </w:p>
        </w:tc>
        <w:tc>
          <w:tcPr>
            <w:tcW w:type="dxa" w:w="1417"/>
            <w:tcMar>
              <w:top w:w="90" w:type="dxa"/>
              <w:start w:w="110" w:type="dxa"/>
              <w:bottom w:w="90" w:type="dxa"/>
              <w:end w:w="110" w:type="dxa"/>
            </w:tcMar>
            <w:vAlign w:val="center"/>
          </w:tcPr>
          <w:p>
            <w:pPr>
              <w:spacing w:after="0" w:before="0" w:line="240" w:lineRule="auto"/>
            </w:pPr>
            <w:r>
              <w:rPr>
                <w:b w:val="0"/>
                <w:sz w:val="15"/>
              </w:rPr>
              <w:t>CLOSED/PROTO</w:t>
            </w:r>
          </w:p>
        </w:tc>
        <w:tc>
          <w:tcPr>
            <w:tcW w:type="dxa" w:w="2835"/>
            <w:tcMar>
              <w:top w:w="90" w:type="dxa"/>
              <w:start w:w="110" w:type="dxa"/>
              <w:bottom w:w="90" w:type="dxa"/>
              <w:end w:w="110" w:type="dxa"/>
            </w:tcMar>
            <w:vAlign w:val="center"/>
          </w:tcPr>
          <w:p>
            <w:pPr>
              <w:spacing w:after="0" w:before="0" w:line="240" w:lineRule="auto"/>
            </w:pPr>
            <w:r>
              <w:rPr>
                <w:b w:val="0"/>
                <w:sz w:val="15"/>
              </w:rPr>
              <w:t>MOT-15 tests.</w:t>
            </w:r>
          </w:p>
        </w:tc>
      </w:tr>
      <w:tr>
        <w:trPr>
          <w:cantSplit/>
        </w:trPr>
        <w:tc>
          <w:tcPr>
            <w:tcW w:type="dxa" w:w="1304"/>
            <w:tcMar>
              <w:top w:w="90" w:type="dxa"/>
              <w:start w:w="110" w:type="dxa"/>
              <w:bottom w:w="90" w:type="dxa"/>
              <w:end w:w="110" w:type="dxa"/>
            </w:tcMar>
            <w:vAlign w:val="center"/>
          </w:tcPr>
          <w:p>
            <w:bookmarkStart w:id="2389" w:name="po_293"/>
            <w:pPr>
              <w:spacing w:after="0" w:before="0" w:line="240" w:lineRule="auto"/>
            </w:pPr>
            <w:r>
              <w:rPr>
                <w:b w:val="0"/>
                <w:sz w:val="15"/>
              </w:rPr>
              <w:t>T2-PO-293</w:t>
            </w:r>
            <w:bookmarkEnd w:id="2389"/>
          </w:p>
        </w:tc>
        <w:tc>
          <w:tcPr>
            <w:tcW w:type="dxa" w:w="3685"/>
            <w:tcMar>
              <w:top w:w="90" w:type="dxa"/>
              <w:start w:w="110" w:type="dxa"/>
              <w:bottom w:w="90" w:type="dxa"/>
              <w:end w:w="110" w:type="dxa"/>
            </w:tcMar>
            <w:vAlign w:val="center"/>
          </w:tcPr>
          <w:p>
            <w:pPr>
              <w:spacing w:after="0" w:before="0" w:line="240" w:lineRule="auto"/>
            </w:pPr>
            <w:r>
              <w:rPr>
                <w:b w:val="0"/>
                <w:sz w:val="15"/>
              </w:rPr>
              <w:t>Определить refined invariant.</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Grading, sign, shift, duality.</w:t>
            </w:r>
          </w:p>
        </w:tc>
      </w:tr>
      <w:tr>
        <w:trPr>
          <w:cantSplit/>
        </w:trPr>
        <w:tc>
          <w:tcPr>
            <w:tcW w:type="dxa" w:w="1304"/>
            <w:tcMar>
              <w:top w:w="90" w:type="dxa"/>
              <w:start w:w="110" w:type="dxa"/>
              <w:bottom w:w="90" w:type="dxa"/>
              <w:end w:w="110" w:type="dxa"/>
            </w:tcMar>
            <w:vAlign w:val="center"/>
          </w:tcPr>
          <w:p>
            <w:bookmarkStart w:id="2390" w:name="po_294"/>
            <w:pPr>
              <w:spacing w:after="0" w:before="0" w:line="240" w:lineRule="auto"/>
            </w:pPr>
            <w:r>
              <w:rPr>
                <w:b w:val="0"/>
                <w:sz w:val="15"/>
              </w:rPr>
              <w:t>T2-PO-294</w:t>
            </w:r>
            <w:bookmarkEnd w:id="2390"/>
          </w:p>
        </w:tc>
        <w:tc>
          <w:tcPr>
            <w:tcW w:type="dxa" w:w="3685"/>
            <w:tcMar>
              <w:top w:w="90" w:type="dxa"/>
              <w:start w:w="110" w:type="dxa"/>
              <w:bottom w:w="90" w:type="dxa"/>
              <w:end w:w="110" w:type="dxa"/>
            </w:tcMar>
            <w:vAlign w:val="center"/>
          </w:tcPr>
          <w:p>
            <w:pPr>
              <w:spacing w:after="0" w:before="0" w:line="240" w:lineRule="auto"/>
            </w:pPr>
            <w:r>
              <w:rPr>
                <w:b w:val="0"/>
                <w:sz w:val="15"/>
              </w:rPr>
              <w:t>Построить CoHA_NAPG.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Extension stacks and pull-push.</w:t>
            </w:r>
          </w:p>
        </w:tc>
      </w:tr>
      <w:tr>
        <w:trPr>
          <w:cantSplit/>
        </w:trPr>
        <w:tc>
          <w:tcPr>
            <w:tcW w:type="dxa" w:w="1304"/>
            <w:tcMar>
              <w:top w:w="90" w:type="dxa"/>
              <w:start w:w="110" w:type="dxa"/>
              <w:bottom w:w="90" w:type="dxa"/>
              <w:end w:w="110" w:type="dxa"/>
            </w:tcMar>
            <w:vAlign w:val="center"/>
          </w:tcPr>
          <w:p>
            <w:bookmarkStart w:id="2391" w:name="po_295"/>
            <w:pPr>
              <w:spacing w:after="0" w:before="0" w:line="240" w:lineRule="auto"/>
            </w:pPr>
            <w:r>
              <w:rPr>
                <w:b w:val="0"/>
                <w:sz w:val="15"/>
              </w:rPr>
              <w:t>T2-PO-295</w:t>
            </w:r>
            <w:bookmarkEnd w:id="2391"/>
          </w:p>
        </w:tc>
        <w:tc>
          <w:tcPr>
            <w:tcW w:type="dxa" w:w="3685"/>
            <w:tcMar>
              <w:top w:w="90" w:type="dxa"/>
              <w:start w:w="110" w:type="dxa"/>
              <w:bottom w:w="90" w:type="dxa"/>
              <w:end w:w="110" w:type="dxa"/>
            </w:tcMar>
            <w:vAlign w:val="center"/>
          </w:tcPr>
          <w:p>
            <w:pPr>
              <w:spacing w:after="0" w:before="0" w:line="240" w:lineRule="auto"/>
            </w:pPr>
            <w:r>
              <w:rPr>
                <w:b w:val="0"/>
                <w:sz w:val="15"/>
              </w:rPr>
              <w:t>Доказать ассоциативность CoHA.</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Correspondence composition.</w:t>
            </w:r>
          </w:p>
        </w:tc>
      </w:tr>
      <w:tr>
        <w:trPr>
          <w:cantSplit/>
        </w:trPr>
        <w:tc>
          <w:tcPr>
            <w:tcW w:type="dxa" w:w="1304"/>
            <w:tcMar>
              <w:top w:w="90" w:type="dxa"/>
              <w:start w:w="110" w:type="dxa"/>
              <w:bottom w:w="90" w:type="dxa"/>
              <w:end w:w="110" w:type="dxa"/>
            </w:tcMar>
            <w:vAlign w:val="center"/>
          </w:tcPr>
          <w:p>
            <w:bookmarkStart w:id="2392" w:name="po_296"/>
            <w:pPr>
              <w:spacing w:after="0" w:before="0" w:line="240" w:lineRule="auto"/>
            </w:pPr>
            <w:r>
              <w:rPr>
                <w:b w:val="0"/>
                <w:sz w:val="15"/>
              </w:rPr>
              <w:t>T2-PO-296</w:t>
            </w:r>
            <w:bookmarkEnd w:id="2392"/>
          </w:p>
        </w:tc>
        <w:tc>
          <w:tcPr>
            <w:tcW w:type="dxa" w:w="3685"/>
            <w:tcMar>
              <w:top w:w="90" w:type="dxa"/>
              <w:start w:w="110" w:type="dxa"/>
              <w:bottom w:w="90" w:type="dxa"/>
              <w:end w:w="110" w:type="dxa"/>
            </w:tcMar>
            <w:vAlign w:val="center"/>
          </w:tcPr>
          <w:p>
            <w:pPr>
              <w:spacing w:after="0" w:before="0" w:line="240" w:lineRule="auto"/>
            </w:pPr>
            <w:r>
              <w:rPr>
                <w:b w:val="0"/>
                <w:sz w:val="15"/>
              </w:rPr>
              <w:t>Построить BPS-cohomology carrier.</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PBW/integrality package.</w:t>
            </w:r>
          </w:p>
        </w:tc>
      </w:tr>
      <w:tr>
        <w:trPr>
          <w:cantSplit/>
        </w:trPr>
        <w:tc>
          <w:tcPr>
            <w:tcW w:type="dxa" w:w="1304"/>
            <w:tcMar>
              <w:top w:w="90" w:type="dxa"/>
              <w:start w:w="110" w:type="dxa"/>
              <w:bottom w:w="90" w:type="dxa"/>
              <w:end w:w="110" w:type="dxa"/>
            </w:tcMar>
            <w:vAlign w:val="center"/>
          </w:tcPr>
          <w:p>
            <w:bookmarkStart w:id="2393" w:name="po_297"/>
            <w:pPr>
              <w:spacing w:after="0" w:before="0" w:line="240" w:lineRule="auto"/>
            </w:pPr>
            <w:r>
              <w:rPr>
                <w:b w:val="0"/>
                <w:sz w:val="15"/>
              </w:rPr>
              <w:t>T2-PO-297</w:t>
            </w:r>
            <w:bookmarkEnd w:id="2393"/>
          </w:p>
        </w:tc>
        <w:tc>
          <w:tcPr>
            <w:tcW w:type="dxa" w:w="3685"/>
            <w:tcMar>
              <w:top w:w="90" w:type="dxa"/>
              <w:start w:w="110" w:type="dxa"/>
              <w:bottom w:w="90" w:type="dxa"/>
              <w:end w:w="110" w:type="dxa"/>
            </w:tcMar>
            <w:vAlign w:val="center"/>
          </w:tcPr>
          <w:p>
            <w:pPr>
              <w:spacing w:after="0" w:before="0" w:line="240" w:lineRule="auto"/>
            </w:pPr>
            <w:r>
              <w:rPr>
                <w:b w:val="0"/>
                <w:sz w:val="15"/>
              </w:rPr>
              <w:t>Зафиксировать grading monoid Γ.</w:t>
            </w:r>
          </w:p>
        </w:tc>
        <w:tc>
          <w:tcPr>
            <w:tcW w:type="dxa" w:w="1417"/>
            <w:tcMar>
              <w:top w:w="90" w:type="dxa"/>
              <w:start w:w="110" w:type="dxa"/>
              <w:bottom w:w="90" w:type="dxa"/>
              <w:end w:w="110" w:type="dxa"/>
            </w:tcMar>
            <w:vAlign w:val="center"/>
          </w:tcPr>
          <w:p>
            <w:pPr>
              <w:spacing w:after="0" w:before="0" w:line="240" w:lineRule="auto"/>
            </w:pPr>
            <w:r>
              <w:rPr>
                <w:b w:val="0"/>
                <w:sz w:val="15"/>
              </w:rPr>
              <w:t>CLOSED/TYPE</w:t>
            </w:r>
          </w:p>
        </w:tc>
        <w:tc>
          <w:tcPr>
            <w:tcW w:type="dxa" w:w="2835"/>
            <w:tcMar>
              <w:top w:w="90" w:type="dxa"/>
              <w:start w:w="110" w:type="dxa"/>
              <w:bottom w:w="90" w:type="dxa"/>
              <w:end w:w="110" w:type="dxa"/>
            </w:tcMar>
            <w:vAlign w:val="center"/>
          </w:tcPr>
          <w:p>
            <w:pPr>
              <w:spacing w:after="0" w:before="0" w:line="240" w:lineRule="auto"/>
            </w:pPr>
            <w:r>
              <w:rPr>
                <w:b w:val="0"/>
                <w:sz w:val="15"/>
              </w:rPr>
              <w:t>Positive cone and support.</w:t>
            </w:r>
          </w:p>
        </w:tc>
      </w:tr>
      <w:tr>
        <w:trPr>
          <w:cantSplit/>
        </w:trPr>
        <w:tc>
          <w:tcPr>
            <w:tcW w:type="dxa" w:w="1304"/>
            <w:tcMar>
              <w:top w:w="90" w:type="dxa"/>
              <w:start w:w="110" w:type="dxa"/>
              <w:bottom w:w="90" w:type="dxa"/>
              <w:end w:w="110" w:type="dxa"/>
            </w:tcMar>
            <w:vAlign w:val="center"/>
          </w:tcPr>
          <w:p>
            <w:bookmarkStart w:id="2394" w:name="po_298"/>
            <w:pPr>
              <w:spacing w:after="0" w:before="0" w:line="240" w:lineRule="auto"/>
            </w:pPr>
            <w:r>
              <w:rPr>
                <w:b w:val="0"/>
                <w:sz w:val="15"/>
              </w:rPr>
              <w:t>T2-PO-298</w:t>
            </w:r>
            <w:bookmarkEnd w:id="2394"/>
          </w:p>
        </w:tc>
        <w:tc>
          <w:tcPr>
            <w:tcW w:type="dxa" w:w="3685"/>
            <w:tcMar>
              <w:top w:w="90" w:type="dxa"/>
              <w:start w:w="110" w:type="dxa"/>
              <w:bottom w:w="90" w:type="dxa"/>
              <w:end w:w="110" w:type="dxa"/>
            </w:tcMar>
            <w:vAlign w:val="center"/>
          </w:tcPr>
          <w:p>
            <w:pPr>
              <w:spacing w:after="0" w:before="0" w:line="240" w:lineRule="auto"/>
            </w:pPr>
            <w:r>
              <w:rPr>
                <w:b w:val="0"/>
                <w:sz w:val="15"/>
              </w:rPr>
              <w:t>Определить completed series ring.</w:t>
            </w:r>
          </w:p>
        </w:tc>
        <w:tc>
          <w:tcPr>
            <w:tcW w:type="dxa" w:w="1417"/>
            <w:tcMar>
              <w:top w:w="90" w:type="dxa"/>
              <w:start w:w="110" w:type="dxa"/>
              <w:bottom w:w="90" w:type="dxa"/>
              <w:end w:w="110" w:type="dxa"/>
            </w:tcMar>
            <w:vAlign w:val="center"/>
          </w:tcPr>
          <w:p>
            <w:pPr>
              <w:spacing w:after="0" w:before="0" w:line="240" w:lineRule="auto"/>
            </w:pPr>
            <w:r>
              <w:rPr>
                <w:b w:val="0"/>
                <w:sz w:val="15"/>
              </w:rPr>
              <w:t>CLOSED/TYPE</w:t>
            </w:r>
          </w:p>
        </w:tc>
        <w:tc>
          <w:tcPr>
            <w:tcW w:type="dxa" w:w="2835"/>
            <w:tcMar>
              <w:top w:w="90" w:type="dxa"/>
              <w:start w:w="110" w:type="dxa"/>
              <w:bottom w:w="90" w:type="dxa"/>
              <w:end w:w="110" w:type="dxa"/>
            </w:tcMar>
            <w:vAlign w:val="center"/>
          </w:tcPr>
          <w:p>
            <w:pPr>
              <w:spacing w:after="0" w:before="0" w:line="240" w:lineRule="auto"/>
            </w:pPr>
            <w:r>
              <w:rPr>
                <w:b w:val="0"/>
                <w:sz w:val="15"/>
              </w:rPr>
              <w:t>Filtration and completeness.</w:t>
            </w:r>
          </w:p>
        </w:tc>
      </w:tr>
      <w:tr>
        <w:trPr>
          <w:cantSplit/>
        </w:trPr>
        <w:tc>
          <w:tcPr>
            <w:tcW w:type="dxa" w:w="1304"/>
            <w:tcMar>
              <w:top w:w="90" w:type="dxa"/>
              <w:start w:w="110" w:type="dxa"/>
              <w:bottom w:w="90" w:type="dxa"/>
              <w:end w:w="110" w:type="dxa"/>
            </w:tcMar>
            <w:vAlign w:val="center"/>
          </w:tcPr>
          <w:p>
            <w:bookmarkStart w:id="2395" w:name="po_299"/>
            <w:pPr>
              <w:spacing w:after="0" w:before="0" w:line="240" w:lineRule="auto"/>
            </w:pPr>
            <w:r>
              <w:rPr>
                <w:b w:val="0"/>
                <w:sz w:val="15"/>
              </w:rPr>
              <w:t>T2-PO-299</w:t>
            </w:r>
            <w:bookmarkEnd w:id="2395"/>
          </w:p>
        </w:tc>
        <w:tc>
          <w:tcPr>
            <w:tcW w:type="dxa" w:w="3685"/>
            <w:tcMar>
              <w:top w:w="90" w:type="dxa"/>
              <w:start w:w="110" w:type="dxa"/>
              <w:bottom w:w="90" w:type="dxa"/>
              <w:end w:w="110" w:type="dxa"/>
            </w:tcMar>
            <w:vAlign w:val="center"/>
          </w:tcPr>
          <w:p>
            <w:pPr>
              <w:spacing w:after="0" w:before="0" w:line="240" w:lineRule="auto"/>
            </w:pPr>
            <w:r>
              <w:rPr>
                <w:b w:val="0"/>
                <w:sz w:val="15"/>
              </w:rPr>
              <w:t>Проверить PExp/PLog.</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λ-ring/Adams hypotheses.</w:t>
            </w:r>
          </w:p>
        </w:tc>
      </w:tr>
      <w:tr>
        <w:trPr>
          <w:cantSplit/>
        </w:trPr>
        <w:tc>
          <w:tcPr>
            <w:tcW w:type="dxa" w:w="1304"/>
            <w:tcMar>
              <w:top w:w="90" w:type="dxa"/>
              <w:start w:w="110" w:type="dxa"/>
              <w:bottom w:w="90" w:type="dxa"/>
              <w:end w:w="110" w:type="dxa"/>
            </w:tcMar>
            <w:vAlign w:val="center"/>
          </w:tcPr>
          <w:p>
            <w:bookmarkStart w:id="2396" w:name="po_300"/>
            <w:pPr>
              <w:spacing w:after="0" w:before="0" w:line="240" w:lineRule="auto"/>
            </w:pPr>
            <w:r>
              <w:rPr>
                <w:b w:val="0"/>
                <w:sz w:val="15"/>
              </w:rPr>
              <w:t>T2-PO-300</w:t>
            </w:r>
            <w:bookmarkEnd w:id="2396"/>
          </w:p>
        </w:tc>
        <w:tc>
          <w:tcPr>
            <w:tcW w:type="dxa" w:w="3685"/>
            <w:tcMar>
              <w:top w:w="90" w:type="dxa"/>
              <w:start w:w="110" w:type="dxa"/>
              <w:bottom w:w="90" w:type="dxa"/>
              <w:end w:w="110" w:type="dxa"/>
            </w:tcMar>
            <w:vAlign w:val="center"/>
          </w:tcPr>
          <w:p>
            <w:pPr>
              <w:spacing w:after="0" w:before="0" w:line="240" w:lineRule="auto"/>
            </w:pPr>
            <w:r>
              <w:rPr>
                <w:b w:val="0"/>
                <w:sz w:val="15"/>
              </w:rPr>
              <w:t>Построить quantum-torus pairing.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Skew form and ordering.</w:t>
            </w:r>
          </w:p>
        </w:tc>
      </w:tr>
      <w:tr>
        <w:trPr>
          <w:cantSplit/>
        </w:trPr>
        <w:tc>
          <w:tcPr>
            <w:tcW w:type="dxa" w:w="1304"/>
            <w:tcMar>
              <w:top w:w="90" w:type="dxa"/>
              <w:start w:w="110" w:type="dxa"/>
              <w:bottom w:w="90" w:type="dxa"/>
              <w:end w:w="110" w:type="dxa"/>
            </w:tcMar>
            <w:vAlign w:val="center"/>
          </w:tcPr>
          <w:p>
            <w:bookmarkStart w:id="2397" w:name="po_301"/>
            <w:pPr>
              <w:spacing w:after="0" w:before="0" w:line="240" w:lineRule="auto"/>
            </w:pPr>
            <w:r>
              <w:rPr>
                <w:b w:val="0"/>
                <w:sz w:val="15"/>
              </w:rPr>
              <w:t>T2-PO-301</w:t>
            </w:r>
            <w:bookmarkEnd w:id="2397"/>
          </w:p>
        </w:tc>
        <w:tc>
          <w:tcPr>
            <w:tcW w:type="dxa" w:w="3685"/>
            <w:tcMar>
              <w:top w:w="90" w:type="dxa"/>
              <w:start w:w="110" w:type="dxa"/>
              <w:bottom w:w="90" w:type="dxa"/>
              <w:end w:w="110" w:type="dxa"/>
            </w:tcMar>
            <w:vAlign w:val="center"/>
          </w:tcPr>
          <w:p>
            <w:pPr>
              <w:spacing w:after="0" w:before="0" w:line="240" w:lineRule="auto"/>
            </w:pPr>
            <w:r>
              <w:rPr>
                <w:b w:val="0"/>
                <w:sz w:val="15"/>
              </w:rPr>
              <w:t>Доказать wall-crossing factorization.</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Stability structure and transport.</w:t>
            </w:r>
          </w:p>
        </w:tc>
      </w:tr>
      <w:tr>
        <w:trPr>
          <w:cantSplit/>
        </w:trPr>
        <w:tc>
          <w:tcPr>
            <w:tcW w:type="dxa" w:w="1304"/>
            <w:tcMar>
              <w:top w:w="90" w:type="dxa"/>
              <w:start w:w="110" w:type="dxa"/>
              <w:bottom w:w="90" w:type="dxa"/>
              <w:end w:w="110" w:type="dxa"/>
            </w:tcMar>
            <w:vAlign w:val="center"/>
          </w:tcPr>
          <w:p>
            <w:bookmarkStart w:id="2398" w:name="po_302"/>
            <w:pPr>
              <w:spacing w:after="0" w:before="0" w:line="240" w:lineRule="auto"/>
            </w:pPr>
            <w:r>
              <w:rPr>
                <w:b w:val="0"/>
                <w:sz w:val="15"/>
              </w:rPr>
              <w:t>T2-PO-302</w:t>
            </w:r>
            <w:bookmarkEnd w:id="2398"/>
          </w:p>
        </w:tc>
        <w:tc>
          <w:tcPr>
            <w:tcW w:type="dxa" w:w="3685"/>
            <w:tcMar>
              <w:top w:w="90" w:type="dxa"/>
              <w:start w:w="110" w:type="dxa"/>
              <w:bottom w:w="90" w:type="dxa"/>
              <w:end w:w="110" w:type="dxa"/>
            </w:tcMar>
            <w:vAlign w:val="center"/>
          </w:tcPr>
          <w:p>
            <w:pPr>
              <w:spacing w:after="0" w:before="0" w:line="240" w:lineRule="auto"/>
            </w:pPr>
            <w:r>
              <w:rPr>
                <w:b w:val="0"/>
                <w:sz w:val="15"/>
              </w:rPr>
              <w:t>Классифицировать формальный/аналитический статус ряда.</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Convergence ledger.</w:t>
            </w:r>
          </w:p>
        </w:tc>
      </w:tr>
      <w:tr>
        <w:trPr>
          <w:cantSplit/>
        </w:trPr>
        <w:tc>
          <w:tcPr>
            <w:tcW w:type="dxa" w:w="1304"/>
            <w:tcMar>
              <w:top w:w="90" w:type="dxa"/>
              <w:start w:w="110" w:type="dxa"/>
              <w:bottom w:w="90" w:type="dxa"/>
              <w:end w:w="110" w:type="dxa"/>
            </w:tcMar>
            <w:vAlign w:val="center"/>
          </w:tcPr>
          <w:p>
            <w:bookmarkStart w:id="2399" w:name="po_303"/>
            <w:pPr>
              <w:spacing w:after="0" w:before="0" w:line="240" w:lineRule="auto"/>
            </w:pPr>
            <w:r>
              <w:rPr>
                <w:b w:val="0"/>
                <w:sz w:val="15"/>
              </w:rPr>
              <w:t>T2-PO-303</w:t>
            </w:r>
            <w:bookmarkEnd w:id="2399"/>
          </w:p>
        </w:tc>
        <w:tc>
          <w:tcPr>
            <w:tcW w:type="dxa" w:w="3685"/>
            <w:tcMar>
              <w:top w:w="90" w:type="dxa"/>
              <w:start w:w="110" w:type="dxa"/>
              <w:bottom w:w="90" w:type="dxa"/>
              <w:end w:w="110" w:type="dxa"/>
            </w:tcMar>
            <w:vAlign w:val="center"/>
          </w:tcPr>
          <w:p>
            <w:pPr>
              <w:spacing w:after="0" w:before="0" w:line="240" w:lineRule="auto"/>
            </w:pPr>
            <w:r>
              <w:rPr>
                <w:b w:val="0"/>
                <w:sz w:val="15"/>
              </w:rPr>
              <w:t>Доказать no-time theorem.</w:t>
            </w:r>
          </w:p>
        </w:tc>
        <w:tc>
          <w:tcPr>
            <w:tcW w:type="dxa" w:w="1417"/>
            <w:tcMar>
              <w:top w:w="90" w:type="dxa"/>
              <w:start w:w="110" w:type="dxa"/>
              <w:bottom w:w="90" w:type="dxa"/>
              <w:end w:w="110" w:type="dxa"/>
            </w:tcMar>
            <w:vAlign w:val="center"/>
          </w:tcPr>
          <w:p>
            <w:pPr>
              <w:spacing w:after="0" w:before="0" w:line="240" w:lineRule="auto"/>
            </w:pPr>
            <w:r>
              <w:rPr>
                <w:b w:val="0"/>
                <w:sz w:val="15"/>
              </w:rPr>
              <w:t>CLOSED</w:t>
            </w:r>
          </w:p>
        </w:tc>
        <w:tc>
          <w:tcPr>
            <w:tcW w:type="dxa" w:w="2835"/>
            <w:tcMar>
              <w:top w:w="90" w:type="dxa"/>
              <w:start w:w="110" w:type="dxa"/>
              <w:bottom w:w="90" w:type="dxa"/>
              <w:end w:w="110" w:type="dxa"/>
            </w:tcMar>
            <w:vAlign w:val="center"/>
          </w:tcPr>
          <w:p>
            <w:pPr>
              <w:spacing w:after="0" w:before="0" w:line="240" w:lineRule="auto"/>
            </w:pPr>
            <w:r>
              <w:rPr>
                <w:b w:val="0"/>
                <w:sz w:val="15"/>
              </w:rPr>
              <w:t>Theorem 20.4.</w:t>
            </w:r>
          </w:p>
        </w:tc>
      </w:tr>
      <w:tr>
        <w:trPr>
          <w:cantSplit/>
        </w:trPr>
        <w:tc>
          <w:tcPr>
            <w:tcW w:type="dxa" w:w="1304"/>
            <w:tcMar>
              <w:top w:w="90" w:type="dxa"/>
              <w:start w:w="110" w:type="dxa"/>
              <w:bottom w:w="90" w:type="dxa"/>
              <w:end w:w="110" w:type="dxa"/>
            </w:tcMar>
            <w:vAlign w:val="center"/>
          </w:tcPr>
          <w:p>
            <w:bookmarkStart w:id="2400" w:name="po_304"/>
            <w:pPr>
              <w:spacing w:after="0" w:before="0" w:line="240" w:lineRule="auto"/>
            </w:pPr>
            <w:r>
              <w:rPr>
                <w:b w:val="0"/>
                <w:sz w:val="15"/>
              </w:rPr>
              <w:t>T2-PO-304</w:t>
            </w:r>
            <w:bookmarkEnd w:id="2400"/>
          </w:p>
        </w:tc>
        <w:tc>
          <w:tcPr>
            <w:tcW w:type="dxa" w:w="3685"/>
            <w:tcMar>
              <w:top w:w="90" w:type="dxa"/>
              <w:start w:w="110" w:type="dxa"/>
              <w:bottom w:w="90" w:type="dxa"/>
              <w:end w:w="110" w:type="dxa"/>
            </w:tcMar>
            <w:vAlign w:val="center"/>
          </w:tcPr>
          <w:p>
            <w:pPr>
              <w:spacing w:after="0" w:before="0" w:line="240" w:lineRule="auto"/>
            </w:pPr>
            <w:r>
              <w:rPr>
                <w:b w:val="0"/>
                <w:sz w:val="15"/>
              </w:rPr>
              <w:t>Задать time map τ.</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External temporal semantics.</w:t>
            </w:r>
          </w:p>
        </w:tc>
      </w:tr>
      <w:tr>
        <w:trPr>
          <w:cantSplit/>
        </w:trPr>
        <w:tc>
          <w:tcPr>
            <w:tcW w:type="dxa" w:w="1304"/>
            <w:tcMar>
              <w:top w:w="90" w:type="dxa"/>
              <w:start w:w="110" w:type="dxa"/>
              <w:bottom w:w="90" w:type="dxa"/>
              <w:end w:w="110" w:type="dxa"/>
            </w:tcMar>
            <w:vAlign w:val="center"/>
          </w:tcPr>
          <w:p>
            <w:bookmarkStart w:id="2401" w:name="po_305"/>
            <w:pPr>
              <w:spacing w:after="0" w:before="0" w:line="240" w:lineRule="auto"/>
            </w:pPr>
            <w:r>
              <w:rPr>
                <w:b w:val="0"/>
                <w:sz w:val="15"/>
              </w:rPr>
              <w:t>T2-PO-305</w:t>
            </w:r>
            <w:bookmarkEnd w:id="2401"/>
          </w:p>
        </w:tc>
        <w:tc>
          <w:tcPr>
            <w:tcW w:type="dxa" w:w="3685"/>
            <w:tcMar>
              <w:top w:w="90" w:type="dxa"/>
              <w:start w:w="110" w:type="dxa"/>
              <w:bottom w:w="90" w:type="dxa"/>
              <w:end w:w="110" w:type="dxa"/>
            </w:tcMar>
            <w:vAlign w:val="center"/>
          </w:tcPr>
          <w:p>
            <w:pPr>
              <w:spacing w:after="0" w:before="0" w:line="240" w:lineRule="auto"/>
            </w:pPr>
            <w:r>
              <w:rPr>
                <w:b w:val="0"/>
                <w:sz w:val="15"/>
              </w:rPr>
              <w:t>Задать state space S.</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Domain-specific states.</w:t>
            </w:r>
          </w:p>
        </w:tc>
      </w:tr>
      <w:tr>
        <w:trPr>
          <w:cantSplit/>
        </w:trPr>
        <w:tc>
          <w:tcPr>
            <w:tcW w:type="dxa" w:w="1304"/>
            <w:tcMar>
              <w:top w:w="90" w:type="dxa"/>
              <w:start w:w="110" w:type="dxa"/>
              <w:bottom w:w="90" w:type="dxa"/>
              <w:end w:w="110" w:type="dxa"/>
            </w:tcMar>
            <w:vAlign w:val="center"/>
          </w:tcPr>
          <w:p>
            <w:bookmarkStart w:id="2402" w:name="po_306"/>
            <w:pPr>
              <w:spacing w:after="0" w:before="0" w:line="240" w:lineRule="auto"/>
            </w:pPr>
            <w:r>
              <w:rPr>
                <w:b w:val="0"/>
                <w:sz w:val="15"/>
              </w:rPr>
              <w:t>T2-PO-306</w:t>
            </w:r>
            <w:bookmarkEnd w:id="2402"/>
          </w:p>
        </w:tc>
        <w:tc>
          <w:tcPr>
            <w:tcW w:type="dxa" w:w="3685"/>
            <w:tcMar>
              <w:top w:w="90" w:type="dxa"/>
              <w:start w:w="110" w:type="dxa"/>
              <w:bottom w:w="90" w:type="dxa"/>
              <w:end w:w="110" w:type="dxa"/>
            </w:tcMar>
            <w:vAlign w:val="center"/>
          </w:tcPr>
          <w:p>
            <w:pPr>
              <w:spacing w:after="0" w:before="0" w:line="240" w:lineRule="auto"/>
            </w:pPr>
            <w:r>
              <w:rPr>
                <w:b w:val="0"/>
                <w:sz w:val="15"/>
              </w:rPr>
              <w:t>Построить evolution family U(t,s).</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Cocycle and regularity.</w:t>
            </w:r>
          </w:p>
        </w:tc>
      </w:tr>
      <w:tr>
        <w:trPr>
          <w:cantSplit/>
        </w:trPr>
        <w:tc>
          <w:tcPr>
            <w:tcW w:type="dxa" w:w="1304"/>
            <w:tcMar>
              <w:top w:w="90" w:type="dxa"/>
              <w:start w:w="110" w:type="dxa"/>
              <w:bottom w:w="90" w:type="dxa"/>
              <w:end w:w="110" w:type="dxa"/>
            </w:tcMar>
            <w:vAlign w:val="center"/>
          </w:tcPr>
          <w:p>
            <w:bookmarkStart w:id="2403" w:name="po_307"/>
            <w:pPr>
              <w:spacing w:after="0" w:before="0" w:line="240" w:lineRule="auto"/>
            </w:pPr>
            <w:r>
              <w:rPr>
                <w:b w:val="0"/>
                <w:sz w:val="15"/>
              </w:rPr>
              <w:t>T2-PO-307</w:t>
            </w:r>
            <w:bookmarkEnd w:id="2403"/>
          </w:p>
        </w:tc>
        <w:tc>
          <w:tcPr>
            <w:tcW w:type="dxa" w:w="3685"/>
            <w:tcMar>
              <w:top w:w="90" w:type="dxa"/>
              <w:start w:w="110" w:type="dxa"/>
              <w:bottom w:w="90" w:type="dxa"/>
              <w:end w:w="110" w:type="dxa"/>
            </w:tcMar>
            <w:vAlign w:val="center"/>
          </w:tcPr>
          <w:p>
            <w:pPr>
              <w:spacing w:after="0" w:before="0" w:line="240" w:lineRule="auto"/>
            </w:pPr>
            <w:r>
              <w:rPr>
                <w:b w:val="0"/>
                <w:sz w:val="15"/>
              </w:rPr>
              <w:t>Построить generator/path kernel.</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Semigroup or nonautonomous theorem.</w:t>
            </w:r>
          </w:p>
        </w:tc>
      </w:tr>
      <w:tr>
        <w:trPr>
          <w:cantSplit/>
        </w:trPr>
        <w:tc>
          <w:tcPr>
            <w:tcW w:type="dxa" w:w="1304"/>
            <w:tcMar>
              <w:top w:w="90" w:type="dxa"/>
              <w:start w:w="110" w:type="dxa"/>
              <w:bottom w:w="90" w:type="dxa"/>
              <w:end w:w="110" w:type="dxa"/>
            </w:tcMar>
            <w:vAlign w:val="center"/>
          </w:tcPr>
          <w:p>
            <w:bookmarkStart w:id="2404" w:name="po_308"/>
            <w:pPr>
              <w:spacing w:after="0" w:before="0" w:line="240" w:lineRule="auto"/>
            </w:pPr>
            <w:r>
              <w:rPr>
                <w:b w:val="0"/>
                <w:sz w:val="15"/>
              </w:rPr>
              <w:t>T2-PO-308</w:t>
            </w:r>
            <w:bookmarkEnd w:id="2404"/>
          </w:p>
        </w:tc>
        <w:tc>
          <w:tcPr>
            <w:tcW w:type="dxa" w:w="3685"/>
            <w:tcMar>
              <w:top w:w="90" w:type="dxa"/>
              <w:start w:w="110" w:type="dxa"/>
              <w:bottom w:w="90" w:type="dxa"/>
              <w:end w:w="110" w:type="dxa"/>
            </w:tcMar>
            <w:vAlign w:val="center"/>
          </w:tcPr>
          <w:p>
            <w:pPr>
              <w:spacing w:after="0" w:before="0" w:line="240" w:lineRule="auto"/>
            </w:pPr>
            <w:r>
              <w:rPr>
                <w:b w:val="0"/>
                <w:sz w:val="15"/>
              </w:rPr>
              <w:t>Доказать NAPG-совместимость эволюции.</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Preservation of D/Dom/⊙.</w:t>
            </w:r>
          </w:p>
        </w:tc>
      </w:tr>
      <w:tr>
        <w:trPr>
          <w:cantSplit/>
        </w:trPr>
        <w:tc>
          <w:tcPr>
            <w:tcW w:type="dxa" w:w="1304"/>
            <w:tcMar>
              <w:top w:w="90" w:type="dxa"/>
              <w:start w:w="110" w:type="dxa"/>
              <w:bottom w:w="90" w:type="dxa"/>
              <w:end w:w="110" w:type="dxa"/>
            </w:tcMar>
            <w:vAlign w:val="center"/>
          </w:tcPr>
          <w:p>
            <w:bookmarkStart w:id="2405" w:name="po_309"/>
            <w:pPr>
              <w:spacing w:after="0" w:before="0" w:line="240" w:lineRule="auto"/>
            </w:pPr>
            <w:r>
              <w:rPr>
                <w:b w:val="0"/>
                <w:sz w:val="15"/>
              </w:rPr>
              <w:t>T2-PO-309</w:t>
            </w:r>
            <w:bookmarkEnd w:id="2405"/>
          </w:p>
        </w:tc>
        <w:tc>
          <w:tcPr>
            <w:tcW w:type="dxa" w:w="3685"/>
            <w:tcMar>
              <w:top w:w="90" w:type="dxa"/>
              <w:start w:w="110" w:type="dxa"/>
              <w:bottom w:w="90" w:type="dxa"/>
              <w:end w:w="110" w:type="dxa"/>
            </w:tcMar>
            <w:vAlign w:val="center"/>
          </w:tcPr>
          <w:p>
            <w:pPr>
              <w:spacing w:after="0" w:before="0" w:line="240" w:lineRule="auto"/>
            </w:pPr>
            <w:r>
              <w:rPr>
                <w:b w:val="0"/>
                <w:sz w:val="15"/>
              </w:rPr>
              <w:t>Задать observation map.</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Operational measurement model.</w:t>
            </w:r>
          </w:p>
        </w:tc>
      </w:tr>
      <w:tr>
        <w:trPr>
          <w:cantSplit/>
        </w:trPr>
        <w:tc>
          <w:tcPr>
            <w:tcW w:type="dxa" w:w="1304"/>
            <w:tcMar>
              <w:top w:w="90" w:type="dxa"/>
              <w:start w:w="110" w:type="dxa"/>
              <w:bottom w:w="90" w:type="dxa"/>
              <w:end w:w="110" w:type="dxa"/>
            </w:tcMar>
            <w:vAlign w:val="center"/>
          </w:tcPr>
          <w:p>
            <w:bookmarkStart w:id="2406" w:name="po_310"/>
            <w:pPr>
              <w:spacing w:after="0" w:before="0" w:line="240" w:lineRule="auto"/>
            </w:pPr>
            <w:r>
              <w:rPr>
                <w:b w:val="0"/>
                <w:sz w:val="15"/>
              </w:rPr>
              <w:t>T2-PO-310</w:t>
            </w:r>
            <w:bookmarkEnd w:id="2406"/>
          </w:p>
        </w:tc>
        <w:tc>
          <w:tcPr>
            <w:tcW w:type="dxa" w:w="3685"/>
            <w:tcMar>
              <w:top w:w="90" w:type="dxa"/>
              <w:start w:w="110" w:type="dxa"/>
              <w:bottom w:w="90" w:type="dxa"/>
              <w:end w:w="110" w:type="dxa"/>
            </w:tcMar>
            <w:vAlign w:val="center"/>
          </w:tcPr>
          <w:p>
            <w:pPr>
              <w:spacing w:after="0" w:before="0" w:line="240" w:lineRule="auto"/>
            </w:pPr>
            <w:r>
              <w:rPr>
                <w:b w:val="0"/>
                <w:sz w:val="15"/>
              </w:rPr>
              <w:t>Провести calibration/validation.</w:t>
            </w:r>
          </w:p>
        </w:tc>
        <w:tc>
          <w:tcPr>
            <w:tcW w:type="dxa" w:w="1417"/>
            <w:tcMar>
              <w:top w:w="90" w:type="dxa"/>
              <w:start w:w="110" w:type="dxa"/>
              <w:bottom w:w="90" w:type="dxa"/>
              <w:end w:w="110" w:type="dxa"/>
            </w:tcMar>
            <w:vAlign w:val="center"/>
          </w:tcPr>
          <w:p>
            <w:pPr>
              <w:spacing w:after="0" w:before="0" w:line="240" w:lineRule="auto"/>
            </w:pPr>
            <w:r>
              <w:rPr>
                <w:b w:val="0"/>
                <w:sz w:val="15"/>
              </w:rPr>
              <w:t>OPEN-EMP</w:t>
            </w:r>
          </w:p>
        </w:tc>
        <w:tc>
          <w:tcPr>
            <w:tcW w:type="dxa" w:w="2835"/>
            <w:tcMar>
              <w:top w:w="90" w:type="dxa"/>
              <w:start w:w="110" w:type="dxa"/>
              <w:bottom w:w="90" w:type="dxa"/>
              <w:end w:w="110" w:type="dxa"/>
            </w:tcMar>
            <w:vAlign w:val="center"/>
          </w:tcPr>
          <w:p>
            <w:pPr>
              <w:spacing w:after="0" w:before="0" w:line="240" w:lineRule="auto"/>
            </w:pPr>
            <w:r>
              <w:rPr>
                <w:b w:val="0"/>
                <w:sz w:val="15"/>
              </w:rPr>
              <w:t>Frozen protocol and data.</w:t>
            </w:r>
          </w:p>
        </w:tc>
      </w:tr>
      <w:tr>
        <w:trPr>
          <w:cantSplit/>
        </w:trPr>
        <w:tc>
          <w:tcPr>
            <w:tcW w:type="dxa" w:w="1304"/>
            <w:tcMar>
              <w:top w:w="90" w:type="dxa"/>
              <w:start w:w="110" w:type="dxa"/>
              <w:bottom w:w="90" w:type="dxa"/>
              <w:end w:w="110" w:type="dxa"/>
            </w:tcMar>
            <w:vAlign w:val="center"/>
          </w:tcPr>
          <w:p>
            <w:bookmarkStart w:id="2407" w:name="po_311"/>
            <w:pPr>
              <w:spacing w:after="0" w:before="0" w:line="240" w:lineRule="auto"/>
            </w:pPr>
            <w:r>
              <w:rPr>
                <w:b w:val="0"/>
                <w:sz w:val="15"/>
              </w:rPr>
              <w:t>T2-PO-311</w:t>
            </w:r>
            <w:bookmarkEnd w:id="2407"/>
          </w:p>
        </w:tc>
        <w:tc>
          <w:tcPr>
            <w:tcW w:type="dxa" w:w="3685"/>
            <w:tcMar>
              <w:top w:w="90" w:type="dxa"/>
              <w:start w:w="110" w:type="dxa"/>
              <w:bottom w:w="90" w:type="dxa"/>
              <w:end w:w="110" w:type="dxa"/>
            </w:tcMar>
            <w:vAlign w:val="center"/>
          </w:tcPr>
          <w:p>
            <w:pPr>
              <w:spacing w:after="0" w:before="0" w:line="240" w:lineRule="auto"/>
            </w:pPr>
            <w:r>
              <w:rPr>
                <w:b w:val="0"/>
                <w:sz w:val="15"/>
              </w:rPr>
              <w:t>Выполнить независимый EXT-RUN.</w:t>
            </w:r>
          </w:p>
        </w:tc>
        <w:tc>
          <w:tcPr>
            <w:tcW w:type="dxa" w:w="1417"/>
            <w:tcMar>
              <w:top w:w="90" w:type="dxa"/>
              <w:start w:w="110" w:type="dxa"/>
              <w:bottom w:w="90" w:type="dxa"/>
              <w:end w:w="110" w:type="dxa"/>
            </w:tcMar>
            <w:vAlign w:val="center"/>
          </w:tcPr>
          <w:p>
            <w:pPr>
              <w:spacing w:after="0" w:before="0" w:line="240" w:lineRule="auto"/>
            </w:pPr>
            <w:r>
              <w:rPr>
                <w:b w:val="0"/>
                <w:sz w:val="15"/>
              </w:rPr>
              <w:t>OPEN-EMP</w:t>
            </w:r>
          </w:p>
        </w:tc>
        <w:tc>
          <w:tcPr>
            <w:tcW w:type="dxa" w:w="2835"/>
            <w:tcMar>
              <w:top w:w="90" w:type="dxa"/>
              <w:start w:w="110" w:type="dxa"/>
              <w:bottom w:w="90" w:type="dxa"/>
              <w:end w:w="110" w:type="dxa"/>
            </w:tcMar>
            <w:vAlign w:val="center"/>
          </w:tcPr>
          <w:p>
            <w:pPr>
              <w:spacing w:after="0" w:before="0" w:line="240" w:lineRule="auto"/>
            </w:pPr>
            <w:r>
              <w:rPr>
                <w:b w:val="0"/>
                <w:sz w:val="15"/>
              </w:rPr>
              <w:t>External preregistered run.</w:t>
            </w:r>
          </w:p>
        </w:tc>
      </w:tr>
      <w:tr>
        <w:trPr>
          <w:cantSplit/>
        </w:trPr>
        <w:tc>
          <w:tcPr>
            <w:tcW w:type="dxa" w:w="1304"/>
            <w:tcMar>
              <w:top w:w="90" w:type="dxa"/>
              <w:start w:w="110" w:type="dxa"/>
              <w:bottom w:w="90" w:type="dxa"/>
              <w:end w:w="110" w:type="dxa"/>
            </w:tcMar>
            <w:vAlign w:val="center"/>
          </w:tcPr>
          <w:p>
            <w:bookmarkStart w:id="2408" w:name="po_312"/>
            <w:pPr>
              <w:spacing w:after="0" w:before="0" w:line="240" w:lineRule="auto"/>
            </w:pPr>
            <w:r>
              <w:rPr>
                <w:b w:val="0"/>
                <w:sz w:val="15"/>
              </w:rPr>
              <w:t>T2-PO-312</w:t>
            </w:r>
            <w:bookmarkEnd w:id="2408"/>
          </w:p>
        </w:tc>
        <w:tc>
          <w:tcPr>
            <w:tcW w:type="dxa" w:w="3685"/>
            <w:tcMar>
              <w:top w:w="90" w:type="dxa"/>
              <w:start w:w="110" w:type="dxa"/>
              <w:bottom w:w="90" w:type="dxa"/>
              <w:end w:w="110" w:type="dxa"/>
            </w:tcMar>
            <w:vAlign w:val="center"/>
          </w:tcPr>
          <w:p>
            <w:pPr>
              <w:spacing w:after="0" w:before="0" w:line="240" w:lineRule="auto"/>
            </w:pPr>
            <w:r>
              <w:rPr>
                <w:b w:val="0"/>
                <w:sz w:val="15"/>
              </w:rPr>
              <w:t>Согласовать λ и CGI_ref.</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Weight/source sensitivity certificate.</w:t>
            </w:r>
          </w:p>
        </w:tc>
      </w:tr>
      <w:tr>
        <w:trPr>
          <w:cantSplit/>
        </w:trPr>
        <w:tc>
          <w:tcPr>
            <w:tcW w:type="dxa" w:w="1304"/>
            <w:tcMar>
              <w:top w:w="90" w:type="dxa"/>
              <w:start w:w="110" w:type="dxa"/>
              <w:bottom w:w="90" w:type="dxa"/>
              <w:end w:w="110" w:type="dxa"/>
            </w:tcMar>
            <w:vAlign w:val="center"/>
          </w:tcPr>
          <w:p>
            <w:bookmarkStart w:id="2409" w:name="po_313"/>
            <w:pPr>
              <w:spacing w:after="0" w:before="0" w:line="240" w:lineRule="auto"/>
            </w:pPr>
            <w:r>
              <w:rPr>
                <w:b w:val="0"/>
                <w:sz w:val="15"/>
              </w:rPr>
              <w:t>T2-PO-313</w:t>
            </w:r>
            <w:bookmarkEnd w:id="2409"/>
          </w:p>
        </w:tc>
        <w:tc>
          <w:tcPr>
            <w:tcW w:type="dxa" w:w="3685"/>
            <w:tcMar>
              <w:top w:w="90" w:type="dxa"/>
              <w:start w:w="110" w:type="dxa"/>
              <w:bottom w:w="90" w:type="dxa"/>
              <w:end w:w="110" w:type="dxa"/>
            </w:tcMar>
            <w:vAlign w:val="center"/>
          </w:tcPr>
          <w:p>
            <w:pPr>
              <w:spacing w:after="0" w:before="0" w:line="240" w:lineRule="auto"/>
            </w:pPr>
            <w:r>
              <w:rPr>
                <w:b w:val="0"/>
                <w:sz w:val="15"/>
              </w:rPr>
              <w:t>Реализовать MOT-REF-SER-DYN код.</w:t>
            </w:r>
          </w:p>
        </w:tc>
        <w:tc>
          <w:tcPr>
            <w:tcW w:type="dxa" w:w="1417"/>
            <w:tcMar>
              <w:top w:w="90" w:type="dxa"/>
              <w:start w:w="110" w:type="dxa"/>
              <w:bottom w:w="90" w:type="dxa"/>
              <w:end w:w="110" w:type="dxa"/>
            </w:tcMar>
            <w:vAlign w:val="center"/>
          </w:tcPr>
          <w:p>
            <w:pPr>
              <w:spacing w:after="0" w:before="0" w:line="240" w:lineRule="auto"/>
            </w:pPr>
            <w:r>
              <w:rPr>
                <w:b w:val="0"/>
                <w:sz w:val="15"/>
              </w:rPr>
              <w:t>OPEN-COMP</w:t>
            </w:r>
          </w:p>
        </w:tc>
        <w:tc>
          <w:tcPr>
            <w:tcW w:type="dxa" w:w="2835"/>
            <w:tcMar>
              <w:top w:w="90" w:type="dxa"/>
              <w:start w:w="110" w:type="dxa"/>
              <w:bottom w:w="90" w:type="dxa"/>
              <w:end w:w="110" w:type="dxa"/>
            </w:tcMar>
            <w:vAlign w:val="center"/>
          </w:tcPr>
          <w:p>
            <w:pPr>
              <w:spacing w:after="0" w:before="0" w:line="240" w:lineRule="auto"/>
            </w:pPr>
            <w:r>
              <w:rPr>
                <w:b w:val="0"/>
                <w:sz w:val="15"/>
              </w:rPr>
              <w:t>Exact/interval executable package.</w:t>
            </w:r>
          </w:p>
        </w:tc>
      </w:tr>
      <w:tr>
        <w:trPr>
          <w:cantSplit/>
        </w:trPr>
        <w:tc>
          <w:tcPr>
            <w:tcW w:type="dxa" w:w="1304"/>
            <w:tcMar>
              <w:top w:w="90" w:type="dxa"/>
              <w:start w:w="110" w:type="dxa"/>
              <w:bottom w:w="90" w:type="dxa"/>
              <w:end w:w="110" w:type="dxa"/>
            </w:tcMar>
            <w:vAlign w:val="center"/>
          </w:tcPr>
          <w:p>
            <w:bookmarkStart w:id="2410" w:name="po_314"/>
            <w:pPr>
              <w:spacing w:after="0" w:before="0" w:line="240" w:lineRule="auto"/>
            </w:pPr>
            <w:r>
              <w:rPr>
                <w:b w:val="0"/>
                <w:sz w:val="15"/>
              </w:rPr>
              <w:t>T2-PO-314</w:t>
            </w:r>
            <w:bookmarkEnd w:id="2410"/>
          </w:p>
        </w:tc>
        <w:tc>
          <w:tcPr>
            <w:tcW w:type="dxa" w:w="3685"/>
            <w:tcMar>
              <w:top w:w="90" w:type="dxa"/>
              <w:start w:w="110" w:type="dxa"/>
              <w:bottom w:w="90" w:type="dxa"/>
              <w:end w:w="110" w:type="dxa"/>
            </w:tcMar>
            <w:vAlign w:val="center"/>
          </w:tcPr>
          <w:p>
            <w:pPr>
              <w:spacing w:after="0" w:before="0" w:line="240" w:lineRule="auto"/>
            </w:pPr>
            <w:r>
              <w:rPr>
                <w:b w:val="0"/>
                <w:sz w:val="15"/>
              </w:rPr>
              <w:t>Закрыть главную теорему v0.17.</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All categorified, series, dynamic and empirical bridges.</w:t>
            </w:r>
          </w:p>
        </w:tc>
      </w:tr>
    </w:tbl>
    <w:p>
      <w:pPr>
        <w:spacing w:after="0"/>
      </w:pPr>
    </w:p>
    <w:p>
      <w:bookmarkStart w:id="1193" w:name="h_2716"/>
      <w:pPr>
        <w:pStyle w:val="Heading1"/>
        <w:keepNext/>
      </w:pPr>
      <w:r>
        <w:t>263. Prior art и граница авторского вклада</w:t>
      </w:r>
      <w:bookmarkEnd w:id="1193"/>
    </w:p>
    <w:p>
      <w:pPr/>
      <w:r>
        <w:t>Классический prior art главы включает Grothendieck-кольца и power structures; motivic zeta functions и vanishing cycles; motivic Donaldson–Thomas invariants и wall-crossing; cohomological Hall algebras; generalized DT theory; cohomological BPS-categorification; Hall-algebraic curve counting. Авторский слой Тома II состоит в их типизированном включении в NAPG/KLT-RBD, информационном ledger, тройном motivic-series-dynamic firewall, Reper/D/Dom-сертификате и отрицательной теореме о неидентифицируемости времени по коэффициентам.</w:t>
      </w:r>
    </w:p>
    <w:p>
      <w:pPr/>
      <w:r>
        <w:t>[V0.17-1] Kontsevich, M.; Soibelman, Y. Stability structures, motivic Donaldson–Thomas invariants and cluster transformations. arXiv:0811.2435. [первичный источник]</w:t>
      </w:r>
    </w:p>
    <w:p>
      <w:pPr/>
      <w:r>
        <w:t>[V0.17-2] Kontsevich, M.; Soibelman, Y. Cohomological Hall algebra, exponential Hodge structures and motivic Donaldson–Thomas invariants. arXiv:1006.2706. [первичный источник]</w:t>
      </w:r>
    </w:p>
    <w:p>
      <w:pPr/>
      <w:r>
        <w:t>[V0.17-3] Joyce, D.; Song, Y. A theory of generalized Donaldson–Thomas invariants. arXiv:0810.5645. [первичный источник]</w:t>
      </w:r>
    </w:p>
    <w:p>
      <w:pPr/>
      <w:r>
        <w:t>[V0.17-4] Bridgeland, T. Hall algebras and curve-counting invariants. arXiv:1002.4374. [первичный источник]</w:t>
      </w:r>
    </w:p>
    <w:p>
      <w:pPr/>
      <w:r>
        <w:t>[V0.17-5] Davison, B.; Meinhardt, S. Cohomological Donaldson–Thomas theory of a quiver with potential and quantum enveloping algebras. arXiv:1601.02479. [первичный источник]</w:t>
      </w:r>
    </w:p>
    <w:p>
      <w:pPr/>
      <w:r>
        <w:t>[V0.17-6] Bussi, V.; Joyce, D.; Meinhardt, S. On motivic vanishing cycles of critical loci. arXiv:1305.6428. [первичный источник]</w:t>
      </w:r>
    </w:p>
    <w:p>
      <w:pPr/>
      <w:r>
        <w:t>[V0.17-7] Denef, J.; Loeser, F. Motivic Igusa zeta functions. arXiv:math/9803040. [первичный источник]</w:t>
      </w:r>
    </w:p>
    <w:p>
      <w:pPr/>
      <w:r>
        <w:t>[V0.17-8] Gusein-Zade, S. M.; Luengo, I.; Melle-Hernández, A. On the power structure over the Grothendieck ring of varieties and its applications. arXiv:math/0605467. [первичный источник]</w:t>
      </w:r>
    </w:p>
    <w:p>
      <w:pPr/>
      <w:r>
        <w:t>[V0.17-9] Behrend, K. Donaldson–Thomas type invariants via microlocal geometry. arXiv:math/0507523. [первичный источник]</w:t>
      </w:r>
    </w:p>
    <w:p>
      <w:pPr/>
      <w:r>
        <w:t>[V0.17-10] Kurpishev, I. B. Том I v197 RU; Том II T2-RP-v0.1–v0.16. [внутренний авторский корпус]</w:t>
      </w:r>
    </w:p>
    <w:p>
      <w:bookmarkStart w:id="1194" w:name="h_2728"/>
      <w:pPr>
        <w:pStyle w:val="Heading1"/>
        <w:keepNext/>
      </w:pPr>
      <w:r>
        <w:t>264. Контрольная точка и граница вывода</w:t>
      </w:r>
      <w:bookmarkEnd w:id="1194"/>
    </w:p>
    <w:p>
      <w:bookmarkStart w:id="1964" w:name="f_20_29"/>
      <w:pPr>
        <w:pStyle w:val="Quote"/>
        <w:jc w:val="center"/>
      </w:pPr>
      <w:r>
        <w:t>truth_layer_promotion=0; checkpoint=T2-RP-v0.17; next=T2-RP-v0.18.  (20.29)</w:t>
      </w:r>
      <w:bookmarkEnd w:id="1964"/>
    </w:p>
    <w:p>
      <w:pPr/>
      <w:r>
        <w:t>Глава 20 построила лестницу categorified→motivic→refined→numerical, формализовала производящие ряды и установила их предел: grading не является временем, а коэффициенты не задают evolution law. Для динамического вывода необходимы отдельные τ, state space, U(t,s), path/observation model, calibration и независимый внешний запуск. До их построения результат остаётся математическим профилем и не получает физического статуса.</w:t>
      </w:r>
    </w:p>
    <w:p>
      <w:pPr>
        <w:pStyle w:val="Small"/>
      </w:pPr>
      <w:r>
        <w:t>Следующая сборка tom2_v0_18 развивает нелинейные эволюционные полугруппы, transfer operators, path-space carriers, causal kernels и связь с реперным прогнозом при явной временной, вероятностной и эмпирической спецификации.</w:t>
      </w:r>
    </w:p>
    <w:p>
      <w:pPr>
        <w:pStyle w:val="Small"/>
      </w:pPr>
      <w:r>
        <w:t>checkpoint=T2-RP-v0.17; source=T2-RP-v0.16; truth_layer_promotion=0; next=T2-RP-v0.18.</w:t>
      </w:r>
    </w:p>
    <w:p>
      <w:r>
        <w:br w:type="page"/>
      </w:r>
    </w:p>
    <w:p>
      <w:bookmarkStart w:id="1195" w:name="h_2734"/>
      <w:pPr>
        <w:pStyle w:val="Heading1"/>
      </w:pPr>
      <w:r>
        <w:t>Глава 21. Нелинейные эволюционные полугруппы, transfer operators, path-space carriers и причинные ядра</w:t>
      </w:r>
      <w:bookmarkEnd w:id="1195"/>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Временная структура начинается не с последовательности индексов, а с пространства состояний, направленного временного носителя и правила перехода. Траектория существует лишь после задания совместимых переходов или меры на пространстве путей.</w:t>
            </w:r>
          </w:p>
        </w:tc>
      </w:tr>
      <w:tr>
        <w:trPr>
          <w:cantSplit/>
        </w:trP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Оператор эволюции сообщает, как модель переносит состояние; transfer-оператор сообщает, как переносятся наблюдаемые или меры; эмпирическая причинность требует ещё наблюдений, интервенций, контроля смешения и независимой проверки.</w:t>
            </w:r>
          </w:p>
        </w:tc>
      </w:tr>
      <w:tr>
        <w:trPr>
          <w:cantSplit/>
        </w:trP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Наблюдаемый поток данных является проекцией скрытой или расширенной траектории. Память, запаздывание и ветвление могут требовать увеличения состояния до истории, поэтому одно текущее значение не всегда является достаточным носителем будущего.</w:t>
            </w:r>
          </w:p>
        </w:tc>
      </w:tr>
      <w:tr>
        <w:trPr>
          <w:cantSplit/>
        </w:trP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Полугруппа, Markov kernel, Volterra kernel, Koopman-спектр, λ=-1 или низкий CGI сами по себе не доказывают физическую причинность, вероятность будущего события или переносимость за пределы заявленного Dom.</w:t>
            </w:r>
          </w:p>
        </w:tc>
      </w:tr>
    </w:tbl>
    <w:p>
      <w:pPr>
        <w:pStyle w:val="Lead"/>
      </w:pPr>
      <w:r>
        <w:t>Статус главы: theorem/conditional/computational package. В ней строится математический временной интерфейс, необходимый после динамического firewall главы 20. Физическая и эмпирическая интерпретации остаются отдельными слоями. ПН.2 и F-1–F-14 статуса не меняют.</w:t>
      </w:r>
    </w:p>
    <w:p>
      <w:bookmarkStart w:id="1965" w:name="f_21_1"/>
      <w:pPr>
        <w:pStyle w:val="Quote"/>
        <w:jc w:val="center"/>
      </w:pPr>
      <w:r>
        <w:t>truth_layer_promotion=0; source=T2-RP-v0.17; checkpoint=T2-RP-v0.18.  (21.1)</w:t>
      </w:r>
      <w:bookmarkEnd w:id="1965"/>
    </w:p>
    <w:p>
      <w:bookmarkStart w:id="1196" w:name="h_2737"/>
      <w:pPr>
        <w:pStyle w:val="Heading1"/>
      </w:pPr>
      <w:r>
        <w:t>265. Типы времени, состояния и эволюции</w:t>
      </w:r>
      <w:bookmarkEnd w:id="1196"/>
    </w:p>
    <w:p>
      <w:bookmarkStart w:id="1653" w:name="s_DEF_21_1"/>
      <w:pPr/>
      <w:r>
        <w:t>Определение 21.1. Временным носителем называется ориентированное частично упорядоченное множество (T,≤), снабжённое топологией или измеримой структурой, достаточной для выбранного класса эволюций. Пространство состояний S может быть метрическим, банаховым, гильбертовым, стратифицированным или категориальным объектом, но его тип фиксируется до определения перехода.</w:t>
      </w:r>
      <w:bookmarkEnd w:id="1653"/>
    </w:p>
    <w:p>
      <w:pPr/>
      <w:r>
        <w:t>Чтобы не смешивать компонент U реперной четвёрки с оператором эволюции, в настоящей главе оператор обозначается каллиграфической буквой 𝒰. Для t≥s вводится частично определённая карта</w:t>
      </w:r>
    </w:p>
    <w:p>
      <w:bookmarkStart w:id="1966" w:name="f_21_2"/>
      <w:pPr>
        <w:pStyle w:val="Quote"/>
        <w:jc w:val="center"/>
      </w:pPr>
      <w:r>
        <w:t>𝒰(t,s): Dom_{t,s}⊆S_s → S_t.  (21.2)</w:t>
      </w:r>
      <w:bookmarkEnd w:id="1966"/>
    </w:p>
    <w:p>
      <w:pPr/>
      <w:r>
        <w:t>Автономный случай задаётся S_t=S и 𝒰(t,s)=𝒮(t-s). Неавтономный случай требует двух параметров, потому что переход зависит не только от длительности, но и от положения интервала на временной оси.</w:t>
      </w:r>
    </w:p>
    <w:p>
      <w:pPr>
        <w:pStyle w:val="Heading2"/>
      </w:pPr>
      <w:r>
        <w:t>Минимальный реестр типов</w:t>
      </w:r>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rPr>
          <w:cantSplit/>
        </w:trPr>
        <w:tc>
          <w:tcPr>
            <w:tcW w:type="dxa" w:w="3168"/>
            <w:tcMar>
              <w:top w:w="90" w:type="dxa"/>
              <w:start w:w="100" w:type="dxa"/>
              <w:bottom w:w="90" w:type="dxa"/>
              <w:end w:w="100" w:type="dxa"/>
            </w:tcMar>
            <w:vAlign w:val="center"/>
          </w:tcPr>
          <w:p>
            <w:r>
              <w:t>T</w:t>
            </w:r>
          </w:p>
        </w:tc>
        <w:tc>
          <w:tcPr>
            <w:tcW w:type="dxa" w:w="6480"/>
            <w:tcMar>
              <w:top w:w="90" w:type="dxa"/>
              <w:start w:w="100" w:type="dxa"/>
              <w:bottom w:w="90" w:type="dxa"/>
              <w:end w:w="100" w:type="dxa"/>
            </w:tcMar>
            <w:vAlign w:val="center"/>
          </w:tcPr>
          <w:p>
            <w:r>
              <w:t>Временной носитель; индекс, физическое время, логическое время и порядок раскрытия данных не отождествляются автоматически.</w:t>
            </w:r>
          </w:p>
        </w:tc>
      </w:tr>
      <w:tr>
        <w:trPr>
          <w:cantSplit/>
        </w:trPr>
        <w:tc>
          <w:tcPr>
            <w:tcW w:type="dxa" w:w="3168"/>
            <w:tcMar>
              <w:top w:w="90" w:type="dxa"/>
              <w:start w:w="100" w:type="dxa"/>
              <w:bottom w:w="90" w:type="dxa"/>
              <w:end w:w="100" w:type="dxa"/>
            </w:tcMar>
            <w:vAlign w:val="center"/>
          </w:tcPr>
          <w:p>
            <w:r>
              <w:t>S_t</w:t>
            </w:r>
          </w:p>
        </w:tc>
        <w:tc>
          <w:tcPr>
            <w:tcW w:type="dxa" w:w="6480"/>
            <w:tcMar>
              <w:top w:w="90" w:type="dxa"/>
              <w:start w:w="100" w:type="dxa"/>
              <w:bottom w:w="90" w:type="dxa"/>
              <w:end w:w="100" w:type="dxa"/>
            </w:tcMar>
            <w:vAlign w:val="center"/>
          </w:tcPr>
          <w:p>
            <w:r>
              <w:t>Состояние в момент t; при изменении носителя требуется state bundle или поле состояний.</w:t>
            </w:r>
          </w:p>
        </w:tc>
      </w:tr>
      <w:tr>
        <w:trPr>
          <w:cantSplit/>
        </w:trPr>
        <w:tc>
          <w:tcPr>
            <w:tcW w:type="dxa" w:w="3168"/>
            <w:tcMar>
              <w:top w:w="90" w:type="dxa"/>
              <w:start w:w="100" w:type="dxa"/>
              <w:bottom w:w="90" w:type="dxa"/>
              <w:end w:w="100" w:type="dxa"/>
            </w:tcMar>
            <w:vAlign w:val="center"/>
          </w:tcPr>
          <w:p>
            <w:r>
              <w:t>𝒰(t,s)</w:t>
            </w:r>
          </w:p>
        </w:tc>
        <w:tc>
          <w:tcPr>
            <w:tcW w:type="dxa" w:w="6480"/>
            <w:tcMar>
              <w:top w:w="90" w:type="dxa"/>
              <w:start w:w="100" w:type="dxa"/>
              <w:bottom w:w="90" w:type="dxa"/>
              <w:end w:w="100" w:type="dxa"/>
            </w:tcMar>
            <w:vAlign w:val="center"/>
          </w:tcPr>
          <w:p>
            <w:r>
              <w:t>Evolution family с явным Dom; композиция допускается только при совместимости промежуточных областей.</w:t>
            </w:r>
          </w:p>
        </w:tc>
      </w:tr>
      <w:tr>
        <w:trPr>
          <w:cantSplit/>
        </w:trPr>
        <w:tc>
          <w:tcPr>
            <w:tcW w:type="dxa" w:w="3168"/>
            <w:tcMar>
              <w:top w:w="90" w:type="dxa"/>
              <w:start w:w="100" w:type="dxa"/>
              <w:bottom w:w="90" w:type="dxa"/>
              <w:end w:w="100" w:type="dxa"/>
            </w:tcMar>
            <w:vAlign w:val="center"/>
          </w:tcPr>
          <w:p>
            <w:r>
              <w:t>Obs_t</w:t>
            </w:r>
          </w:p>
        </w:tc>
        <w:tc>
          <w:tcPr>
            <w:tcW w:type="dxa" w:w="6480"/>
            <w:tcMar>
              <w:top w:w="90" w:type="dxa"/>
              <w:start w:w="100" w:type="dxa"/>
              <w:bottom w:w="90" w:type="dxa"/>
              <w:end w:w="100" w:type="dxa"/>
            </w:tcMar>
            <w:vAlign w:val="center"/>
          </w:tcPr>
          <w:p>
            <w:r>
              <w:t>Наблюдательная карта; без неё состояние модели не становится измерением.</w:t>
            </w:r>
          </w:p>
        </w:tc>
      </w:tr>
      <w:tr>
        <w:trPr>
          <w:cantSplit/>
        </w:trPr>
        <w:tc>
          <w:tcPr>
            <w:tcW w:type="dxa" w:w="3168"/>
            <w:tcMar>
              <w:top w:w="90" w:type="dxa"/>
              <w:start w:w="100" w:type="dxa"/>
              <w:bottom w:w="90" w:type="dxa"/>
              <w:end w:w="100" w:type="dxa"/>
            </w:tcMar>
            <w:vAlign w:val="center"/>
          </w:tcPr>
          <w:p>
            <w:r>
              <w:t>D_t / Dom_t</w:t>
            </w:r>
          </w:p>
        </w:tc>
        <w:tc>
          <w:tcPr>
            <w:tcW w:type="dxa" w:w="6480"/>
            <w:tcMar>
              <w:top w:w="90" w:type="dxa"/>
              <w:start w:w="100" w:type="dxa"/>
              <w:bottom w:w="90" w:type="dxa"/>
              <w:end w:w="100" w:type="dxa"/>
            </w:tcMar>
            <w:vAlign w:val="center"/>
          </w:tcPr>
          <w:p>
            <w:r>
              <w:t>Достаточное основание, provenance, допустимый режим и ограничения применимости.</w:t>
            </w:r>
          </w:p>
        </w:tc>
      </w:tr>
    </w:tbl>
    <w:p>
      <w:bookmarkStart w:id="1197" w:name="h_2743"/>
      <w:pPr>
        <w:pStyle w:val="Heading1"/>
      </w:pPr>
      <w:r>
        <w:t>266. Нелинейная эволюционная полугруппа</w:t>
      </w:r>
      <w:bookmarkEnd w:id="1197"/>
    </w:p>
    <w:p>
      <w:bookmarkStart w:id="1654" w:name="s_DEF_21_2"/>
      <w:pPr/>
      <w:r>
        <w:t>Определение 21.2. Нелинейной полугруппой на замкнутом множестве C банахова пространства X называется семейство отображений {𝒮(t)}_{t≥0}, для которого</w:t>
      </w:r>
      <w:bookmarkEnd w:id="1654"/>
    </w:p>
    <w:p>
      <w:bookmarkStart w:id="1967" w:name="f_21_3"/>
      <w:pPr>
        <w:pStyle w:val="Quote"/>
        <w:jc w:val="center"/>
      </w:pPr>
      <w:r>
        <w:t>𝒮(0)=Id_C,    𝒮(t+s)=𝒮(t)∘𝒮(s),    lim_{t↓0}𝒮(t)x=x.  (21.3)</w:t>
      </w:r>
      <w:bookmarkEnd w:id="1967"/>
    </w:p>
    <w:p>
      <w:pPr/>
      <w:r>
        <w:t>Контрактивность означает ∥𝒮(t)x-𝒮(t)y∥≤∥x-y∥. Квазиконтрактивность допускает множитель e^{ωt}. Для частичной NAPG-операции дополнительно требуется инвариантность допустимого сектора: 𝒮(t)C_adm⊆C_adm и сохранение D/Dom.</w:t>
      </w:r>
    </w:p>
    <w:p>
      <w:pPr/>
      <w:r>
        <w:t>Полугрупповое тождество является свойством композиции переходов. Оно не определяет единицу времени, не выбирает наблюдаемую и не сообщает, является ли параметр t физическим, вычислительным или деформационным.</w:t>
      </w:r>
    </w:p>
    <w:p>
      <w:pPr>
        <w:jc w:val="center"/>
      </w:pPr>
      <w:r>
        <w:drawing>
          <wp:inline xmlns:a="http://schemas.openxmlformats.org/drawingml/2006/main" xmlns:pic="http://schemas.openxmlformats.org/drawingml/2006/picture">
            <wp:extent cx="6126480" cy="3274260"/>
            <wp:docPr id="55" name="Picture 55" descr="Рисунок 21.1. Нелинейная полугруппа: генератор, резольвента и неявная Euler-схема. Собственная схема Тома II." title="Рисунок 21.1. Нелинейная полугруппа: генератор, резольвента и неявная Euler-схема. Собственная схема Тома II."/>
            <wp:cNvGraphicFramePr>
              <a:graphicFrameLocks noChangeAspect="1"/>
            </wp:cNvGraphicFramePr>
            <a:graphic>
              <a:graphicData uri="http://schemas.openxmlformats.org/drawingml/2006/picture">
                <pic:pic>
                  <pic:nvPicPr>
                    <pic:cNvPr id="0" name="fig21_1.png" descr="Рисунок 21.1. Нелинейная полугруппа: генератор, резольвента и неявная Euler-схема. Собственная схема Тома II." title="Рисунок 21.1. Нелинейная полугруппа: генератор, резольвента и неявная Euler-схема. Собственная схема Тома II."/>
                    <pic:cNvPicPr/>
                  </pic:nvPicPr>
                  <pic:blipFill>
                    <a:blip r:embed="rId92"/>
                    <a:stretch>
                      <a:fillRect/>
                    </a:stretch>
                  </pic:blipFill>
                  <pic:spPr>
                    <a:xfrm>
                      <a:off x="0" y="0"/>
                      <a:ext cx="6126480" cy="3274260"/>
                    </a:xfrm>
                    <a:prstGeom prst="rect"/>
                  </pic:spPr>
                </pic:pic>
              </a:graphicData>
            </a:graphic>
          </wp:inline>
        </w:drawing>
      </w:r>
    </w:p>
    <w:p>
      <w:pPr>
        <w:pStyle w:val="Caption"/>
        <w:jc w:val="center"/>
      </w:pPr>
      <w:r>
        <w:t>Рисунок 21.1. Нелинейная полугруппа: генератор, резольвента и неявная Euler-схема. Собственная схема Тома II.</w:t>
      </w:r>
    </w:p>
    <w:p>
      <w:bookmarkStart w:id="1198" w:name="h_2750"/>
      <w:pPr>
        <w:pStyle w:val="Heading1"/>
      </w:pPr>
      <w:r>
        <w:t>267. Аккретивные и m-аккретивные генераторы</w:t>
      </w:r>
      <w:bookmarkEnd w:id="1198"/>
    </w:p>
    <w:p>
      <w:pPr/>
      <w:r>
        <w:t>Для многозначного оператора A⊆X×X резольвента определяется формально как J_h=(I+hA)^{-1}. Оператор аккретивен, если его резольвента не расширяет расстояния на своей области. Он m-аккретивен, если дополнительно Range(I+hA)=X для всех h&gt;0 в соответствующем режиме.</w:t>
      </w:r>
    </w:p>
    <w:p>
      <w:bookmarkStart w:id="1655" w:name="s_THM_21_1"/>
      <w:pPr/>
      <w:r>
        <w:t>Теорема 21.1 (Crandall–Liggett generation, специализированная форма). [THM/prior art] Пусть X — банахово пространство, A — m-аккретивный оператор и x∈cl Dom(A). Тогда предел неявных Euler-приближений</w:t>
      </w:r>
      <w:bookmarkEnd w:id="1655"/>
    </w:p>
    <w:p>
      <w:bookmarkStart w:id="1968" w:name="f_21_4"/>
      <w:pPr>
        <w:pStyle w:val="Quote"/>
        <w:jc w:val="center"/>
      </w:pPr>
      <w:r>
        <w:t>𝒮(t)x = lim_{m→∞}(I+(t/m)A)^{-m}x  (21.4)</w:t>
      </w:r>
      <w:bookmarkEnd w:id="1968"/>
    </w:p>
    <w:p>
      <w:pPr/>
      <w:r>
        <w:t>существует равномерно на компактных временных интервалах и задаёт нелинейную контрактивную полугруппу. В NAPG данная теорема применима только после доказательства m-аккретивности конкретного оператора, замкнутости допустимого сектора и совместимости резольвенты с пакетной структурой.</w:t>
      </w:r>
    </w:p>
    <w:p>
      <w:bookmarkStart w:id="1656" w:name="s_COR_21_1"/>
      <w:pPr/>
      <w:r>
        <w:t>Следствие 21.1. Вычислительная схема может сертифицировать переход лишь при контроле ошибки дискретизации, устойчивости резольвенты и неизменности Dom. Запись exp(-tA)x без этих условий является обозначением цели, а не доказанным объектом.</w:t>
      </w:r>
      <w:bookmarkEnd w:id="1656"/>
    </w:p>
    <w:p>
      <w:bookmarkStart w:id="1199" w:name="h_2756"/>
      <w:pPr>
        <w:pStyle w:val="Heading1"/>
      </w:pPr>
      <w:r>
        <w:t>268. Неавтономные evolution families и интерфейс Като</w:t>
      </w:r>
      <w:bookmarkEnd w:id="1199"/>
    </w:p>
    <w:p>
      <w:bookmarkStart w:id="1657" w:name="s_DEF_21_3"/>
      <w:pPr/>
      <w:r>
        <w:t>Определение 21.3. Неавтономным evolution family называется семейство 𝒰(t,s), t≥s, удовлетворяющее</w:t>
      </w:r>
      <w:bookmarkEnd w:id="1657"/>
    </w:p>
    <w:p>
      <w:bookmarkStart w:id="1969" w:name="f_21_5"/>
      <w:pPr>
        <w:pStyle w:val="Quote"/>
        <w:jc w:val="center"/>
      </w:pPr>
      <w:r>
        <w:t>𝒰(s,s)=Id,    𝒰(t,r)∘𝒰(r,s)=𝒰(t,s).  (21.5)</w:t>
      </w:r>
      <w:bookmarkEnd w:id="1969"/>
    </w:p>
    <w:p>
      <w:pPr/>
      <w:r>
        <w:t>Для уравнения u′(t)+A(t)u(t)=0 необходимо контролировать зависимость Dom A(t), устойчивость семейства резольвент, измеримость или регулярность t↦A(t) и существование общего admissible core. Исходная теория Като показывает, что эволюционные операторы требуют самостоятельного пакета условий и не сводятся к подстановке t в автономную экспоненту.</w:t>
      </w:r>
    </w:p>
    <w:p>
      <w:pPr/>
      <w:r>
        <w:t>NAPG-версия вводит transport-domain condition: если x∈Dom_{r,s}, то 𝒰(r,s)x должно принадлежать Dom_{t,r}; иначе композиция (21.5) не типизирована. На стратифицированной базе дополнительно требуется совместимость с переходами между стратами.</w:t>
      </w:r>
    </w:p>
    <w:p>
      <w:bookmarkStart w:id="1200" w:name="h_2761"/>
      <w:pPr>
        <w:pStyle w:val="Heading1"/>
      </w:pPr>
      <w:r>
        <w:t>269. Динамика состояний и Koopman-оператор наблюдаемых</w:t>
      </w:r>
      <w:bookmarkEnd w:id="1200"/>
    </w:p>
    <w:p>
      <w:pPr/>
      <w:r>
        <w:t>Пусть Φ_t:S→S — измеримое отображение состояния. Koopman-оператор действует не на состояниях, а на наблюдаемых f:S→ℂ:</w:t>
      </w:r>
    </w:p>
    <w:p>
      <w:bookmarkStart w:id="1970" w:name="f_21_6"/>
      <w:pPr>
        <w:pStyle w:val="Quote"/>
        <w:jc w:val="center"/>
      </w:pPr>
      <w:r>
        <w:t>(𝒦_t f)(x)=f(Φ_t(x)).  (21.6)</w:t>
      </w:r>
      <w:bookmarkEnd w:id="1970"/>
    </w:p>
    <w:p>
      <w:pPr/>
      <w:r>
        <w:t>Даже если Φ_t нелинейно, 𝒦_t линеен по f. Если Φ_{t+s}=Φ_t∘Φ_s, то с выбранной convention выполняется 𝒦_{t+s}=𝒦_s𝒦_t либо обратный порядок; convention фиксируется в сертификате. Спектр Koopman-оператора может выявлять моды наблюдаемых, но не создаёт причинного механизма и не идентифицирует скрытые состояния без условия наблюдаемости.</w:t>
      </w:r>
    </w:p>
    <w:p>
      <w:bookmarkStart w:id="1658" w:name="s_THM_21_2"/>
      <w:pPr/>
      <w:r>
        <w:t>Теорема 21.2 (no-state-reconstruction). [THM] Если семейство наблюдаемых не разделяет точки S, то из всех значений 𝒦_t f в данном семействе нельзя однозначно восстановить состояние. Доказательство следует из существования x≠y с f(x)=f(y) для всех выбранных f.</w:t>
      </w:r>
      <w:bookmarkEnd w:id="1658"/>
    </w:p>
    <w:p>
      <w:bookmarkStart w:id="1201" w:name="h_2766"/>
      <w:pPr>
        <w:pStyle w:val="Heading1"/>
      </w:pPr>
      <w:r>
        <w:t>270. Perron–Frobenius и transfer-операторы</w:t>
      </w:r>
      <w:bookmarkEnd w:id="1201"/>
    </w:p>
    <w:p>
      <w:pPr/>
      <w:r>
        <w:t>Для меры μ pushforward задаётся</w:t>
      </w:r>
    </w:p>
    <w:p>
      <w:bookmarkStart w:id="1971" w:name="f_21_7"/>
      <w:pPr>
        <w:pStyle w:val="Quote"/>
        <w:jc w:val="center"/>
      </w:pPr>
      <w:r>
        <w:t>𝒫_t μ=(Φ_t)_#μ,    (𝒫_t μ)(B)=μ(Φ_t^{-1}(B)).  (21.7)</w:t>
      </w:r>
      <w:bookmarkEnd w:id="1971"/>
    </w:p>
    <w:p>
      <w:pPr/>
      <w:r>
        <w:t>В подходящем L¹-секторе 𝒫_t действует на плотностях и дуален Koopman-оператору:</w:t>
      </w:r>
    </w:p>
    <w:p>
      <w:bookmarkStart w:id="1972" w:name="f_21_8"/>
      <w:pPr>
        <w:pStyle w:val="Quote"/>
        <w:jc w:val="center"/>
      </w:pPr>
      <w:r>
        <w:t>∫_S f d(𝒫_t μ)=∫_S (𝒦_t f)dμ.  (21.8)</w:t>
      </w:r>
      <w:bookmarkEnd w:id="1972"/>
    </w:p>
    <w:p>
      <w:pPr/>
      <w:r>
        <w:t>Ключевое различение: нелинейность Φ_t не делает pushforward нелинейным как оператор на мерах. Transfer-оператор может быть положительным и сохранять массу, но это свойства операторного представления, а не доказательство того, что физическая система действительно следует Φ_t.</w:t>
      </w:r>
    </w:p>
    <w:p>
      <w:pPr/>
      <w:r>
        <w:t>Для piecewise monotone maps классическая линия Lasota–Yorke связывает transfer-операторы с существованием инвариантных мер при дополнительных вариационных оценках. В NAPG аналогичная оценка должна включать вариацию по реперному carrier, сохранение Dom и отсутствие перехода через структурный горизонт.</w:t>
      </w:r>
    </w:p>
    <w:p>
      <w:pPr>
        <w:jc w:val="center"/>
      </w:pPr>
      <w:r>
        <w:drawing>
          <wp:inline xmlns:a="http://schemas.openxmlformats.org/drawingml/2006/main" xmlns:pic="http://schemas.openxmlformats.org/drawingml/2006/picture">
            <wp:extent cx="6126480" cy="3577688"/>
            <wp:docPr id="56" name="Picture 56" descr="Рисунок 21.2. Динамика состояний, Koopman/Perron–Frobenius duality и переход к path-space carrier. Собственная схема Тома II." title="Рисунок 21.2. Динамика состояний, Koopman/Perron–Frobenius duality и переход к path-space carrier. Собственная схема Том"/>
            <wp:cNvGraphicFramePr>
              <a:graphicFrameLocks noChangeAspect="1"/>
            </wp:cNvGraphicFramePr>
            <a:graphic>
              <a:graphicData uri="http://schemas.openxmlformats.org/drawingml/2006/picture">
                <pic:pic>
                  <pic:nvPicPr>
                    <pic:cNvPr id="0" name="fig21_2.png" descr="Рисунок 21.2. Динамика состояний, Koopman/Perron–Frobenius duality и переход к path-space carrier. Собственная схема Тома II." title="Рисунок 21.2. Динамика состояний, Koopman/Perron–Frobenius duality и переход к path-space carrier. Собственная схема Том"/>
                    <pic:cNvPicPr/>
                  </pic:nvPicPr>
                  <pic:blipFill>
                    <a:blip r:embed="rId93"/>
                    <a:stretch>
                      <a:fillRect/>
                    </a:stretch>
                  </pic:blipFill>
                  <pic:spPr>
                    <a:xfrm>
                      <a:off x="0" y="0"/>
                      <a:ext cx="6126480" cy="3577688"/>
                    </a:xfrm>
                    <a:prstGeom prst="rect"/>
                  </pic:spPr>
                </pic:pic>
              </a:graphicData>
            </a:graphic>
          </wp:inline>
        </w:drawing>
      </w:r>
    </w:p>
    <w:p>
      <w:pPr>
        <w:pStyle w:val="Caption"/>
        <w:jc w:val="center"/>
      </w:pPr>
      <w:r>
        <w:t>Рисунок 21.2. Динамика состояний, Koopman/Perron–Frobenius duality и переход к path-space carrier. Собственная схема Тома II.</w:t>
      </w:r>
    </w:p>
    <w:p>
      <w:bookmarkStart w:id="1202" w:name="h_2775"/>
      <w:pPr>
        <w:pStyle w:val="Heading1"/>
      </w:pPr>
      <w:r>
        <w:t>271. Markov kernels и Chapman–Kolmogorov</w:t>
      </w:r>
      <w:bookmarkEnd w:id="1202"/>
    </w:p>
    <w:p>
      <w:bookmarkStart w:id="1659" w:name="s_DEF_21_4"/>
      <w:pPr/>
      <w:r>
        <w:t>Определение 21.4. Переходным Markov kernel называется K_{t,s}(x,B), который для фиксированного x является вероятностной мерой по B, а для фиксированного B измерим по x. Согласованность требует</w:t>
      </w:r>
      <w:bookmarkEnd w:id="1659"/>
    </w:p>
    <w:p>
      <w:bookmarkStart w:id="1973" w:name="f_21_9"/>
      <w:pPr>
        <w:pStyle w:val="Quote"/>
        <w:jc w:val="center"/>
      </w:pPr>
      <w:r>
        <w:t>K_{t,s}(x,B)=∫_S K_{t,r}(y,B)K_{r,s}(x,dy),    t≥r≥s.  (21.9)</w:t>
      </w:r>
      <w:bookmarkEnd w:id="1973"/>
    </w:p>
    <w:p>
      <w:pPr/>
      <w:r>
        <w:t>Формула (21.9) является вероятностным аналогом evolution-family identity. Она не следует из одного набора одномоментных распределений и не устанавливает причинную интерпретацию без фильтрации, non-anticipation и модели вмешательств.</w:t>
      </w:r>
    </w:p>
    <w:p>
      <w:pPr/>
      <w:r>
        <w:t>Для детерминированной эволюции K_{t,s}(x,·)=δ_{𝒰(t,s)x}. Обратное неверно: общий Markov kernel не обязан быть порождён единственным детерминированным потоком.</w:t>
      </w:r>
    </w:p>
    <w:p>
      <w:bookmarkStart w:id="1203" w:name="h_2780"/>
      <w:pPr>
        <w:pStyle w:val="Heading1"/>
      </w:pPr>
      <w:r>
        <w:t>272. Path-space carrier и цилиндрическая согласованность</w:t>
      </w:r>
      <w:bookmarkEnd w:id="1203"/>
    </w:p>
    <w:p>
      <w:pPr/>
      <w:r>
        <w:t>Пусть Ω является пространством путей: C(T,S), D(T,S) либо S^T с цилиндрической σ-алгеброй. Координатный процесс X_t(ω)=ω(t) переводит меру Q на Ω в конечномерные распределения</w:t>
      </w:r>
    </w:p>
    <w:p>
      <w:bookmarkStart w:id="1974" w:name="f_21_10"/>
      <w:pPr>
        <w:pStyle w:val="Quote"/>
        <w:jc w:val="center"/>
      </w:pPr>
      <w:r>
        <w:t>μ_{t₁,…,t_m}=Q∘(X_{t₁},…,X_{t_m})^{-1}.  (21.10)</w:t>
      </w:r>
      <w:bookmarkEnd w:id="1974"/>
    </w:p>
    <w:p>
      <w:bookmarkStart w:id="1660" w:name="s_THM_21_3"/>
      <w:pPr/>
      <w:r>
        <w:t>Теорема 21.3 (Kolmogorov consistency, стандартная форма). [THM/prior art] Для стандартных борелевских пространств согласованное семейство конечномерных распределений определяет меру на цилиндрическом path space. Согласованность включает инвариантность относительно перестановок и маргинализацию при удалении координат.</w:t>
      </w:r>
      <w:bookmarkEnd w:id="1660"/>
    </w:p>
    <w:p>
      <w:pPr/>
      <w:r>
        <w:t>Гладкость, непрерывность или càdlàg-свойство траекторий не следуют из одной extension theorem. Для концентрации меры на C(T,S) или D(T,S) требуются отдельные moment/tightness estimates.</w:t>
      </w:r>
    </w:p>
    <w:p>
      <w:bookmarkStart w:id="1661" w:name="s_COR_21_2"/>
      <w:pPr/>
      <w:r>
        <w:t>Следствие 21.2. Одномоментные распределения {μ_t} не определяют совместный закон пути. В частности, независимый Bernoulli-процесс и процесс X_t=Z с одной случайной величиной Z имеют одинаковые Bernoulli-маргиналы, но радикально различную временную зависимость.</w:t>
      </w:r>
      <w:bookmarkEnd w:id="1661"/>
    </w:p>
    <w:p>
      <w:bookmarkStart w:id="1204" w:name="h_2786"/>
      <w:pPr>
        <w:pStyle w:val="Heading1"/>
      </w:pPr>
      <w:r>
        <w:t>273. Детерминированные path carriers и орбиты</w:t>
      </w:r>
      <w:bookmarkEnd w:id="1204"/>
    </w:p>
    <w:p>
      <w:pPr/>
      <w:r>
        <w:t>Для детерминированного evolution family каждой начальной точке x сопоставляется путь</w:t>
      </w:r>
    </w:p>
    <w:p>
      <w:bookmarkStart w:id="1975" w:name="f_21_11"/>
      <w:pPr>
        <w:pStyle w:val="Quote"/>
        <w:jc w:val="center"/>
      </w:pPr>
      <w:r>
        <w:t>ω_x(t)=𝒰(t,t₀)x.  (21.11)</w:t>
      </w:r>
      <w:bookmarkEnd w:id="1975"/>
    </w:p>
    <w:p>
      <w:pPr/>
      <w:r>
        <w:t>Отображение x↦ω_x определяет орбитный carrier. Его инъективность не гарантируется: различные начальные состояния могут сливаться при необратимой динамике. Поэтому восстановление прошлого требует отдельной обратимости или observability theorem.</w:t>
      </w:r>
    </w:p>
    <w:p>
      <w:pPr/>
      <w:r>
        <w:t>Для нелинейной контрактивной полугруппы слияние траекторий допустимо. Следовательно, текущий Reper-узел может не содержать достаточной информации для единственного ретро-Reper восстановления.</w:t>
      </w:r>
    </w:p>
    <w:p>
      <w:bookmarkStart w:id="1205" w:name="h_2791"/>
      <w:pPr>
        <w:pStyle w:val="Heading1"/>
      </w:pPr>
      <w:r>
        <w:t>274. Причинные Volterra kernels и память</w:t>
      </w:r>
      <w:bookmarkEnd w:id="1205"/>
    </w:p>
    <w:p>
      <w:pPr/>
      <w:r>
        <w:t>Markov kernel описывает переход условного распределения. Volterra kernel описывает направленную память. Типовая интегральная эволюция имеет вид</w:t>
      </w:r>
    </w:p>
    <w:p>
      <w:bookmarkStart w:id="1976" w:name="f_21_12"/>
      <w:pPr>
        <w:pStyle w:val="Quote"/>
        <w:jc w:val="center"/>
      </w:pPr>
      <w:r>
        <w:t>x(t)=f(t)+∫_{t₀}^{t} B(t,s,x(s)) ds.  (21.12)</w:t>
      </w:r>
      <w:bookmarkEnd w:id="1976"/>
    </w:p>
    <w:p>
      <w:pPr/>
      <w:r>
        <w:t>Причинность здесь выражена треугольной областью s≤t. Для линейного ядра B(t,s) условие B(t,s)=0 при s&gt;t является support-level non-anticipation. Резольвентное ядро требует собственного существования и сходимости; оно не совпадает с Markov transition kernel и обычно не удовлетворяет Chapman–Kolmogorov.</w:t>
      </w:r>
    </w:p>
    <w:p>
      <w:pPr/>
      <w:r>
        <w:t>Система с памятью может быть немарковской на S, но марковской на расширенном пространстве историй H_t={x|_{[t₀,t]}}. Это расширение является математической конструкцией, а не доказательством того, что эмпирическая система хранит именно такую память.</w:t>
      </w:r>
    </w:p>
    <w:p>
      <w:bookmarkStart w:id="1206" w:name="h_2796"/>
      <w:pPr>
        <w:pStyle w:val="Heading1"/>
      </w:pPr>
      <w:r>
        <w:t>275. Non-anticipation как строгий причинный firewall</w:t>
      </w:r>
      <w:bookmarkEnd w:id="1206"/>
    </w:p>
    <w:p>
      <w:bookmarkStart w:id="1662" w:name="s_DEF_21_5"/>
      <w:pPr/>
      <w:r>
        <w:t>Определение 21.5. Оператор F на пространстве путей не предвосхищает будущее, если для любых ω,ω′, совпадающих на [t₀,t], выполняется</w:t>
      </w:r>
      <w:bookmarkEnd w:id="1662"/>
    </w:p>
    <w:p>
      <w:bookmarkStart w:id="1977" w:name="f_21_13"/>
      <w:pPr>
        <w:pStyle w:val="Quote"/>
        <w:jc w:val="center"/>
      </w:pPr>
      <w:r>
        <w:t>(Fω)(t)=(Fω′)(t).  (21.13)</w:t>
      </w:r>
      <w:bookmarkEnd w:id="1977"/>
    </w:p>
    <w:p>
      <w:pPr/>
      <w:r>
        <w:t>Для интегрального оператора с достаточно регулярным ядром triangular support s≤t является достаточным условием (21.13). Если ядро имеет ненулевую часть при s&gt;t, оператор использует будущие значения и не является причинным относительно данной временной ориентации.</w:t>
      </w:r>
    </w:p>
    <w:p>
      <w:bookmarkStart w:id="1663" w:name="s_THM_21_4"/>
      <w:pPr/>
      <w:r>
        <w:t>Теорема 21.4 (kernel non-anticipation). [THM] Пусть (Fω)(t)=∫_T B(t,s)ω(s)ds и B(t,s)=0 почти всюду при s&gt;t. Тогда F не предвосхищает будущее. Если существует измеримое множество положительной меры с s&gt;t и B(t,s)≠0, то при подходящем выборе двух путей, совпадающих до t, non-anticipation нарушается.</w:t>
      </w:r>
      <w:bookmarkEnd w:id="1663"/>
    </w:p>
    <w:p>
      <w:bookmarkStart w:id="1207" w:name="h_2801"/>
      <w:pPr>
        <w:pStyle w:val="Heading1"/>
      </w:pPr>
      <w:r>
        <w:t>276. Фильтрации, адаптированность и наблюдаемость</w:t>
      </w:r>
      <w:bookmarkEnd w:id="1207"/>
    </w:p>
    <w:p>
      <w:pPr/>
      <w:r>
        <w:t>В вероятностном path-space вводится фильтрация 𝔽_t=σ(X_s:s≤t) либо её завершение. Процесс Y_t адаптирован, если Y_t измерим относительно 𝔽_t. Адаптированность запрещает явное использование будущих координат, но сама по себе не доказывает причинность: общая скрытая причина может порождать адаптированные корреляции.</w:t>
      </w:r>
    </w:p>
    <w:p>
      <w:pPr/>
      <w:r>
        <w:t>Наблюдаемость означает возможность восстановить существенный класс состояний по истории Obs_s(x_s), s≤t. Идентифицируемость параметров и наблюдаемость состояния являются разными обязательствами и получают отдельные PO.</w:t>
      </w:r>
    </w:p>
    <w:p>
      <w:bookmarkStart w:id="1208" w:name="h_2804"/>
      <w:pPr>
        <w:pStyle w:val="Heading1"/>
      </w:pPr>
      <w:r>
        <w:t>277. Причинный kernel не равен причинному механизму</w:t>
      </w:r>
      <w:bookmarkEnd w:id="1208"/>
    </w:p>
    <w:p>
      <w:pPr/>
      <w:r>
        <w:t>Даже корректный K_{t,s} задаёт условный переход в выбранной модели. Для вывода о вмешательстве необходима спецификация action/intervention map, различение наблюдательного и интервенционного законов и проверка transportability. Поэтому</w:t>
      </w:r>
    </w:p>
    <w:p>
      <w:bookmarkStart w:id="1978" w:name="f_21_14"/>
      <w:pPr>
        <w:pStyle w:val="Quote"/>
        <w:jc w:val="center"/>
      </w:pPr>
      <w:r>
        <w:t>transition kernel ≠ intervention kernel ≠ physical cause.  (21.14)</w:t>
      </w:r>
      <w:bookmarkEnd w:id="1978"/>
    </w:p>
    <w:p>
      <w:pPr/>
      <w:r>
        <w:t>Статистическая зависимость, semigroup composition и temporal precedence являются необходимыми или полезными структурами, но ни одна из них отдельно не является достаточной для причинного утверждения.</w:t>
      </w:r>
    </w:p>
    <w:p>
      <w:bookmarkStart w:id="1209" w:name="h_2808"/>
      <w:pPr>
        <w:pStyle w:val="Heading1"/>
      </w:pPr>
      <w:r>
        <w:t>278. Реперная траектория и временной Reper</w:t>
      </w:r>
      <w:bookmarkEnd w:id="1209"/>
    </w:p>
    <w:p>
      <w:bookmarkStart w:id="1664" w:name="s_DEF_21_6"/>
      <w:pPr/>
      <w:r>
        <w:t>Определение 21.6. Временной Reper в момент t имеет вид</w:t>
      </w:r>
      <w:bookmarkEnd w:id="1664"/>
    </w:p>
    <w:p>
      <w:bookmarkStart w:id="1979" w:name="f_21_15"/>
      <w:pPr>
        <w:pStyle w:val="Quote"/>
        <w:jc w:val="center"/>
      </w:pPr>
      <w:r>
        <w:t>Rep_t=(R_t,I_t,U_t;D_t),    λ_t=cr(U_t,I_t;R_t,D_t).  (21.15)</w:t>
      </w:r>
      <w:bookmarkEnd w:id="1979"/>
    </w:p>
    <w:p>
      <w:pPr/>
      <w:r>
        <w:t>Реперной траекторией называется путь t↦Rep_t, для которого определены transport maps всех компонентов и доказана их совместимость с 𝒰(t,s), D/Dom и obstruction layers. Компонент U_t в (21.15) обозначает поле возможностей и не тождественна evolution operator 𝒰(t,s).</w:t>
      </w:r>
    </w:p>
    <w:p>
      <w:pPr/>
      <w:r>
        <w:t>Точечное выполнение λ_t=-1 для всех t не задаёт траекторию, если отсутствуют переходы между Rep_s и Rep_t. Аналогично, существование 𝒰(t,s) не гарантирует гармоничность, Evidence-D или отсутствие препятствий.</w:t>
      </w:r>
    </w:p>
    <w:p>
      <w:bookmarkStart w:id="1210" w:name="h_2813"/>
      <w:pPr>
        <w:pStyle w:val="Heading1"/>
      </w:pPr>
      <w:r>
        <w:t>279. Path-Reper carrier</w:t>
      </w:r>
      <w:bookmarkEnd w:id="1210"/>
    </w:p>
    <w:p>
      <w:pPr/>
      <w:r>
        <w:t>Полный носитель пути задаётся кортежем</w:t>
      </w:r>
    </w:p>
    <w:p>
      <w:bookmarkStart w:id="1980" w:name="f_21_16"/>
      <w:pPr>
        <w:pStyle w:val="Quote"/>
        <w:jc w:val="center"/>
      </w:pPr>
      <w:r>
        <w:t>PathRep=(Ω,Q/𝔄,{Rep_t},𝒰,K,B,Obs,𝔽,D,Dom,src,code).  (21.16)</w:t>
      </w:r>
      <w:bookmarkEnd w:id="1980"/>
    </w:p>
    <w:p>
      <w:pPr/>
      <w:r>
        <w:t>Здесь Q является вероятностной мерой либо 𝔄 — детерминированным/интервальным множеством допустимых путей; K обозначает Markov/transfer channel; B — memory kernel; 𝔽 — filtration. Нельзя одновременно использовать Q и 𝔄 как взаимозаменяемые объекты: первый кодирует вероятности, второй — допустимость без вероятностной массы.</w:t>
      </w:r>
    </w:p>
    <w:p>
      <w:pPr>
        <w:jc w:val="center"/>
      </w:pPr>
      <w:r>
        <w:drawing>
          <wp:inline xmlns:a="http://schemas.openxmlformats.org/drawingml/2006/main" xmlns:pic="http://schemas.openxmlformats.org/drawingml/2006/picture">
            <wp:extent cx="6126480" cy="3881115"/>
            <wp:docPr id="57" name="Picture 57" descr="Рисунок 21.3. Строгий временной интерфейс предсказательного реперного метода. Собственная схема Тома II." title="Рисунок 21.3. Строгий временной интерфейс предсказательного реперного метода. Собственная схема Тома II."/>
            <wp:cNvGraphicFramePr>
              <a:graphicFrameLocks noChangeAspect="1"/>
            </wp:cNvGraphicFramePr>
            <a:graphic>
              <a:graphicData uri="http://schemas.openxmlformats.org/drawingml/2006/picture">
                <pic:pic>
                  <pic:nvPicPr>
                    <pic:cNvPr id="0" name="fig21_3.png" descr="Рисунок 21.3. Строгий временной интерфейс предсказательного реперного метода. Собственная схема Тома II." title="Рисунок 21.3. Строгий временной интерфейс предсказательного реперного метода. Собственная схема Тома II."/>
                    <pic:cNvPicPr/>
                  </pic:nvPicPr>
                  <pic:blipFill>
                    <a:blip r:embed="rId94"/>
                    <a:stretch>
                      <a:fillRect/>
                    </a:stretch>
                  </pic:blipFill>
                  <pic:spPr>
                    <a:xfrm>
                      <a:off x="0" y="0"/>
                      <a:ext cx="6126480" cy="3881115"/>
                    </a:xfrm>
                    <a:prstGeom prst="rect"/>
                  </pic:spPr>
                </pic:pic>
              </a:graphicData>
            </a:graphic>
          </wp:inline>
        </w:drawing>
      </w:r>
    </w:p>
    <w:p>
      <w:pPr>
        <w:pStyle w:val="Caption"/>
        <w:jc w:val="center"/>
      </w:pPr>
      <w:r>
        <w:t>Рисунок 21.3. Строгий временной интерфейс предсказательного реперного метода. Собственная схема Тома II.</w:t>
      </w:r>
    </w:p>
    <w:p>
      <w:bookmarkStart w:id="1211" w:name="h_2819"/>
      <w:pPr>
        <w:pStyle w:val="Heading1"/>
      </w:pPr>
      <w:r>
        <w:t>280. Динамическая проективно-гармоническая координата</w:t>
      </w:r>
      <w:bookmarkEnd w:id="1211"/>
    </w:p>
    <w:p>
      <w:pPr/>
      <w:r>
        <w:t>Пусть компоненты Rep_t лежат в projective-Reper atlas и не пересекают полюсный локус. Тогда λ_t является наблюдаемой структурной координатой пути. При достаточной регулярности</w:t>
      </w:r>
    </w:p>
    <w:p>
      <w:bookmarkStart w:id="1981" w:name="f_21_17"/>
      <w:pPr>
        <w:pStyle w:val="Quote"/>
        <w:jc w:val="center"/>
      </w:pPr>
      <w:r>
        <w:t>dλ_t/dt = Dλ(Rep_t)·Ṙep_t.  (21.17)</w:t>
      </w:r>
      <w:bookmarkEnd w:id="1981"/>
    </w:p>
    <w:p>
      <w:pPr/>
      <w:r>
        <w:t>Формула (21.17) требует differentiable lift и не действует на произвольном path space. Для càdlàg-путей используется jump decomposition, для интервальных данных — enclosure Λ_t, для стохастических процессов — отдельный calculus.</w:t>
      </w:r>
    </w:p>
    <w:p>
      <w:pPr/>
      <w:r>
        <w:t>Гармонический hitting time τ_H=inf{t:λ_t=-1} является случайной или детерминированной величиной только после задания path law или trajectory. Из ряда коэффициентов, статического carrier или набора независимых snapshots τ_H не определяется.</w:t>
      </w:r>
    </w:p>
    <w:p>
      <w:bookmarkStart w:id="1212" w:name="h_2824"/>
      <w:pPr>
        <w:pStyle w:val="Heading1"/>
      </w:pPr>
      <w:r>
        <w:t>281. Transfer-оператор реперной базы</w:t>
      </w:r>
      <w:bookmarkEnd w:id="1212"/>
    </w:p>
    <w:p>
      <w:pPr/>
      <w:r>
        <w:t>Для RBD-графа с состояниями z=(Rep,Evidence,Dom,obstruction) вводится transition/transfer operator 𝒯_{t,s}. Он считается допустимым, если сохраняет типы узлов, provenance, запрещённые переходы и массу только в вероятностном режиме.</w:t>
      </w:r>
    </w:p>
    <w:p>
      <w:bookmarkStart w:id="1982" w:name="f_21_18"/>
      <w:pPr>
        <w:pStyle w:val="Quote"/>
        <w:jc w:val="center"/>
      </w:pPr>
      <w:r>
        <w:t>𝒯_{t,s}: 𝔐(S_s)→𝔐(S_t),    𝒯_{t,r}𝒯_{r,s}=𝒯_{t,s}.  (21.18)</w:t>
      </w:r>
      <w:bookmarkEnd w:id="1982"/>
    </w:p>
    <w:p>
      <w:pPr/>
      <w:r>
        <w:t>В детерминированном режиме 𝒯 является pushforward. В вероятностном — Markov operator. В possibilistic режиме он действует на множества или capacity. Эти три режима не смешиваются одним словом “вероятность”.</w:t>
      </w:r>
    </w:p>
    <w:p>
      <w:bookmarkStart w:id="1213" w:name="h_2828"/>
      <w:pPr>
        <w:pStyle w:val="Heading1"/>
      </w:pPr>
      <w:r>
        <w:t>282. Генератор и локальный прогноз</w:t>
      </w:r>
      <w:bookmarkEnd w:id="1213"/>
    </w:p>
    <w:p>
      <w:pPr/>
      <w:r>
        <w:t>Если 𝒯_t образует strongly continuous semigroup на пространстве наблюдаемых или мер, генератор L определяется на своей области. Локальная формула</w:t>
      </w:r>
    </w:p>
    <w:p>
      <w:bookmarkStart w:id="1983" w:name="f_21_19"/>
      <w:pPr>
        <w:pStyle w:val="Quote"/>
        <w:jc w:val="center"/>
      </w:pPr>
      <w:r>
        <w:t>d/dt 𝒯_t f |_{t=0}=Lf  (21.19)</w:t>
      </w:r>
      <w:bookmarkEnd w:id="1983"/>
    </w:p>
    <w:p>
      <w:pPr/>
      <w:r>
        <w:t>имеет смысл только для f∈Dom(L). Численная аппроксимация генератора по конечным данным является inverse problem и требует регуляризации, оценки смещения, identifiability и held-out проверки. Один fitted matrix не считается сертификатом истинного генератора.</w:t>
      </w:r>
    </w:p>
    <w:p>
      <w:bookmarkStart w:id="1214" w:name="h_2832"/>
      <w:pPr>
        <w:pStyle w:val="Heading1"/>
      </w:pPr>
      <w:r>
        <w:t>283. Устойчивость к возмущениям и ошибка траектории</w:t>
      </w:r>
      <w:bookmarkEnd w:id="1214"/>
    </w:p>
    <w:p>
      <w:pPr/>
      <w:r>
        <w:t>Для двух evolution families вводится ошибка</w:t>
      </w:r>
    </w:p>
    <w:p>
      <w:bookmarkStart w:id="1984" w:name="f_21_20"/>
      <w:pPr>
        <w:pStyle w:val="Quote"/>
        <w:jc w:val="center"/>
      </w:pPr>
      <w:r>
        <w:t>e_𝒰(t,s;x)=d(𝒰(t,s)x,Ũ(t,s)x).  (21.20)</w:t>
      </w:r>
      <w:bookmarkEnd w:id="1984"/>
    </w:p>
    <w:p>
      <w:pPr/>
      <w:r>
        <w:t>Контрактивность даёт контроль распространения начальной ошибки, но не модельной ошибки. Для нелинейного уравнения с m-аккретивным генератором устойчивость к perturbation A→Ã требует графовой или resolvent convergence. Для path law применяется расстояние между мерами, выбранное заранее: total variation, Wasserstein, bounded-Lipschitz или иное.</w:t>
      </w:r>
    </w:p>
    <w:p>
      <w:pPr/>
      <w:r>
        <w:t>Выбор метрики влияет на численный вывод и входит в Evidence-D. Нельзя сообщать “малое различие траекторий” без указания carrier, coupling и масштаба.</w:t>
      </w:r>
    </w:p>
    <w:p>
      <w:bookmarkStart w:id="1215" w:name="h_2837"/>
      <w:pPr>
        <w:pStyle w:val="Heading1"/>
      </w:pPr>
      <w:r>
        <w:t>284. Динамический и причинный вектор невязок</w:t>
      </w:r>
      <w:bookmarkEnd w:id="1215"/>
    </w:p>
    <w:p>
      <w:pPr/>
      <w:r>
        <w:t>Вместо одной неразличимой ошибки вводится</w:t>
      </w:r>
    </w:p>
    <w:p>
      <w:bookmarkStart w:id="1985" w:name="f_21_21"/>
      <w:pPr>
        <w:pStyle w:val="Quote"/>
        <w:jc w:val="center"/>
      </w:pPr>
      <w:r>
        <w:t>R_time=(r_sg,r_gen,r_res,r_tr,r_path,r_CK,r_mem,r_na,r_obs,r_cal,r_ext).  (21.21)</w:t>
      </w:r>
      <w:bookmarkEnd w:id="1985"/>
    </w:p>
    <w:p>
      <w:pPr/>
      <w:r>
        <w:t>Компоненты измеряют дефект полугруппы, генератора, резольвенты, transfer duality, path consistency, Chapman–Kolmogorov, memory-resolvent, non-anticipation, наблюдаемости, калибровки и внешней проверки. Скаляр CGI_time=∥W_time R_time∥ допустим только при опубликованном W_time и sensitivity analysis.</w:t>
      </w:r>
    </w:p>
    <w:p>
      <w:bookmarkStart w:id="1216" w:name="h_2841"/>
      <w:pPr>
        <w:pStyle w:val="Heading1"/>
      </w:pPr>
      <w:r>
        <w:t>285. Переходные горизонты главы 21</w:t>
      </w:r>
      <w:bookmarkEnd w:id="1216"/>
    </w:p>
    <w:p>
      <w:bookmarkStart w:id="1986" w:name="f_21_22"/>
      <w:pPr>
        <w:pStyle w:val="Quote"/>
        <w:jc w:val="center"/>
      </w:pPr>
      <w:r>
        <w:t>Δ_sg=Δ_dom∪Δ_cont∪Δ_comp∪Δ_accr∪Δ_res.  (21.22)</w:t>
      </w:r>
      <w:bookmarkEnd w:id="1986"/>
    </w:p>
    <w:p>
      <w:bookmarkStart w:id="1987" w:name="f_21_23"/>
      <w:pPr>
        <w:pStyle w:val="Quote"/>
        <w:jc w:val="center"/>
      </w:pPr>
      <w:r>
        <w:t>Δ_tr=Δ_pos∪Δ_mass∪Δ_dual∪Δ_spec∪Δ_inv.  (21.23)</w:t>
      </w:r>
      <w:bookmarkEnd w:id="1987"/>
    </w:p>
    <w:p>
      <w:bookmarkStart w:id="1988" w:name="f_21_24"/>
      <w:pPr>
        <w:pStyle w:val="Quote"/>
        <w:jc w:val="center"/>
      </w:pPr>
      <w:r>
        <w:t>Δ_path=Δ_cons∪Δ_tight∪Δ_reg∪Δ_branch∪Δ_hist.  (21.24)</w:t>
      </w:r>
      <w:bookmarkEnd w:id="1988"/>
    </w:p>
    <w:p>
      <w:bookmarkStart w:id="1989" w:name="f_21_25"/>
      <w:pPr>
        <w:pStyle w:val="Quote"/>
        <w:jc w:val="center"/>
      </w:pPr>
      <w:r>
        <w:t>Δ_causal=Δ_order∪Δ_NA∪Δ_filt∪Δ_interv∪Δ_transport.  (21.25)</w:t>
      </w:r>
      <w:bookmarkEnd w:id="1989"/>
    </w:p>
    <w:p>
      <w:pPr/>
      <w:r>
        <w:t>Общий временной горизонт определяется как</w:t>
      </w:r>
    </w:p>
    <w:p>
      <w:bookmarkStart w:id="1990" w:name="f_21_26"/>
      <w:pPr>
        <w:pStyle w:val="Quote"/>
        <w:jc w:val="center"/>
      </w:pPr>
      <w:r>
        <w:t>Δ_safe^{v0.18}=Δ_safe^{v0.17}∪Δ_sg∪Δ_tr∪Δ_path∪Δ_causal.  (21.26)</w:t>
      </w:r>
      <w:bookmarkEnd w:id="1990"/>
    </w:p>
    <w:p>
      <w:pPr/>
      <w:r>
        <w:t>Пересечение горизонта означает необходимость смены математического режима или появление кандидата перехода. Оно не означает наступление физического события.</w:t>
      </w:r>
    </w:p>
    <w:p>
      <w:bookmarkStart w:id="1217" w:name="h_2849"/>
      <w:pPr>
        <w:pStyle w:val="Heading1"/>
      </w:pPr>
      <w:r>
        <w:t>286. Теорема постоянства временного профиля</w:t>
      </w:r>
      <w:bookmarkEnd w:id="1217"/>
    </w:p>
    <w:p>
      <w:bookmarkStart w:id="1665" w:name="s_THM_21_5"/>
      <w:pPr/>
      <w:r>
        <w:t>Теорема 21.5 (Temporal-profile stability). [COND] Пусть на компактном интервале I задано семейство, для которого:</w:t>
      </w:r>
      <w:bookmarkEnd w:id="1665"/>
    </w:p>
    <w:p>
      <w:pPr>
        <w:pStyle w:val="ListNumber"/>
      </w:pPr>
      <w:r>
        <w:t>существует общий complete metric/Banach carrier и фиксирован admissible sector;</w:t>
      </w:r>
    </w:p>
    <w:p>
      <w:pPr>
        <w:pStyle w:val="ListNumber"/>
      </w:pPr>
      <w:r>
        <w:t>генераторы m-аккретивны либо evolution family построено по доказанной неавтономной теореме;</w:t>
      </w:r>
    </w:p>
    <w:p>
      <w:pPr>
        <w:pStyle w:val="ListNumber"/>
      </w:pPr>
      <w:r>
        <w:t>operator domains и transport-domain condition согласованы;</w:t>
      </w:r>
    </w:p>
    <w:p>
      <w:pPr>
        <w:pStyle w:val="ListNumber"/>
      </w:pPr>
      <w:r>
        <w:t>transfer operators положительны и сохраняют требуемую массу в вероятностном режиме;</w:t>
      </w:r>
    </w:p>
    <w:p>
      <w:pPr>
        <w:pStyle w:val="ListNumber"/>
      </w:pPr>
      <w:r>
        <w:t>конечномерные распределения согласованы и path carrier существует;</w:t>
      </w:r>
    </w:p>
    <w:p>
      <w:pPr>
        <w:pStyle w:val="ListNumber"/>
      </w:pPr>
      <w:r>
        <w:t>Markov/Volterra kernels типизированы, а non-anticipation доказан;</w:t>
      </w:r>
    </w:p>
    <w:p>
      <w:pPr>
        <w:pStyle w:val="ListNumber"/>
      </w:pPr>
      <w:r>
        <w:t>Rep_t, λ_t, Evidence-D и Dom определены вдоль всего пути;</w:t>
      </w:r>
    </w:p>
    <w:p>
      <w:pPr>
        <w:pStyle w:val="ListNumber"/>
      </w:pPr>
      <w:r>
        <w:t>наблюдательная модель и калибровка фиксированы до внешнего теста;</w:t>
      </w:r>
    </w:p>
    <w:p>
      <w:pPr>
        <w:pStyle w:val="ListNumber"/>
      </w:pPr>
      <w:r>
        <w:t>путь параметров не пересекает Δ_safe^{v0.18}.</w:t>
      </w:r>
    </w:p>
    <w:p>
      <w:pPr/>
      <w:r>
        <w:t>Тогда сертифицированный профиль</w:t>
      </w:r>
    </w:p>
    <w:p>
      <w:bookmarkStart w:id="1991" w:name="f_21_27"/>
      <w:pPr>
        <w:pStyle w:val="Quote"/>
        <w:jc w:val="center"/>
      </w:pPr>
      <w:r>
        <w:t>P_time(t)=(class(𝒰_t),class(𝒯_t),class(Q_t),rank/stratum,λ_t,CGI_time,t)  (21.27)</w:t>
      </w:r>
      <w:bookmarkEnd w:id="1991"/>
    </w:p>
    <w:p>
      <w:pPr/>
      <w:r>
        <w:t>локально постоянен с точностью до доказанного transport. Если дополнительно расстояние до целевого transition set имеет положительную нижнюю границу ε&gt;0, то переход данного типа невозможен внутри модели.</w:t>
      </w:r>
    </w:p>
    <w:p>
      <w:bookmarkStart w:id="1992" w:name="f_21_28"/>
      <w:pPr>
        <w:pStyle w:val="Quote"/>
        <w:jc w:val="center"/>
      </w:pPr>
      <w:r>
        <w:t>NO-TEMPORAL-TRANSITION-IN-MODEL.  (21.28)</w:t>
      </w:r>
      <w:bookmarkEnd w:id="1992"/>
    </w:p>
    <w:p>
      <w:pPr/>
      <w:r>
        <w:t>Если горизонт пересечён или запас исчезает, разрешён только статус CANDIDATE-TEMPORAL-TRANSITION. При незакрытых Dom, path consistency, non-anticipation, calibration или EXT-RUN выдаётся ABSTAIN.</w:t>
      </w:r>
    </w:p>
    <w:p>
      <w:bookmarkStart w:id="1218" w:name="h_2865"/>
      <w:pPr>
        <w:pStyle w:val="Heading1"/>
      </w:pPr>
      <w:r>
        <w:t>287. Отрицательная теорема о статических снимках</w:t>
      </w:r>
      <w:bookmarkEnd w:id="1218"/>
    </w:p>
    <w:p>
      <w:bookmarkStart w:id="1666" w:name="s_THM_21_6"/>
      <w:pPr/>
      <w:r>
        <w:t>Теорема 21.6 (Snapshot no-go). [THM] Набор состояний {x_t:t∈T} без совместимых переходов не определяет evolution family. Действительно, даже для двух моментов можно выбрать множество различных отображений, переводящих x_s в x_t и различающихся на остальных состояниях. Следовательно, snapshots не идентифицируют генератор, path law или причинный kernel.</w:t>
      </w:r>
      <w:bookmarkEnd w:id="1666"/>
    </w:p>
    <w:p>
      <w:pPr/>
      <w:r>
        <w:t>Это распространяется на реперные снимки: последовательность λ_t или CGI_t без transport и path certificate не является динамической моделью.</w:t>
      </w:r>
    </w:p>
    <w:p>
      <w:bookmarkStart w:id="1219" w:name="h_2868"/>
      <w:pPr>
        <w:pStyle w:val="Heading1"/>
      </w:pPr>
      <w:r>
        <w:t>288. Контрпримеры и разделяющие модели</w:t>
      </w:r>
      <w:bookmarkEnd w:id="1219"/>
    </w:p>
    <w:p>
      <w:pPr>
        <w:pStyle w:val="ListBullet"/>
      </w:pPr>
      <w:r>
        <w:t>Одинаковые одномоментные Bernoulli-маргиналы имеют независимый процесс и полностью коррелированный процесс X_t=Z; path laws различны.</w:t>
      </w:r>
    </w:p>
    <w:p>
      <w:pPr>
        <w:pStyle w:val="ListBullet"/>
      </w:pPr>
      <w:r>
        <w:t>Два разных потока могут иметь одну и ту же инвариантную меру; invariant measure не восстанавливает генератор.</w:t>
      </w:r>
    </w:p>
    <w:p>
      <w:pPr>
        <w:pStyle w:val="ListBullet"/>
      </w:pPr>
      <w:r>
        <w:t>Нелинейная state map порождает линейный pushforward на мерах; “нелинейный процесс” и “нелинейный transfer operator” не тождественны.</w:t>
      </w:r>
    </w:p>
    <w:p>
      <w:pPr>
        <w:pStyle w:val="ListBullet"/>
      </w:pPr>
      <w:r>
        <w:t>Положительный оператор, не сохраняющий единицу или массу, не является Markov operator.</w:t>
      </w:r>
    </w:p>
    <w:p>
      <w:pPr>
        <w:pStyle w:val="ListBullet"/>
      </w:pPr>
      <w:r>
        <w:t>Chapman–Kolmogorov может выполняться в модели, но наблюдаемая может использовать будущие данные и нарушать non-anticipation.</w:t>
      </w:r>
    </w:p>
    <w:p>
      <w:pPr>
        <w:pStyle w:val="ListBullet"/>
      </w:pPr>
      <w:r>
        <w:t>Volterra memory equation не является Markov на текущем состоянии, но может стать Markov после расширения до истории.</w:t>
      </w:r>
    </w:p>
    <w:p>
      <w:pPr>
        <w:pStyle w:val="ListBullet"/>
      </w:pPr>
      <w:r>
        <w:t>Сильная непрерывность полугруппы не задаёт физическую единицу времени; перепараметризация t↦ct меняет генератор.</w:t>
      </w:r>
    </w:p>
    <w:p>
      <w:pPr>
        <w:pStyle w:val="ListBullet"/>
      </w:pPr>
      <w:r>
        <w:t>Одинаковый набор траекторий допускает разные вероятностные веса; path set не определяет path measure.</w:t>
      </w:r>
    </w:p>
    <w:p>
      <w:pPr>
        <w:pStyle w:val="ListBullet"/>
      </w:pPr>
      <w:r>
        <w:t>Одинаковая path measure допускает разные каузальные интерпретации при наличии скрытых переменных.</w:t>
      </w:r>
    </w:p>
    <w:p>
      <w:pPr>
        <w:pStyle w:val="ListBullet"/>
      </w:pPr>
      <w:r>
        <w:t>λ_t=-1 для каждого t не гарантирует совместимость Rep_t с одним evolution family.</w:t>
      </w:r>
    </w:p>
    <w:p>
      <w:pPr>
        <w:pStyle w:val="ListBullet"/>
      </w:pPr>
      <w:r>
        <w:t>Нулевой semigroup defect на конечной сетке не доказывает тождество для всех t,s.</w:t>
      </w:r>
    </w:p>
    <w:p>
      <w:pPr>
        <w:pStyle w:val="ListBullet"/>
      </w:pPr>
      <w:r>
        <w:t>Низкий CGI_time при выбранном W_time может исчезнуть после разумной смены весов; sensitivity analysis обязателен.</w:t>
      </w:r>
    </w:p>
    <w:p>
      <w:bookmarkStart w:id="1220" w:name="h_2881"/>
      <w:pPr>
        <w:pStyle w:val="Heading1"/>
      </w:pPr>
      <w:r>
        <w:t>289. Вычислительный сертификат EVOL-TRANSFER-PATH v0.18</w:t>
      </w:r>
      <w:bookmarkEnd w:id="1220"/>
    </w:p>
    <w:p>
      <w:pPr>
        <w:pStyle w:val="ListBullet"/>
      </w:pPr>
      <w:r>
        <w:t>EVOL-01 time carrier and order; EVOL-02 state-space type; EVOL-03 admissible sector; EVOL-04 operator domains;</w:t>
      </w:r>
    </w:p>
    <w:p>
      <w:pPr>
        <w:pStyle w:val="ListBullet"/>
      </w:pPr>
      <w:r>
        <w:t>EVOL-05 semigroup identity; EVOL-06 strong continuity; EVOL-07 contraction/quasi-contraction; EVOL-08 generator graph;</w:t>
      </w:r>
    </w:p>
    <w:p>
      <w:pPr>
        <w:pStyle w:val="ListBullet"/>
      </w:pPr>
      <w:r>
        <w:t>EVOL-09 accretivity; EVOL-10 range condition; EVOL-11 resolvent solver; EVOL-12 Crandall–Liggett approximation;</w:t>
      </w:r>
    </w:p>
    <w:p>
      <w:pPr>
        <w:pStyle w:val="ListBullet"/>
      </w:pPr>
      <w:r>
        <w:t>EVOL-13 nonautonomous stability; EVOL-14 evolution-family cocycle; EVOL-15 domain transport; EVOL-16 stratum compatibility;</w:t>
      </w:r>
    </w:p>
    <w:p>
      <w:pPr>
        <w:pStyle w:val="ListBullet"/>
      </w:pPr>
      <w:r>
        <w:t>EVOL-17 Koopman action; EVOL-18 Perron–Frobenius pushforward; EVOL-19 duality test; EVOL-20 positivity/mass;</w:t>
      </w:r>
    </w:p>
    <w:p>
      <w:pPr>
        <w:pStyle w:val="ListBullet"/>
      </w:pPr>
      <w:r>
        <w:t>EVOL-21 invariant-measure test; EVOL-22 finite-dimensional distributions; EVOL-23 Kolmogorov consistency; EVOL-24 path regularity/tightness;</w:t>
      </w:r>
    </w:p>
    <w:p>
      <w:pPr>
        <w:pStyle w:val="ListBullet"/>
      </w:pPr>
      <w:r>
        <w:t>EVOL-25 Markov kernel; EVOL-26 Chapman–Kolmogorov; EVOL-27 Volterra kernel; EVOL-28 resolvent/memory test;</w:t>
      </w:r>
    </w:p>
    <w:p>
      <w:pPr>
        <w:pStyle w:val="ListBullet"/>
      </w:pPr>
      <w:r>
        <w:t>EVOL-29 non-anticipation; EVOL-30 filtration/adaptedness; EVOL-31 observability/identifiability; EVOL-32 Reper transport;</w:t>
      </w:r>
    </w:p>
    <w:p>
      <w:pPr>
        <w:pStyle w:val="ListBullet"/>
      </w:pPr>
      <w:r>
        <w:t>EVOL-33 λ/CGI_time path profile; EVOL-34 interval and perturbation bounds; EVOL-35 blocker-safe verdict; EVOL-36 hashes for source/code/data/environment.</w:t>
      </w:r>
    </w:p>
    <w:p>
      <w:pPr>
        <w:pStyle w:val="Heading2"/>
      </w:pPr>
      <w:r>
        <w:t>Псевдокод</w:t>
      </w:r>
    </w:p>
    <w:p>
      <w:pPr>
        <w:pStyle w:val="Quote"/>
        <w:jc w:val="center"/>
      </w:pPr>
      <w:r>
        <w:t>INPUT state carrier S, time T, generator/evolution family, transfer/path/causal data, Rep_t, D, Dom</w:t>
        <w:br/>
        <w:t>CHECK types, domains, semigroup/evolution identities, accretivity/resolvent or Kato hypotheses</w:t>
        <w:br/>
        <w:t>BUILD Koopman/PF dual pair; verify positivity and mass only in probabilistic mode</w:t>
        <w:br/>
        <w:t>CHECK finite-dimensional consistency; construct/validate path carrier</w:t>
        <w:br/>
        <w:t>CHECK Chapman–Kolmogorov or Volterra memory separately; certify non-anticipation</w:t>
        <w:br/>
        <w:t>COMPUTE λ_t, CGI_time, distance to Δ_safe^{v0.18}</w:t>
        <w:br/>
        <w:t>IF any blocker THEN ABSTAIN</w:t>
        <w:br/>
        <w:t>ELSE IF certified positive separation THEN NO-TEMPORAL-TRANSITION-IN-MODEL</w:t>
        <w:br/>
        <w:t>ELSE CANDIDATE-TEMPORAL-TRANSITION</w:t>
        <w:br/>
        <w:t>RECORD hashes and truth_layer_promotion=0.</w:t>
      </w:r>
    </w:p>
    <w:p>
      <w:bookmarkStart w:id="1221" w:name="h_2893"/>
      <w:pPr>
        <w:pStyle w:val="Heading1"/>
      </w:pPr>
      <w:r>
        <w:t>290. Доказательные обязательства T2-PO-315–T2-PO-348</w:t>
      </w:r>
      <w:bookmarkEnd w:id="1221"/>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512"/>
            <w:shd w:fill="1f426b"/>
            <w:tcMar>
              <w:top w:w="90" w:type="dxa"/>
              <w:start w:w="100" w:type="dxa"/>
              <w:bottom w:w="90" w:type="dxa"/>
              <w:end w:w="100" w:type="dxa"/>
            </w:tcMar>
          </w:tcPr>
          <w:p>
            <w:r>
              <w:rPr>
                <w:b/>
                <w:color w:val="FFFFFF"/>
              </w:rPr>
              <w:t>PO</w:t>
            </w:r>
          </w:p>
        </w:tc>
        <w:tc>
          <w:tcPr>
            <w:tcW w:type="dxa" w:w="5112"/>
            <w:shd w:fill="1f426b"/>
            <w:tcMar>
              <w:top w:w="90" w:type="dxa"/>
              <w:start w:w="100" w:type="dxa"/>
              <w:bottom w:w="90" w:type="dxa"/>
              <w:end w:w="100" w:type="dxa"/>
            </w:tcMar>
          </w:tcPr>
          <w:p>
            <w:r>
              <w:rPr>
                <w:b/>
                <w:color w:val="FFFFFF"/>
              </w:rPr>
              <w:t>Обязательство</w:t>
            </w:r>
          </w:p>
        </w:tc>
        <w:tc>
          <w:tcPr>
            <w:tcW w:type="dxa" w:w="1224"/>
            <w:shd w:fill="1f426b"/>
            <w:tcMar>
              <w:top w:w="90" w:type="dxa"/>
              <w:start w:w="100" w:type="dxa"/>
              <w:bottom w:w="90" w:type="dxa"/>
              <w:end w:w="100" w:type="dxa"/>
            </w:tcMar>
          </w:tcPr>
          <w:p>
            <w:r>
              <w:rPr>
                <w:b/>
                <w:color w:val="FFFFFF"/>
              </w:rPr>
              <w:t>Статус</w:t>
            </w:r>
          </w:p>
        </w:tc>
        <w:tc>
          <w:tcPr>
            <w:tcW w:type="dxa" w:w="1944"/>
            <w:shd w:fill="1f426b"/>
            <w:tcMar>
              <w:top w:w="90" w:type="dxa"/>
              <w:start w:w="100" w:type="dxa"/>
              <w:bottom w:w="90" w:type="dxa"/>
              <w:end w:w="100" w:type="dxa"/>
            </w:tcMar>
          </w:tcPr>
          <w:p>
            <w:r>
              <w:rPr>
                <w:b/>
                <w:color w:val="FFFFFF"/>
              </w:rPr>
              <w:t>Основание / следующий шаг</w:t>
            </w:r>
          </w:p>
        </w:tc>
      </w:tr>
      <w:tr>
        <w:trPr>
          <w:cantSplit/>
        </w:trPr>
        <w:tc>
          <w:tcPr>
            <w:tcW w:type="dxa" w:w="1512"/>
            <w:tcMar>
              <w:top w:w="90" w:type="dxa"/>
              <w:start w:w="100" w:type="dxa"/>
              <w:bottom w:w="90" w:type="dxa"/>
              <w:end w:w="100" w:type="dxa"/>
            </w:tcMar>
            <w:vAlign w:val="center"/>
          </w:tcPr>
          <w:p>
            <w:bookmarkStart w:id="2411" w:name="po_315"/>
            <w:r>
              <w:t>T2-PO-315</w:t>
            </w:r>
            <w:bookmarkEnd w:id="2411"/>
          </w:p>
        </w:tc>
        <w:tc>
          <w:tcPr>
            <w:tcW w:type="dxa" w:w="5112"/>
            <w:tcMar>
              <w:top w:w="90" w:type="dxa"/>
              <w:start w:w="100" w:type="dxa"/>
              <w:bottom w:w="90" w:type="dxa"/>
              <w:end w:w="100" w:type="dxa"/>
            </w:tcMar>
            <w:vAlign w:val="center"/>
          </w:tcPr>
          <w:p>
            <w:r>
              <w:t>Типизация временного носителя и порядка</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Определение 21.1</w:t>
            </w:r>
          </w:p>
        </w:tc>
      </w:tr>
      <w:tr>
        <w:trPr>
          <w:cantSplit/>
        </w:trPr>
        <w:tc>
          <w:tcPr>
            <w:tcW w:type="dxa" w:w="1512"/>
            <w:tcMar>
              <w:top w:w="90" w:type="dxa"/>
              <w:start w:w="100" w:type="dxa"/>
              <w:bottom w:w="90" w:type="dxa"/>
              <w:end w:w="100" w:type="dxa"/>
            </w:tcMar>
            <w:vAlign w:val="center"/>
          </w:tcPr>
          <w:p>
            <w:bookmarkStart w:id="2412" w:name="po_316"/>
            <w:r>
              <w:t>T2-PO-316</w:t>
            </w:r>
            <w:bookmarkEnd w:id="2412"/>
          </w:p>
        </w:tc>
        <w:tc>
          <w:tcPr>
            <w:tcW w:type="dxa" w:w="5112"/>
            <w:tcMar>
              <w:top w:w="90" w:type="dxa"/>
              <w:start w:w="100" w:type="dxa"/>
              <w:bottom w:w="90" w:type="dxa"/>
              <w:end w:w="100" w:type="dxa"/>
            </w:tcMar>
            <w:vAlign w:val="center"/>
          </w:tcPr>
          <w:p>
            <w:r>
              <w:t>Типизация state bundle и evolution domains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(21.2)</w:t>
            </w:r>
          </w:p>
        </w:tc>
      </w:tr>
      <w:tr>
        <w:trPr>
          <w:cantSplit/>
        </w:trPr>
        <w:tc>
          <w:tcPr>
            <w:tcW w:type="dxa" w:w="1512"/>
            <w:tcMar>
              <w:top w:w="90" w:type="dxa"/>
              <w:start w:w="100" w:type="dxa"/>
              <w:bottom w:w="90" w:type="dxa"/>
              <w:end w:w="100" w:type="dxa"/>
            </w:tcMar>
            <w:vAlign w:val="center"/>
          </w:tcPr>
          <w:p>
            <w:bookmarkStart w:id="2413" w:name="po_317"/>
            <w:r>
              <w:t>T2-PO-317</w:t>
            </w:r>
            <w:bookmarkEnd w:id="2413"/>
          </w:p>
        </w:tc>
        <w:tc>
          <w:tcPr>
            <w:tcW w:type="dxa" w:w="5112"/>
            <w:tcMar>
              <w:top w:w="90" w:type="dxa"/>
              <w:start w:w="100" w:type="dxa"/>
              <w:bottom w:w="90" w:type="dxa"/>
              <w:end w:w="100" w:type="dxa"/>
            </w:tcMar>
            <w:vAlign w:val="center"/>
          </w:tcPr>
          <w:p>
            <w:r>
              <w:t>Нелинейная semigroup axioms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(21.3)</w:t>
            </w:r>
          </w:p>
        </w:tc>
      </w:tr>
      <w:tr>
        <w:trPr>
          <w:cantSplit/>
        </w:trPr>
        <w:tc>
          <w:tcPr>
            <w:tcW w:type="dxa" w:w="1512"/>
            <w:tcMar>
              <w:top w:w="90" w:type="dxa"/>
              <w:start w:w="100" w:type="dxa"/>
              <w:bottom w:w="90" w:type="dxa"/>
              <w:end w:w="100" w:type="dxa"/>
            </w:tcMar>
            <w:vAlign w:val="center"/>
          </w:tcPr>
          <w:p>
            <w:bookmarkStart w:id="2414" w:name="po_318"/>
            <w:r>
              <w:t>T2-PO-318</w:t>
            </w:r>
            <w:bookmarkEnd w:id="2414"/>
          </w:p>
        </w:tc>
        <w:tc>
          <w:tcPr>
            <w:tcW w:type="dxa" w:w="5112"/>
            <w:tcMar>
              <w:top w:w="90" w:type="dxa"/>
              <w:start w:w="100" w:type="dxa"/>
              <w:bottom w:w="90" w:type="dxa"/>
              <w:end w:w="100" w:type="dxa"/>
            </w:tcMar>
            <w:vAlign w:val="center"/>
          </w:tcPr>
          <w:p>
            <w:r>
              <w:t>m-аккретивность конкретного NAPG-генератора</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Требуется модель</w:t>
            </w:r>
          </w:p>
        </w:tc>
      </w:tr>
      <w:tr>
        <w:trPr>
          <w:cantSplit/>
        </w:trPr>
        <w:tc>
          <w:tcPr>
            <w:tcW w:type="dxa" w:w="1512"/>
            <w:tcMar>
              <w:top w:w="90" w:type="dxa"/>
              <w:start w:w="100" w:type="dxa"/>
              <w:bottom w:w="90" w:type="dxa"/>
              <w:end w:w="100" w:type="dxa"/>
            </w:tcMar>
            <w:vAlign w:val="center"/>
          </w:tcPr>
          <w:p>
            <w:bookmarkStart w:id="2415" w:name="po_319"/>
            <w:r>
              <w:t>T2-PO-319</w:t>
            </w:r>
            <w:bookmarkEnd w:id="2415"/>
          </w:p>
        </w:tc>
        <w:tc>
          <w:tcPr>
            <w:tcW w:type="dxa" w:w="5112"/>
            <w:tcMar>
              <w:top w:w="90" w:type="dxa"/>
              <w:start w:w="100" w:type="dxa"/>
              <w:bottom w:w="90" w:type="dxa"/>
              <w:end w:w="100" w:type="dxa"/>
            </w:tcMar>
            <w:vAlign w:val="center"/>
          </w:tcPr>
          <w:p>
            <w:r>
              <w:t>Crandall–Liggett generation для выбранного A</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PO-318</w:t>
            </w:r>
          </w:p>
        </w:tc>
      </w:tr>
      <w:tr>
        <w:trPr>
          <w:cantSplit/>
        </w:trPr>
        <w:tc>
          <w:tcPr>
            <w:tcW w:type="dxa" w:w="1512"/>
            <w:tcMar>
              <w:top w:w="90" w:type="dxa"/>
              <w:start w:w="100" w:type="dxa"/>
              <w:bottom w:w="90" w:type="dxa"/>
              <w:end w:w="100" w:type="dxa"/>
            </w:tcMar>
            <w:vAlign w:val="center"/>
          </w:tcPr>
          <w:p>
            <w:bookmarkStart w:id="2416" w:name="po_320"/>
            <w:r>
              <w:t>T2-PO-320</w:t>
            </w:r>
            <w:bookmarkEnd w:id="2416"/>
          </w:p>
        </w:tc>
        <w:tc>
          <w:tcPr>
            <w:tcW w:type="dxa" w:w="5112"/>
            <w:tcMar>
              <w:top w:w="90" w:type="dxa"/>
              <w:start w:w="100" w:type="dxa"/>
              <w:bottom w:w="90" w:type="dxa"/>
              <w:end w:w="100" w:type="dxa"/>
            </w:tcMar>
            <w:vAlign w:val="center"/>
          </w:tcPr>
          <w:p>
            <w:r>
              <w:t>Инвариантность admissible sector под резольвентой</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rPr>
          <w:cantSplit/>
        </w:trPr>
        <w:tc>
          <w:tcPr>
            <w:tcW w:type="dxa" w:w="1512"/>
            <w:tcMar>
              <w:top w:w="90" w:type="dxa"/>
              <w:start w:w="100" w:type="dxa"/>
              <w:bottom w:w="90" w:type="dxa"/>
              <w:end w:w="100" w:type="dxa"/>
            </w:tcMar>
            <w:vAlign w:val="center"/>
          </w:tcPr>
          <w:p>
            <w:bookmarkStart w:id="2417" w:name="po_321"/>
            <w:r>
              <w:t>T2-PO-321</w:t>
            </w:r>
            <w:bookmarkEnd w:id="2417"/>
          </w:p>
        </w:tc>
        <w:tc>
          <w:tcPr>
            <w:tcW w:type="dxa" w:w="5112"/>
            <w:tcMar>
              <w:top w:w="90" w:type="dxa"/>
              <w:start w:w="100" w:type="dxa"/>
              <w:bottom w:w="90" w:type="dxa"/>
              <w:end w:w="100" w:type="dxa"/>
            </w:tcMar>
            <w:vAlign w:val="center"/>
          </w:tcPr>
          <w:p>
            <w:r>
              <w:t>Неавтономная Kato stability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Семейство A(t)</w:t>
            </w:r>
          </w:p>
        </w:tc>
      </w:tr>
      <w:tr>
        <w:trPr>
          <w:cantSplit/>
        </w:trPr>
        <w:tc>
          <w:tcPr>
            <w:tcW w:type="dxa" w:w="1512"/>
            <w:tcMar>
              <w:top w:w="90" w:type="dxa"/>
              <w:start w:w="100" w:type="dxa"/>
              <w:bottom w:w="90" w:type="dxa"/>
              <w:end w:w="100" w:type="dxa"/>
            </w:tcMar>
            <w:vAlign w:val="center"/>
          </w:tcPr>
          <w:p>
            <w:bookmarkStart w:id="2418" w:name="po_322"/>
            <w:r>
              <w:t>T2-PO-322</w:t>
            </w:r>
            <w:bookmarkEnd w:id="2418"/>
          </w:p>
        </w:tc>
        <w:tc>
          <w:tcPr>
            <w:tcW w:type="dxa" w:w="5112"/>
            <w:tcMar>
              <w:top w:w="90" w:type="dxa"/>
              <w:start w:w="100" w:type="dxa"/>
              <w:bottom w:w="90" w:type="dxa"/>
              <w:end w:w="100" w:type="dxa"/>
            </w:tcMar>
            <w:vAlign w:val="center"/>
          </w:tcPr>
          <w:p>
            <w:r>
              <w:t>Transport-domain compatibility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Проверка композиций</w:t>
            </w:r>
          </w:p>
        </w:tc>
      </w:tr>
      <w:tr>
        <w:trPr>
          <w:cantSplit/>
        </w:trPr>
        <w:tc>
          <w:tcPr>
            <w:tcW w:type="dxa" w:w="1512"/>
            <w:tcMar>
              <w:top w:w="90" w:type="dxa"/>
              <w:start w:w="100" w:type="dxa"/>
              <w:bottom w:w="90" w:type="dxa"/>
              <w:end w:w="100" w:type="dxa"/>
            </w:tcMar>
            <w:vAlign w:val="center"/>
          </w:tcPr>
          <w:p>
            <w:bookmarkStart w:id="2419" w:name="po_323"/>
            <w:r>
              <w:t>T2-PO-323</w:t>
            </w:r>
            <w:bookmarkEnd w:id="2419"/>
          </w:p>
        </w:tc>
        <w:tc>
          <w:tcPr>
            <w:tcW w:type="dxa" w:w="5112"/>
            <w:tcMar>
              <w:top w:w="90" w:type="dxa"/>
              <w:start w:w="100" w:type="dxa"/>
              <w:bottom w:w="90" w:type="dxa"/>
              <w:end w:w="100" w:type="dxa"/>
            </w:tcMar>
            <w:vAlign w:val="center"/>
          </w:tcPr>
          <w:p>
            <w:r>
              <w:t>Koopman functoriality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(21.6)</w:t>
            </w:r>
          </w:p>
        </w:tc>
      </w:tr>
      <w:tr>
        <w:trPr>
          <w:cantSplit/>
        </w:trPr>
        <w:tc>
          <w:tcPr>
            <w:tcW w:type="dxa" w:w="1512"/>
            <w:tcMar>
              <w:top w:w="90" w:type="dxa"/>
              <w:start w:w="100" w:type="dxa"/>
              <w:bottom w:w="90" w:type="dxa"/>
              <w:end w:w="100" w:type="dxa"/>
            </w:tcMar>
            <w:vAlign w:val="center"/>
          </w:tcPr>
          <w:p>
            <w:bookmarkStart w:id="2420" w:name="po_324"/>
            <w:r>
              <w:t>T2-PO-324</w:t>
            </w:r>
            <w:bookmarkEnd w:id="2420"/>
          </w:p>
        </w:tc>
        <w:tc>
          <w:tcPr>
            <w:tcW w:type="dxa" w:w="5112"/>
            <w:tcMar>
              <w:top w:w="90" w:type="dxa"/>
              <w:start w:w="100" w:type="dxa"/>
              <w:bottom w:w="90" w:type="dxa"/>
              <w:end w:w="100" w:type="dxa"/>
            </w:tcMar>
            <w:vAlign w:val="center"/>
          </w:tcPr>
          <w:p>
            <w:r>
              <w:t>Perron–Frobenius pushforward и duality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(21.7)–(21.8)</w:t>
            </w:r>
          </w:p>
        </w:tc>
      </w:tr>
      <w:tr>
        <w:trPr>
          <w:cantSplit/>
        </w:trPr>
        <w:tc>
          <w:tcPr>
            <w:tcW w:type="dxa" w:w="1512"/>
            <w:tcMar>
              <w:top w:w="90" w:type="dxa"/>
              <w:start w:w="100" w:type="dxa"/>
              <w:bottom w:w="90" w:type="dxa"/>
              <w:end w:w="100" w:type="dxa"/>
            </w:tcMar>
            <w:vAlign w:val="center"/>
          </w:tcPr>
          <w:p>
            <w:bookmarkStart w:id="2421" w:name="po_325"/>
            <w:r>
              <w:t>T2-PO-325</w:t>
            </w:r>
            <w:bookmarkEnd w:id="2421"/>
          </w:p>
        </w:tc>
        <w:tc>
          <w:tcPr>
            <w:tcW w:type="dxa" w:w="5112"/>
            <w:tcMar>
              <w:top w:w="90" w:type="dxa"/>
              <w:start w:w="100" w:type="dxa"/>
              <w:bottom w:w="90" w:type="dxa"/>
              <w:end w:w="100" w:type="dxa"/>
            </w:tcMar>
            <w:vAlign w:val="center"/>
          </w:tcPr>
          <w:p>
            <w:r>
              <w:t>Положительность и сохранение массы</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Зависит от режима</w:t>
            </w:r>
          </w:p>
        </w:tc>
      </w:tr>
      <w:tr>
        <w:trPr>
          <w:cantSplit/>
        </w:trPr>
        <w:tc>
          <w:tcPr>
            <w:tcW w:type="dxa" w:w="1512"/>
            <w:tcMar>
              <w:top w:w="90" w:type="dxa"/>
              <w:start w:w="100" w:type="dxa"/>
              <w:bottom w:w="90" w:type="dxa"/>
              <w:end w:w="100" w:type="dxa"/>
            </w:tcMar>
            <w:vAlign w:val="center"/>
          </w:tcPr>
          <w:p>
            <w:bookmarkStart w:id="2422" w:name="po_326"/>
            <w:r>
              <w:t>T2-PO-326</w:t>
            </w:r>
            <w:bookmarkEnd w:id="2422"/>
          </w:p>
        </w:tc>
        <w:tc>
          <w:tcPr>
            <w:tcW w:type="dxa" w:w="5112"/>
            <w:tcMar>
              <w:top w:w="90" w:type="dxa"/>
              <w:start w:w="100" w:type="dxa"/>
              <w:bottom w:w="90" w:type="dxa"/>
              <w:end w:w="100" w:type="dxa"/>
            </w:tcMar>
            <w:vAlign w:val="center"/>
          </w:tcPr>
          <w:p>
            <w:r>
              <w:t>Lasota–Yorke-type estimate для RBD/NAPG</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Новая оценка</w:t>
            </w:r>
          </w:p>
        </w:tc>
      </w:tr>
      <w:tr>
        <w:trPr>
          <w:cantSplit/>
        </w:trPr>
        <w:tc>
          <w:tcPr>
            <w:tcW w:type="dxa" w:w="1512"/>
            <w:tcMar>
              <w:top w:w="90" w:type="dxa"/>
              <w:start w:w="100" w:type="dxa"/>
              <w:bottom w:w="90" w:type="dxa"/>
              <w:end w:w="100" w:type="dxa"/>
            </w:tcMar>
            <w:vAlign w:val="center"/>
          </w:tcPr>
          <w:p>
            <w:bookmarkStart w:id="2423" w:name="po_327"/>
            <w:r>
              <w:t>T2-PO-327</w:t>
            </w:r>
            <w:bookmarkEnd w:id="2423"/>
          </w:p>
        </w:tc>
        <w:tc>
          <w:tcPr>
            <w:tcW w:type="dxa" w:w="5112"/>
            <w:tcMar>
              <w:top w:w="90" w:type="dxa"/>
              <w:start w:w="100" w:type="dxa"/>
              <w:bottom w:w="90" w:type="dxa"/>
              <w:end w:w="100" w:type="dxa"/>
            </w:tcMar>
            <w:vAlign w:val="center"/>
          </w:tcPr>
          <w:p>
            <w:r>
              <w:t>Markov-kernel measurability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Доменная модель</w:t>
            </w:r>
          </w:p>
        </w:tc>
      </w:tr>
      <w:tr>
        <w:trPr>
          <w:cantSplit/>
        </w:trPr>
        <w:tc>
          <w:tcPr>
            <w:tcW w:type="dxa" w:w="1512"/>
            <w:tcMar>
              <w:top w:w="90" w:type="dxa"/>
              <w:start w:w="100" w:type="dxa"/>
              <w:bottom w:w="90" w:type="dxa"/>
              <w:end w:w="100" w:type="dxa"/>
            </w:tcMar>
            <w:vAlign w:val="center"/>
          </w:tcPr>
          <w:p>
            <w:bookmarkStart w:id="2424" w:name="po_328"/>
            <w:r>
              <w:t>T2-PO-328</w:t>
            </w:r>
            <w:bookmarkEnd w:id="2424"/>
          </w:p>
        </w:tc>
        <w:tc>
          <w:tcPr>
            <w:tcW w:type="dxa" w:w="5112"/>
            <w:tcMar>
              <w:top w:w="90" w:type="dxa"/>
              <w:start w:w="100" w:type="dxa"/>
              <w:bottom w:w="90" w:type="dxa"/>
              <w:end w:w="100" w:type="dxa"/>
            </w:tcMar>
            <w:vAlign w:val="center"/>
          </w:tcPr>
          <w:p>
            <w:r>
              <w:t>Chapman–Kolmogorov consistency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(21.9)</w:t>
            </w:r>
          </w:p>
        </w:tc>
      </w:tr>
      <w:tr>
        <w:trPr>
          <w:cantSplit/>
        </w:trPr>
        <w:tc>
          <w:tcPr>
            <w:tcW w:type="dxa" w:w="1512"/>
            <w:tcMar>
              <w:top w:w="90" w:type="dxa"/>
              <w:start w:w="100" w:type="dxa"/>
              <w:bottom w:w="90" w:type="dxa"/>
              <w:end w:w="100" w:type="dxa"/>
            </w:tcMar>
            <w:vAlign w:val="center"/>
          </w:tcPr>
          <w:p>
            <w:bookmarkStart w:id="2425" w:name="po_329"/>
            <w:r>
              <w:t>T2-PO-329</w:t>
            </w:r>
            <w:bookmarkEnd w:id="2425"/>
          </w:p>
        </w:tc>
        <w:tc>
          <w:tcPr>
            <w:tcW w:type="dxa" w:w="5112"/>
            <w:tcMar>
              <w:top w:w="90" w:type="dxa"/>
              <w:start w:w="100" w:type="dxa"/>
              <w:bottom w:w="90" w:type="dxa"/>
              <w:end w:w="100" w:type="dxa"/>
            </w:tcMar>
            <w:vAlign w:val="center"/>
          </w:tcPr>
          <w:p>
            <w:r>
              <w:t>Kolmogorov path-space extension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Стандартный Borel sector</w:t>
            </w:r>
          </w:p>
        </w:tc>
      </w:tr>
      <w:tr>
        <w:trPr>
          <w:cantSplit/>
        </w:trPr>
        <w:tc>
          <w:tcPr>
            <w:tcW w:type="dxa" w:w="1512"/>
            <w:tcMar>
              <w:top w:w="90" w:type="dxa"/>
              <w:start w:w="100" w:type="dxa"/>
              <w:bottom w:w="90" w:type="dxa"/>
              <w:end w:w="100" w:type="dxa"/>
            </w:tcMar>
            <w:vAlign w:val="center"/>
          </w:tcPr>
          <w:p>
            <w:bookmarkStart w:id="2426" w:name="po_330"/>
            <w:r>
              <w:t>T2-PO-330</w:t>
            </w:r>
            <w:bookmarkEnd w:id="2426"/>
          </w:p>
        </w:tc>
        <w:tc>
          <w:tcPr>
            <w:tcW w:type="dxa" w:w="5112"/>
            <w:tcMar>
              <w:top w:w="90" w:type="dxa"/>
              <w:start w:w="100" w:type="dxa"/>
              <w:bottom w:w="90" w:type="dxa"/>
              <w:end w:w="100" w:type="dxa"/>
            </w:tcMar>
            <w:vAlign w:val="center"/>
          </w:tcPr>
          <w:p>
            <w:r>
              <w:t>Tightness/regularity path law</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Moment estimates</w:t>
            </w:r>
          </w:p>
        </w:tc>
      </w:tr>
      <w:tr>
        <w:trPr>
          <w:cantSplit/>
        </w:trPr>
        <w:tc>
          <w:tcPr>
            <w:tcW w:type="dxa" w:w="1512"/>
            <w:tcMar>
              <w:top w:w="90" w:type="dxa"/>
              <w:start w:w="100" w:type="dxa"/>
              <w:bottom w:w="90" w:type="dxa"/>
              <w:end w:w="100" w:type="dxa"/>
            </w:tcMar>
            <w:vAlign w:val="center"/>
          </w:tcPr>
          <w:p>
            <w:bookmarkStart w:id="2427" w:name="po_331"/>
            <w:r>
              <w:t>T2-PO-331</w:t>
            </w:r>
            <w:bookmarkEnd w:id="2427"/>
          </w:p>
        </w:tc>
        <w:tc>
          <w:tcPr>
            <w:tcW w:type="dxa" w:w="5112"/>
            <w:tcMar>
              <w:top w:w="90" w:type="dxa"/>
              <w:start w:w="100" w:type="dxa"/>
              <w:bottom w:w="90" w:type="dxa"/>
              <w:end w:w="100" w:type="dxa"/>
            </w:tcMar>
            <w:vAlign w:val="center"/>
          </w:tcPr>
          <w:p>
            <w:r>
              <w:t>Детерминированный orbit carrier</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(21.11)</w:t>
            </w:r>
          </w:p>
        </w:tc>
      </w:tr>
      <w:tr>
        <w:trPr>
          <w:cantSplit/>
        </w:trPr>
        <w:tc>
          <w:tcPr>
            <w:tcW w:type="dxa" w:w="1512"/>
            <w:tcMar>
              <w:top w:w="90" w:type="dxa"/>
              <w:start w:w="100" w:type="dxa"/>
              <w:bottom w:w="90" w:type="dxa"/>
              <w:end w:w="100" w:type="dxa"/>
            </w:tcMar>
            <w:vAlign w:val="center"/>
          </w:tcPr>
          <w:p>
            <w:bookmarkStart w:id="2428" w:name="po_332"/>
            <w:r>
              <w:t>T2-PO-332</w:t>
            </w:r>
            <w:bookmarkEnd w:id="2428"/>
          </w:p>
        </w:tc>
        <w:tc>
          <w:tcPr>
            <w:tcW w:type="dxa" w:w="5112"/>
            <w:tcMar>
              <w:top w:w="90" w:type="dxa"/>
              <w:start w:w="100" w:type="dxa"/>
              <w:bottom w:w="90" w:type="dxa"/>
              <w:end w:w="100" w:type="dxa"/>
            </w:tcMar>
            <w:vAlign w:val="center"/>
          </w:tcPr>
          <w:p>
            <w:r>
              <w:t>Volterra-kernel existence/uniqueness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Kernel-specific</w:t>
            </w:r>
          </w:p>
        </w:tc>
      </w:tr>
      <w:tr>
        <w:trPr>
          <w:cantSplit/>
        </w:trPr>
        <w:tc>
          <w:tcPr>
            <w:tcW w:type="dxa" w:w="1512"/>
            <w:tcMar>
              <w:top w:w="90" w:type="dxa"/>
              <w:start w:w="100" w:type="dxa"/>
              <w:bottom w:w="90" w:type="dxa"/>
              <w:end w:w="100" w:type="dxa"/>
            </w:tcMar>
            <w:vAlign w:val="center"/>
          </w:tcPr>
          <w:p>
            <w:bookmarkStart w:id="2429" w:name="po_333"/>
            <w:r>
              <w:t>T2-PO-333</w:t>
            </w:r>
            <w:bookmarkEnd w:id="2429"/>
          </w:p>
        </w:tc>
        <w:tc>
          <w:tcPr>
            <w:tcW w:type="dxa" w:w="5112"/>
            <w:tcMar>
              <w:top w:w="90" w:type="dxa"/>
              <w:start w:w="100" w:type="dxa"/>
              <w:bottom w:w="90" w:type="dxa"/>
              <w:end w:w="100" w:type="dxa"/>
            </w:tcMar>
            <w:vAlign w:val="center"/>
          </w:tcPr>
          <w:p>
            <w:r>
              <w:t>Resolvent memory kernel</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Analytic package</w:t>
            </w:r>
          </w:p>
        </w:tc>
      </w:tr>
      <w:tr>
        <w:trPr>
          <w:cantSplit/>
        </w:trPr>
        <w:tc>
          <w:tcPr>
            <w:tcW w:type="dxa" w:w="1512"/>
            <w:tcMar>
              <w:top w:w="90" w:type="dxa"/>
              <w:start w:w="100" w:type="dxa"/>
              <w:bottom w:w="90" w:type="dxa"/>
              <w:end w:w="100" w:type="dxa"/>
            </w:tcMar>
            <w:vAlign w:val="center"/>
          </w:tcPr>
          <w:p>
            <w:bookmarkStart w:id="2430" w:name="po_334"/>
            <w:r>
              <w:t>T2-PO-334</w:t>
            </w:r>
            <w:bookmarkEnd w:id="2430"/>
          </w:p>
        </w:tc>
        <w:tc>
          <w:tcPr>
            <w:tcW w:type="dxa" w:w="5112"/>
            <w:tcMar>
              <w:top w:w="90" w:type="dxa"/>
              <w:start w:w="100" w:type="dxa"/>
              <w:bottom w:w="90" w:type="dxa"/>
              <w:end w:w="100" w:type="dxa"/>
            </w:tcMar>
            <w:vAlign w:val="center"/>
          </w:tcPr>
          <w:p>
            <w:r>
              <w:t>Non-anticipation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21.4</w:t>
            </w:r>
          </w:p>
        </w:tc>
      </w:tr>
      <w:tr>
        <w:trPr>
          <w:cantSplit/>
        </w:trPr>
        <w:tc>
          <w:tcPr>
            <w:tcW w:type="dxa" w:w="1512"/>
            <w:tcMar>
              <w:top w:w="90" w:type="dxa"/>
              <w:start w:w="100" w:type="dxa"/>
              <w:bottom w:w="90" w:type="dxa"/>
              <w:end w:w="100" w:type="dxa"/>
            </w:tcMar>
            <w:vAlign w:val="center"/>
          </w:tcPr>
          <w:p>
            <w:bookmarkStart w:id="2431" w:name="po_335"/>
            <w:r>
              <w:t>T2-PO-335</w:t>
            </w:r>
            <w:bookmarkEnd w:id="2431"/>
          </w:p>
        </w:tc>
        <w:tc>
          <w:tcPr>
            <w:tcW w:type="dxa" w:w="5112"/>
            <w:tcMar>
              <w:top w:w="90" w:type="dxa"/>
              <w:start w:w="100" w:type="dxa"/>
              <w:bottom w:w="90" w:type="dxa"/>
              <w:end w:w="100" w:type="dxa"/>
            </w:tcMar>
            <w:vAlign w:val="center"/>
          </w:tcPr>
          <w:p>
            <w:r>
              <w:t>Filtration and adaptedness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Probability bridge</w:t>
            </w:r>
          </w:p>
        </w:tc>
      </w:tr>
      <w:tr>
        <w:trPr>
          <w:cantSplit/>
        </w:trPr>
        <w:tc>
          <w:tcPr>
            <w:tcW w:type="dxa" w:w="1512"/>
            <w:tcMar>
              <w:top w:w="90" w:type="dxa"/>
              <w:start w:w="100" w:type="dxa"/>
              <w:bottom w:w="90" w:type="dxa"/>
              <w:end w:w="100" w:type="dxa"/>
            </w:tcMar>
            <w:vAlign w:val="center"/>
          </w:tcPr>
          <w:p>
            <w:bookmarkStart w:id="2432" w:name="po_336"/>
            <w:r>
              <w:t>T2-PO-336</w:t>
            </w:r>
            <w:bookmarkEnd w:id="2432"/>
          </w:p>
        </w:tc>
        <w:tc>
          <w:tcPr>
            <w:tcW w:type="dxa" w:w="5112"/>
            <w:tcMar>
              <w:top w:w="90" w:type="dxa"/>
              <w:start w:w="100" w:type="dxa"/>
              <w:bottom w:w="90" w:type="dxa"/>
              <w:end w:w="100" w:type="dxa"/>
            </w:tcMar>
            <w:vAlign w:val="center"/>
          </w:tcPr>
          <w:p>
            <w:r>
              <w:t>Observability of Reper state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Obs-specific</w:t>
            </w:r>
          </w:p>
        </w:tc>
      </w:tr>
      <w:tr>
        <w:trPr>
          <w:cantSplit/>
        </w:trPr>
        <w:tc>
          <w:tcPr>
            <w:tcW w:type="dxa" w:w="1512"/>
            <w:tcMar>
              <w:top w:w="90" w:type="dxa"/>
              <w:start w:w="100" w:type="dxa"/>
              <w:bottom w:w="90" w:type="dxa"/>
              <w:end w:w="100" w:type="dxa"/>
            </w:tcMar>
            <w:vAlign w:val="center"/>
          </w:tcPr>
          <w:p>
            <w:bookmarkStart w:id="2433" w:name="po_337"/>
            <w:r>
              <w:t>T2-PO-337</w:t>
            </w:r>
            <w:bookmarkEnd w:id="2433"/>
          </w:p>
        </w:tc>
        <w:tc>
          <w:tcPr>
            <w:tcW w:type="dxa" w:w="5112"/>
            <w:tcMar>
              <w:top w:w="90" w:type="dxa"/>
              <w:start w:w="100" w:type="dxa"/>
              <w:bottom w:w="90" w:type="dxa"/>
              <w:end w:w="100" w:type="dxa"/>
            </w:tcMar>
            <w:vAlign w:val="center"/>
          </w:tcPr>
          <w:p>
            <w:r>
              <w:t>Parameter identifiability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Data-specific</w:t>
            </w:r>
          </w:p>
        </w:tc>
      </w:tr>
      <w:tr>
        <w:trPr>
          <w:cantSplit/>
        </w:trPr>
        <w:tc>
          <w:tcPr>
            <w:tcW w:type="dxa" w:w="1512"/>
            <w:tcMar>
              <w:top w:w="90" w:type="dxa"/>
              <w:start w:w="100" w:type="dxa"/>
              <w:bottom w:w="90" w:type="dxa"/>
              <w:end w:w="100" w:type="dxa"/>
            </w:tcMar>
            <w:vAlign w:val="center"/>
          </w:tcPr>
          <w:p>
            <w:bookmarkStart w:id="2434" w:name="po_338"/>
            <w:r>
              <w:t>T2-PO-338</w:t>
            </w:r>
            <w:bookmarkEnd w:id="2434"/>
          </w:p>
        </w:tc>
        <w:tc>
          <w:tcPr>
            <w:tcW w:type="dxa" w:w="5112"/>
            <w:tcMar>
              <w:top w:w="90" w:type="dxa"/>
              <w:start w:w="100" w:type="dxa"/>
              <w:bottom w:w="90" w:type="dxa"/>
              <w:end w:w="100" w:type="dxa"/>
            </w:tcMar>
            <w:vAlign w:val="center"/>
          </w:tcPr>
          <w:p>
            <w:r>
              <w:t>Reper trajectory transport</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rPr>
          <w:cantSplit/>
        </w:trPr>
        <w:tc>
          <w:tcPr>
            <w:tcW w:type="dxa" w:w="1512"/>
            <w:tcMar>
              <w:top w:w="90" w:type="dxa"/>
              <w:start w:w="100" w:type="dxa"/>
              <w:bottom w:w="90" w:type="dxa"/>
              <w:end w:w="100" w:type="dxa"/>
            </w:tcMar>
            <w:vAlign w:val="center"/>
          </w:tcPr>
          <w:p>
            <w:bookmarkStart w:id="2435" w:name="po_339"/>
            <w:r>
              <w:t>T2-PO-339</w:t>
            </w:r>
            <w:bookmarkEnd w:id="2435"/>
          </w:p>
        </w:tc>
        <w:tc>
          <w:tcPr>
            <w:tcW w:type="dxa" w:w="5112"/>
            <w:tcMar>
              <w:top w:w="90" w:type="dxa"/>
              <w:start w:w="100" w:type="dxa"/>
              <w:bottom w:w="90" w:type="dxa"/>
              <w:end w:w="100" w:type="dxa"/>
            </w:tcMar>
            <w:vAlign w:val="center"/>
          </w:tcPr>
          <w:p>
            <w:r>
              <w:t>Global definition of λ_t</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Projective atlas</w:t>
            </w:r>
          </w:p>
        </w:tc>
      </w:tr>
      <w:tr>
        <w:trPr>
          <w:cantSplit/>
        </w:trPr>
        <w:tc>
          <w:tcPr>
            <w:tcW w:type="dxa" w:w="1512"/>
            <w:tcMar>
              <w:top w:w="90" w:type="dxa"/>
              <w:start w:w="100" w:type="dxa"/>
              <w:bottom w:w="90" w:type="dxa"/>
              <w:end w:w="100" w:type="dxa"/>
            </w:tcMar>
            <w:vAlign w:val="center"/>
          </w:tcPr>
          <w:p>
            <w:bookmarkStart w:id="2436" w:name="po_340"/>
            <w:r>
              <w:t>T2-PO-340</w:t>
            </w:r>
            <w:bookmarkEnd w:id="2436"/>
          </w:p>
        </w:tc>
        <w:tc>
          <w:tcPr>
            <w:tcW w:type="dxa" w:w="5112"/>
            <w:tcMar>
              <w:top w:w="90" w:type="dxa"/>
              <w:start w:w="100" w:type="dxa"/>
              <w:bottom w:w="90" w:type="dxa"/>
              <w:end w:w="100" w:type="dxa"/>
            </w:tcMar>
            <w:vAlign w:val="center"/>
          </w:tcPr>
          <w:p>
            <w:r>
              <w:t>Hitting-time 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Path law required</w:t>
            </w:r>
          </w:p>
        </w:tc>
      </w:tr>
      <w:tr>
        <w:trPr>
          <w:cantSplit/>
        </w:trPr>
        <w:tc>
          <w:tcPr>
            <w:tcW w:type="dxa" w:w="1512"/>
            <w:tcMar>
              <w:top w:w="90" w:type="dxa"/>
              <w:start w:w="100" w:type="dxa"/>
              <w:bottom w:w="90" w:type="dxa"/>
              <w:end w:w="100" w:type="dxa"/>
            </w:tcMar>
            <w:vAlign w:val="center"/>
          </w:tcPr>
          <w:p>
            <w:bookmarkStart w:id="2437" w:name="po_341"/>
            <w:r>
              <w:t>T2-PO-341</w:t>
            </w:r>
            <w:bookmarkEnd w:id="2437"/>
          </w:p>
        </w:tc>
        <w:tc>
          <w:tcPr>
            <w:tcW w:type="dxa" w:w="5112"/>
            <w:tcMar>
              <w:top w:w="90" w:type="dxa"/>
              <w:start w:w="100" w:type="dxa"/>
              <w:bottom w:w="90" w:type="dxa"/>
              <w:end w:w="100" w:type="dxa"/>
            </w:tcMar>
            <w:vAlign w:val="center"/>
          </w:tcPr>
          <w:p>
            <w:r>
              <w:t>RBD transfer operator</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Software/data model</w:t>
            </w:r>
          </w:p>
        </w:tc>
      </w:tr>
      <w:tr>
        <w:trPr>
          <w:cantSplit/>
        </w:trPr>
        <w:tc>
          <w:tcPr>
            <w:tcW w:type="dxa" w:w="1512"/>
            <w:tcMar>
              <w:top w:w="90" w:type="dxa"/>
              <w:start w:w="100" w:type="dxa"/>
              <w:bottom w:w="90" w:type="dxa"/>
              <w:end w:w="100" w:type="dxa"/>
            </w:tcMar>
            <w:vAlign w:val="center"/>
          </w:tcPr>
          <w:p>
            <w:bookmarkStart w:id="2438" w:name="po_342"/>
            <w:r>
              <w:t>T2-PO-342</w:t>
            </w:r>
            <w:bookmarkEnd w:id="2438"/>
          </w:p>
        </w:tc>
        <w:tc>
          <w:tcPr>
            <w:tcW w:type="dxa" w:w="5112"/>
            <w:tcMar>
              <w:top w:w="90" w:type="dxa"/>
              <w:start w:w="100" w:type="dxa"/>
              <w:bottom w:w="90" w:type="dxa"/>
              <w:end w:w="100" w:type="dxa"/>
            </w:tcMar>
            <w:vAlign w:val="center"/>
          </w:tcPr>
          <w:p>
            <w:r>
              <w:t>Generator inference error bound</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data</w:t>
            </w:r>
          </w:p>
        </w:tc>
      </w:tr>
      <w:tr>
        <w:trPr>
          <w:cantSplit/>
        </w:trPr>
        <w:tc>
          <w:tcPr>
            <w:tcW w:type="dxa" w:w="1512"/>
            <w:tcMar>
              <w:top w:w="90" w:type="dxa"/>
              <w:start w:w="100" w:type="dxa"/>
              <w:bottom w:w="90" w:type="dxa"/>
              <w:end w:w="100" w:type="dxa"/>
            </w:tcMar>
            <w:vAlign w:val="center"/>
          </w:tcPr>
          <w:p>
            <w:bookmarkStart w:id="2439" w:name="po_343"/>
            <w:r>
              <w:t>T2-PO-343</w:t>
            </w:r>
            <w:bookmarkEnd w:id="2439"/>
          </w:p>
        </w:tc>
        <w:tc>
          <w:tcPr>
            <w:tcW w:type="dxa" w:w="5112"/>
            <w:tcMar>
              <w:top w:w="90" w:type="dxa"/>
              <w:start w:w="100" w:type="dxa"/>
              <w:bottom w:w="90" w:type="dxa"/>
              <w:end w:w="100" w:type="dxa"/>
            </w:tcMar>
            <w:vAlign w:val="center"/>
          </w:tcPr>
          <w:p>
            <w:r>
              <w:t>Perturbation/resolvent convergence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rPr>
          <w:cantSplit/>
        </w:trPr>
        <w:tc>
          <w:tcPr>
            <w:tcW w:type="dxa" w:w="1512"/>
            <w:tcMar>
              <w:top w:w="90" w:type="dxa"/>
              <w:start w:w="100" w:type="dxa"/>
              <w:bottom w:w="90" w:type="dxa"/>
              <w:end w:w="100" w:type="dxa"/>
            </w:tcMar>
            <w:vAlign w:val="center"/>
          </w:tcPr>
          <w:p>
            <w:bookmarkStart w:id="2440" w:name="po_344"/>
            <w:r>
              <w:t>T2-PO-344</w:t>
            </w:r>
            <w:bookmarkEnd w:id="2440"/>
          </w:p>
        </w:tc>
        <w:tc>
          <w:tcPr>
            <w:tcW w:type="dxa" w:w="5112"/>
            <w:tcMar>
              <w:top w:w="90" w:type="dxa"/>
              <w:start w:w="100" w:type="dxa"/>
              <w:bottom w:w="90" w:type="dxa"/>
              <w:end w:w="100" w:type="dxa"/>
            </w:tcMar>
            <w:vAlign w:val="center"/>
          </w:tcPr>
          <w:p>
            <w:r>
              <w:t>Dynamic residual weights W_time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Sensitivity analysis</w:t>
            </w:r>
          </w:p>
        </w:tc>
      </w:tr>
      <w:tr>
        <w:trPr>
          <w:cantSplit/>
        </w:trPr>
        <w:tc>
          <w:tcPr>
            <w:tcW w:type="dxa" w:w="1512"/>
            <w:tcMar>
              <w:top w:w="90" w:type="dxa"/>
              <w:start w:w="100" w:type="dxa"/>
              <w:bottom w:w="90" w:type="dxa"/>
              <w:end w:w="100" w:type="dxa"/>
            </w:tcMar>
            <w:vAlign w:val="center"/>
          </w:tcPr>
          <w:p>
            <w:bookmarkStart w:id="2441" w:name="po_345"/>
            <w:r>
              <w:t>T2-PO-345</w:t>
            </w:r>
            <w:bookmarkEnd w:id="2441"/>
          </w:p>
        </w:tc>
        <w:tc>
          <w:tcPr>
            <w:tcW w:type="dxa" w:w="5112"/>
            <w:tcMar>
              <w:top w:w="90" w:type="dxa"/>
              <w:start w:w="100" w:type="dxa"/>
              <w:bottom w:w="90" w:type="dxa"/>
              <w:end w:w="100" w:type="dxa"/>
            </w:tcMar>
            <w:vAlign w:val="center"/>
          </w:tcPr>
          <w:p>
            <w:r>
              <w:t>Temporal-profile stability theorem</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H1–H9</w:t>
            </w:r>
          </w:p>
        </w:tc>
      </w:tr>
      <w:tr>
        <w:trPr>
          <w:cantSplit/>
        </w:trPr>
        <w:tc>
          <w:tcPr>
            <w:tcW w:type="dxa" w:w="1512"/>
            <w:tcMar>
              <w:top w:w="90" w:type="dxa"/>
              <w:start w:w="100" w:type="dxa"/>
              <w:bottom w:w="90" w:type="dxa"/>
              <w:end w:w="100" w:type="dxa"/>
            </w:tcMar>
            <w:vAlign w:val="center"/>
          </w:tcPr>
          <w:p>
            <w:bookmarkStart w:id="2442" w:name="po_346"/>
            <w:r>
              <w:t>T2-PO-346</w:t>
            </w:r>
            <w:bookmarkEnd w:id="2442"/>
          </w:p>
        </w:tc>
        <w:tc>
          <w:tcPr>
            <w:tcW w:type="dxa" w:w="5112"/>
            <w:tcMar>
              <w:top w:w="90" w:type="dxa"/>
              <w:start w:w="100" w:type="dxa"/>
              <w:bottom w:w="90" w:type="dxa"/>
              <w:end w:w="100" w:type="dxa"/>
            </w:tcMar>
            <w:vAlign w:val="center"/>
          </w:tcPr>
          <w:p>
            <w:r>
              <w:t>Snapshot no-go</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21.6</w:t>
            </w:r>
          </w:p>
        </w:tc>
      </w:tr>
      <w:tr>
        <w:trPr>
          <w:cantSplit/>
        </w:trPr>
        <w:tc>
          <w:tcPr>
            <w:tcW w:type="dxa" w:w="1512"/>
            <w:tcMar>
              <w:top w:w="90" w:type="dxa"/>
              <w:start w:w="100" w:type="dxa"/>
              <w:bottom w:w="90" w:type="dxa"/>
              <w:end w:w="100" w:type="dxa"/>
            </w:tcMar>
            <w:vAlign w:val="center"/>
          </w:tcPr>
          <w:p>
            <w:bookmarkStart w:id="2443" w:name="po_347"/>
            <w:r>
              <w:t>T2-PO-347</w:t>
            </w:r>
            <w:bookmarkEnd w:id="2443"/>
          </w:p>
        </w:tc>
        <w:tc>
          <w:tcPr>
            <w:tcW w:type="dxa" w:w="5112"/>
            <w:tcMar>
              <w:top w:w="90" w:type="dxa"/>
              <w:start w:w="100" w:type="dxa"/>
              <w:bottom w:w="90" w:type="dxa"/>
              <w:end w:w="100" w:type="dxa"/>
            </w:tcMar>
            <w:vAlign w:val="center"/>
          </w:tcPr>
          <w:p>
            <w:r>
              <w:t>Empirical calibration and EXT-RUN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Независимый запуск</w:t>
            </w:r>
          </w:p>
        </w:tc>
      </w:tr>
      <w:tr>
        <w:trPr>
          <w:cantSplit/>
        </w:trPr>
        <w:tc>
          <w:tcPr>
            <w:tcW w:type="dxa" w:w="1512"/>
            <w:tcMar>
              <w:top w:w="90" w:type="dxa"/>
              <w:start w:w="100" w:type="dxa"/>
              <w:bottom w:w="90" w:type="dxa"/>
              <w:end w:w="100" w:type="dxa"/>
            </w:tcMar>
            <w:vAlign w:val="center"/>
          </w:tcPr>
          <w:p>
            <w:bookmarkStart w:id="2444" w:name="po_348"/>
            <w:r>
              <w:t>T2-PO-348</w:t>
            </w:r>
            <w:bookmarkEnd w:id="2444"/>
          </w:p>
        </w:tc>
        <w:tc>
          <w:tcPr>
            <w:tcW w:type="dxa" w:w="5112"/>
            <w:tcMar>
              <w:top w:w="90" w:type="dxa"/>
              <w:start w:w="100" w:type="dxa"/>
              <w:bottom w:w="90" w:type="dxa"/>
              <w:end w:w="100" w:type="dxa"/>
            </w:tcMar>
            <w:vAlign w:val="center"/>
          </w:tcPr>
          <w:p>
            <w:r>
              <w:t>Physical/causal interpretation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Отдельный bridge</w:t>
            </w:r>
          </w:p>
        </w:tc>
      </w:tr>
    </w:tbl>
    <w:p>
      <w:bookmarkStart w:id="1222" w:name="h_2894"/>
      <w:pPr>
        <w:pStyle w:val="Heading1"/>
      </w:pPr>
      <w:r>
        <w:t>291. Prior art и граница авторского вклада</w:t>
      </w:r>
      <w:bookmarkEnd w:id="1222"/>
    </w:p>
    <w:p>
      <w:pPr/>
      <w:r>
        <w:t>Классический prior art главы включает генерацию нелинейных контрактивных полугрупп m-аккретивными операторами; неавтономные evolution equations; операторное представление динамики по Купману; transfer/Perron–Frobenius operators и инвариантные меры; Kolmogorov extension для path spaces; Markov kernels и Volterra memory equations. Авторский слой Тома II состоит в их типизированном включении в NAPG/KLT-RBD с Evidence-D, Dom, λ/CGI, obstruction horizons, blocker-safe вердиктом и запретом подмены математической эволюции эмпирической причинностью.</w:t>
      </w:r>
    </w:p>
    <w:p>
      <w:pPr/>
      <w:r>
        <w:t>[V0.18-1] Crandall, M. G.; Liggett, T. M. Generation of semi-groups of nonlinear transformations on general Banach spaces. American Journal of Mathematics 93 (1971), 265–298. DOI 10.2307/2373376. [первичный источник]</w:t>
      </w:r>
    </w:p>
    <w:p>
      <w:pPr/>
      <w:r>
        <w:t>[V0.18-2] Kato, T. Integration of the equation of evolution in a Banach space. Journal of the Mathematical Society of Japan 5 (1953), 208–234. DOI 10.2969/jmsj/00520208. [первичный источник]</w:t>
      </w:r>
    </w:p>
    <w:p>
      <w:pPr/>
      <w:r>
        <w:t>[V0.18-3] Koopman, B. O. Hamiltonian systems and transformation in Hilbert space. PNAS 17 (1931), 315–318. DOI 10.1073/pnas.17.5.315. [первичный источник]</w:t>
      </w:r>
    </w:p>
    <w:p>
      <w:pPr/>
      <w:r>
        <w:t>[V0.18-4] Ruelle, D. Generalized zeta-functions for Axiom A basic sets. Bulletin of the AMS 82 (1976), 153–156; IHES prepublication P/75/104. [первичный источник]</w:t>
      </w:r>
    </w:p>
    <w:p>
      <w:pPr/>
      <w:r>
        <w:t>[V0.18-5] Lasota, A.; Yorke, J. A. On the existence of invariant measures for piecewise monotonic transformations. Transactions AMS 186 (1973), 481–488. DOI 10.1090/S0002-9947-1973-0335758-1. [первичный источник]</w:t>
      </w:r>
    </w:p>
    <w:p>
      <w:pPr/>
      <w:r>
        <w:t>[V0.18-6] Kolmogorov, A. N. Grundbegriffe der Wahrscheinlichkeitsrechnung. Springer, 1933; и On the analytic methods of probability theory, 1938. [первичный источник]</w:t>
      </w:r>
    </w:p>
    <w:p>
      <w:pPr/>
      <w:r>
        <w:t>[V0.18-7] Nagy, J.; Nováková, E. Concerning resolvent kernels of Volterra integral equations. Comment. Math. Univ. Carolinae 12 (1971), 737–752. [первичный источник]</w:t>
      </w:r>
    </w:p>
    <w:p>
      <w:pPr/>
      <w:r>
        <w:t>[V0.18-8] Kurpishev, I. B. Том I v197 RU; Том II T2-RP-v0.1–v0.17. [внутренний авторский корпус]</w:t>
      </w:r>
    </w:p>
    <w:p>
      <w:pPr>
        <w:pStyle w:val="Small"/>
      </w:pPr>
      <w:r>
        <w:t>В Том I уже закреплены blocker-safe домены, независимая проверка и главная условная теорема предсказательного метода; настоящая глава не повышает их статус, а добавляет временной carrier и operator/path obligations. fileciteturn5file9</w:t>
      </w:r>
    </w:p>
    <w:p>
      <w:bookmarkStart w:id="1223" w:name="h_2905"/>
      <w:pPr>
        <w:pStyle w:val="Heading1"/>
      </w:pPr>
      <w:r>
        <w:t>292. Контрольная точка и граница вывода</w:t>
      </w:r>
      <w:bookmarkEnd w:id="1223"/>
    </w:p>
    <w:p>
      <w:bookmarkStart w:id="1993" w:name="f_21_29"/>
      <w:pPr>
        <w:pStyle w:val="Quote"/>
        <w:jc w:val="center"/>
      </w:pPr>
      <w:r>
        <w:t>truth_layer_promotion=0; checkpoint=T2-RP-v0.18; next=T2-RP-v0.19.  (21.29)</w:t>
      </w:r>
      <w:bookmarkEnd w:id="1993"/>
    </w:p>
    <w:p>
      <w:pPr/>
      <w:r>
        <w:t>Глава 21 построила строгий временной интерфейс: нелинейная полугруппа или evolution family задаёт переход состояний; Koopman/Perron–Frobenius operators задают перенос наблюдаемых и мер; path-space carrier задаёт совместные траектории; Markov/Volterra kernels кодируют соответственно переход и память; non-anticipation отделяет причинно допустимое использование прошлого от утечки будущего. Ни один слой не заменяет остальные.</w:t>
      </w:r>
    </w:p>
    <w:p>
      <w:pPr>
        <w:pStyle w:val="Small"/>
      </w:pPr>
      <w:r>
        <w:t>Следующая сборка tom2_v0_19 развивает стохастические эволюции, Markov semigroups и их генераторы, martingale problems, stopping times, фильтрации, interventions и строгую границу между прогнозом, управлением и причинным выводом.</w:t>
      </w:r>
    </w:p>
    <w:p>
      <w:pPr>
        <w:pStyle w:val="Small"/>
      </w:pPr>
      <w:r>
        <w:t>checkpoint=T2-RP-v0.18; source=T2-RP-v0.17; truth_layer_promotion=0; next=T2-RP-v0.19.</w:t>
      </w:r>
    </w:p>
    <w:p>
      <w:r>
        <w:br w:type="page"/>
      </w:r>
    </w:p>
    <w:p>
      <w:bookmarkStart w:id="1224" w:name="h_2911"/>
      <w:pPr>
        <w:pStyle w:val="Heading1"/>
      </w:pPr>
      <w:r>
        <w:t>Глава 22. Стохастические эволюции, martingale problems, stopping times, управление и причинный вывод</w:t>
      </w:r>
      <w:bookmarkEnd w:id="1224"/>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Стохастическая эволюция задаётся не одной траекторией, а законом на пространстве путей, фильтрацией и правилом условного перехода. Причинное вмешательство изменяет механизм порождения закона и потому не совпадает с условным наблюдением.</w:t>
            </w:r>
          </w:p>
        </w:tc>
      </w:tr>
      <w:tr>
        <w:trPr>
          <w:cantSplit/>
        </w:trP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Markov semigroup кодирует прогноз при фиксированном режиме; controlled law кодирует результат выбранной policy; intervention law требует структурных допущений. Эти три знания имеют разные основания и разные тесты.</w:t>
            </w:r>
          </w:p>
        </w:tc>
      </w:tr>
      <w:tr>
        <w:trPr>
          <w:cantSplit/>
        </w:trP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Случайность проявляется как множество возможных ветвей с весами. Остановка выбирает момент по уже раскрытой истории, а не по будущему. Управление меняет ветвление, но не превращает статистическую зависимость в причинный закон без идентификации.</w:t>
            </w:r>
          </w:p>
        </w:tc>
      </w:tr>
      <w:tr>
        <w:trPr>
          <w:cantSplit/>
        </w:trP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Ни martingale property, ни optional stopping, ни Girsanov change of measure, ни HJB-уравнение, ни λ=-1 не доказывают физическую причинность или неизбежность события. Все выводы действуют только в заявленном stochastic Dom.</w:t>
            </w:r>
          </w:p>
        </w:tc>
      </w:tr>
    </w:tbl>
    <w:p>
      <w:pPr>
        <w:pStyle w:val="Lead"/>
      </w:pPr>
      <w:r>
        <w:t>Статус главы: theorem/conditional/computational package. Глава добавляет стохастический и интервенционный интерфейс к временному carrier v0.18. Физические мосты, ПН.2 и F-1–F-14 статуса не меняют.</w:t>
      </w:r>
    </w:p>
    <w:p>
      <w:bookmarkStart w:id="1994" w:name="f_22_1"/>
      <w:pPr>
        <w:pStyle w:val="Quote"/>
        <w:jc w:val="center"/>
      </w:pPr>
      <w:r>
        <w:t>truth_layer_promotion=0; source=T2-RP-v0.18; checkpoint=T2-RP-v0.19.  (22.1)</w:t>
      </w:r>
      <w:bookmarkEnd w:id="1994"/>
    </w:p>
    <w:p>
      <w:bookmarkStart w:id="1225" w:name="h_2914"/>
      <w:pPr>
        <w:pStyle w:val="Heading1"/>
      </w:pPr>
      <w:r>
        <w:t>293. Стохастический базис и usual conditions</w:t>
      </w:r>
      <w:bookmarkEnd w:id="1225"/>
    </w:p>
    <w:p>
      <w:bookmarkStart w:id="1667" w:name="s_DEF_22_1"/>
      <w:pPr/>
      <w:r>
        <w:t>Определение 22.1. Стохастическим базисом называется пятёрка (Ω,𝔽,(𝔽_t)_{t∈T},P,N), где P — вероятностная мера, (𝔽_t) — возрастающая фильтрация, а N фиксирует класс P-нулевых множеств и convention завершения. Для непрерывного времени usual conditions означают полноту и правую непрерывность фильтрации.</w:t>
      </w:r>
      <w:bookmarkEnd w:id="1667"/>
    </w:p>
    <w:p>
      <w:pPr/>
      <w:r>
        <w:t>Процесс X_t считается адаптированным, если X_t измерим относительно 𝔽_t. Прогрессивная или предсказуемая измеримость требуется отдельно для стохастического интегрирования и admissible controls. Изменение фильтрации может изменить множество stopping times и допустимых стратегий, даже если конечномерные распределения X не меняются.</w:t>
      </w:r>
    </w:p>
    <w:p>
      <w:pPr>
        <w:pStyle w:val="Heading2"/>
      </w:pPr>
      <w:r>
        <w:t>Реестр стохастических типов</w:t>
      </w:r>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rPr>
          <w:cantSplit/>
        </w:trPr>
        <w:tc>
          <w:tcPr>
            <w:tcW w:type="dxa" w:w="3168"/>
            <w:tcMar>
              <w:top w:w="90" w:type="dxa"/>
              <w:start w:w="100" w:type="dxa"/>
              <w:bottom w:w="90" w:type="dxa"/>
              <w:end w:w="100" w:type="dxa"/>
            </w:tcMar>
            <w:vAlign w:val="center"/>
          </w:tcPr>
          <w:p>
            <w:r>
              <w:t>Ω,𝔽,P</w:t>
            </w:r>
          </w:p>
        </w:tc>
        <w:tc>
          <w:tcPr>
            <w:tcW w:type="dxa" w:w="6480"/>
            <w:tcMar>
              <w:top w:w="90" w:type="dxa"/>
              <w:start w:w="100" w:type="dxa"/>
              <w:bottom w:w="90" w:type="dxa"/>
              <w:end w:w="100" w:type="dxa"/>
            </w:tcMar>
            <w:vAlign w:val="center"/>
          </w:tcPr>
          <w:p>
            <w:r>
              <w:t>Пространство исходов и наблюдательный закон; не совпадает с intervention law.</w:t>
            </w:r>
          </w:p>
        </w:tc>
      </w:tr>
      <w:tr>
        <w:trPr>
          <w:cantSplit/>
        </w:trPr>
        <w:tc>
          <w:tcPr>
            <w:tcW w:type="dxa" w:w="3168"/>
            <w:tcMar>
              <w:top w:w="90" w:type="dxa"/>
              <w:start w:w="100" w:type="dxa"/>
              <w:bottom w:w="90" w:type="dxa"/>
              <w:end w:w="100" w:type="dxa"/>
            </w:tcMar>
            <w:vAlign w:val="center"/>
          </w:tcPr>
          <w:p>
            <w:r>
              <w:t>(𝔽_t)</w:t>
            </w:r>
          </w:p>
        </w:tc>
        <w:tc>
          <w:tcPr>
            <w:tcW w:type="dxa" w:w="6480"/>
            <w:tcMar>
              <w:top w:w="90" w:type="dxa"/>
              <w:start w:w="100" w:type="dxa"/>
              <w:bottom w:w="90" w:type="dxa"/>
              <w:end w:w="100" w:type="dxa"/>
            </w:tcMar>
            <w:vAlign w:val="center"/>
          </w:tcPr>
          <w:p>
            <w:r>
              <w:t>Информационный поток; обязан исключать future leakage.</w:t>
            </w:r>
          </w:p>
        </w:tc>
      </w:tr>
      <w:tr>
        <w:trPr>
          <w:cantSplit/>
        </w:trPr>
        <w:tc>
          <w:tcPr>
            <w:tcW w:type="dxa" w:w="3168"/>
            <w:tcMar>
              <w:top w:w="90" w:type="dxa"/>
              <w:start w:w="100" w:type="dxa"/>
              <w:bottom w:w="90" w:type="dxa"/>
              <w:end w:w="100" w:type="dxa"/>
            </w:tcMar>
            <w:vAlign w:val="center"/>
          </w:tcPr>
          <w:p>
            <w:r>
              <w:t>X_t</w:t>
            </w:r>
          </w:p>
        </w:tc>
        <w:tc>
          <w:tcPr>
            <w:tcW w:type="dxa" w:w="6480"/>
            <w:tcMar>
              <w:top w:w="90" w:type="dxa"/>
              <w:start w:w="100" w:type="dxa"/>
              <w:bottom w:w="90" w:type="dxa"/>
              <w:end w:w="100" w:type="dxa"/>
            </w:tcMar>
            <w:vAlign w:val="center"/>
          </w:tcPr>
          <w:p>
            <w:r>
              <w:t>State process; его закон не определяет единственную структурную модель.</w:t>
            </w:r>
          </w:p>
        </w:tc>
      </w:tr>
      <w:tr>
        <w:trPr>
          <w:cantSplit/>
        </w:trPr>
        <w:tc>
          <w:tcPr>
            <w:tcW w:type="dxa" w:w="3168"/>
            <w:tcMar>
              <w:top w:w="90" w:type="dxa"/>
              <w:start w:w="100" w:type="dxa"/>
              <w:bottom w:w="90" w:type="dxa"/>
              <w:end w:w="100" w:type="dxa"/>
            </w:tcMar>
            <w:vAlign w:val="center"/>
          </w:tcPr>
          <w:p>
            <w:r>
              <w:t>τ</w:t>
            </w:r>
          </w:p>
        </w:tc>
        <w:tc>
          <w:tcPr>
            <w:tcW w:type="dxa" w:w="6480"/>
            <w:tcMar>
              <w:top w:w="90" w:type="dxa"/>
              <w:start w:w="100" w:type="dxa"/>
              <w:bottom w:w="90" w:type="dxa"/>
              <w:end w:w="100" w:type="dxa"/>
            </w:tcMar>
            <w:vAlign w:val="center"/>
          </w:tcPr>
          <w:p>
            <w:r>
              <w:t>Stopping time, если {τ≤t}∈𝔽_t для всех t.</w:t>
            </w:r>
          </w:p>
        </w:tc>
      </w:tr>
      <w:tr>
        <w:trPr>
          <w:cantSplit/>
        </w:trPr>
        <w:tc>
          <w:tcPr>
            <w:tcW w:type="dxa" w:w="3168"/>
            <w:tcMar>
              <w:top w:w="90" w:type="dxa"/>
              <w:start w:w="100" w:type="dxa"/>
              <w:bottom w:w="90" w:type="dxa"/>
              <w:end w:w="100" w:type="dxa"/>
            </w:tcMar>
            <w:vAlign w:val="center"/>
          </w:tcPr>
          <w:p>
            <w:r>
              <w:t>π или a_t</w:t>
            </w:r>
          </w:p>
        </w:tc>
        <w:tc>
          <w:tcPr>
            <w:tcW w:type="dxa" w:w="6480"/>
            <w:tcMar>
              <w:top w:w="90" w:type="dxa"/>
              <w:start w:w="100" w:type="dxa"/>
              <w:bottom w:w="90" w:type="dxa"/>
              <w:end w:w="100" w:type="dxa"/>
            </w:tcMar>
            <w:vAlign w:val="center"/>
          </w:tcPr>
          <w:p>
            <w:r>
              <w:t>Policy/control; допустимость проверяется относительно фильтрации и Dom.</w:t>
            </w:r>
          </w:p>
        </w:tc>
      </w:tr>
      <w:tr>
        <w:trPr>
          <w:cantSplit/>
        </w:trPr>
        <w:tc>
          <w:tcPr>
            <w:tcW w:type="dxa" w:w="3168"/>
            <w:tcMar>
              <w:top w:w="90" w:type="dxa"/>
              <w:start w:w="100" w:type="dxa"/>
              <w:bottom w:w="90" w:type="dxa"/>
              <w:end w:w="100" w:type="dxa"/>
            </w:tcMar>
            <w:vAlign w:val="center"/>
          </w:tcPr>
          <w:p>
            <w:r>
              <w:t>D/Dom</w:t>
            </w:r>
          </w:p>
        </w:tc>
        <w:tc>
          <w:tcPr>
            <w:tcW w:type="dxa" w:w="6480"/>
            <w:tcMar>
              <w:top w:w="90" w:type="dxa"/>
              <w:start w:w="100" w:type="dxa"/>
              <w:bottom w:w="90" w:type="dxa"/>
              <w:end w:w="100" w:type="dxa"/>
            </w:tcMar>
            <w:vAlign w:val="center"/>
          </w:tcPr>
          <w:p>
            <w:r>
              <w:t>Provenance, режим применимости, версия генератора, данные и ограничения внешнего вывода.</w:t>
            </w:r>
          </w:p>
        </w:tc>
      </w:tr>
    </w:tbl>
    <w:p>
      <w:bookmarkStart w:id="1226" w:name="h_2918"/>
      <w:pPr>
        <w:pStyle w:val="Heading1"/>
      </w:pPr>
      <w:r>
        <w:t>294. Markov kernels и Markov semigroup</w:t>
      </w:r>
      <w:bookmarkEnd w:id="1226"/>
    </w:p>
    <w:p>
      <w:pPr/>
      <w:r>
        <w:t>Пусть E — стандартное борелевское пространство. Переходная функция p_t(x,B) задаёт Markov semigroup на ограниченных измеримых функциях:</w:t>
      </w:r>
    </w:p>
    <w:p>
      <w:bookmarkStart w:id="1995" w:name="f_22_2"/>
      <w:pPr>
        <w:pStyle w:val="Quote"/>
        <w:jc w:val="center"/>
      </w:pPr>
      <w:r>
        <w:t>(P_t f)(x)=∫_E f(y)p_t(x,dy)=E_x[f(X_t)].  (22.2)</w:t>
      </w:r>
      <w:bookmarkEnd w:id="1995"/>
    </w:p>
    <w:p>
      <w:pPr/>
      <w:r>
        <w:t>Условия P_0=I, P_{t+s}=P_tP_s, positivity и P_t1=1 описывают консервативный Markov semigroup. Субмарковский режим допускает P_t1≤1 и интерпретирует потерю массы как killing или выход из рассматриваемого carrier.</w:t>
      </w:r>
    </w:p>
    <w:p>
      <w:pPr/>
      <w:r>
        <w:t>Семигрупповое свойство является прогнозным законом внутри фиксированного режима. Оно не определяет intervention distribution и не гарантирует, что наблюдаемый процесс остаётся Markov после укрупнения или скрытия состояния.</w:t>
      </w:r>
    </w:p>
    <w:p>
      <w:bookmarkStart w:id="1227" w:name="h_2923"/>
      <w:pPr>
        <w:pStyle w:val="Heading1"/>
      </w:pPr>
      <w:r>
        <w:t>295. Feller-сектор, генератор и положительный максимум</w:t>
      </w:r>
      <w:bookmarkEnd w:id="1227"/>
    </w:p>
    <w:p>
      <w:pPr/>
      <w:r>
        <w:t>На локально компактном E Feller semigroup действует на C_0(E), является сильно непрерывным, положительным и сохраняет или не увеличивает единицу в соответствующем режиме. Генератор задаётся только на своей области:</w:t>
      </w:r>
    </w:p>
    <w:p>
      <w:bookmarkStart w:id="1996" w:name="f_22_3"/>
      <w:pPr>
        <w:pStyle w:val="Quote"/>
        <w:jc w:val="center"/>
      </w:pPr>
      <w:r>
        <w:t>Lf = lim_{t↓0}(P_t f-f)/t,    f∈Dom(L).  (22.3)</w:t>
      </w:r>
      <w:bookmarkEnd w:id="1996"/>
    </w:p>
    <w:p>
      <w:pPr/>
      <w:r>
        <w:t>Замыкание графа L, core и positive maximum principle являются частью сертификата. Одна дифференциальная формула без Dom(L) не определяет Markov process. Различные граничные реализации одного формального оператора могут порождать отражение, поглощение, sticky boundary или отсутствие консервативности.</w:t>
      </w:r>
    </w:p>
    <w:p>
      <w:bookmarkStart w:id="1228" w:name="h_2927"/>
      <w:pPr>
        <w:pStyle w:val="Heading1"/>
      </w:pPr>
      <w:r>
        <w:t>296. Резольвента и уравнения Колмогорова</w:t>
      </w:r>
      <w:bookmarkEnd w:id="1228"/>
    </w:p>
    <w:p>
      <w:pPr/>
      <w:r>
        <w:t>Для α&gt;0 резольвента Markov semigroup определяется как</w:t>
      </w:r>
    </w:p>
    <w:p>
      <w:bookmarkStart w:id="1997" w:name="f_22_4"/>
      <w:pPr>
        <w:pStyle w:val="Quote"/>
        <w:jc w:val="center"/>
      </w:pPr>
      <w:r>
        <w:t>R_α f = ∫_0^∞ e^{-αt}P_t f dt.  (22.4)</w:t>
      </w:r>
      <w:bookmarkEnd w:id="1997"/>
    </w:p>
    <w:p>
      <w:pPr/>
      <w:r>
        <w:t>На корректной области выполняются (αI-L)R_αf=f и R_α(αI-L)g=g. Backward equation ∂_tP_tf=LP_tf и forward equation для мер или плотностей требуют дополнительных domain/regularity assumptions. Их нельзя записывать как тождество для произвольного f только потому, что символ L уже появился на странице.</w:t>
      </w:r>
    </w:p>
    <w:p>
      <w:pPr>
        <w:jc w:val="center"/>
      </w:pPr>
      <w:r>
        <w:drawing>
          <wp:inline xmlns:a="http://schemas.openxmlformats.org/drawingml/2006/main" xmlns:pic="http://schemas.openxmlformats.org/drawingml/2006/picture">
            <wp:extent cx="6126480" cy="3577688"/>
            <wp:docPr id="58" name="Picture 58" descr="Рисунок 22.1. Треугольник Markov semigroup - generator - martingale problem. Собственная схема Тома II." title="Рисунок 22.1. Треугольник Markov semigroup - generator - martingale problem. Собственная схема Тома II."/>
            <wp:cNvGraphicFramePr>
              <a:graphicFrameLocks noChangeAspect="1"/>
            </wp:cNvGraphicFramePr>
            <a:graphic>
              <a:graphicData uri="http://schemas.openxmlformats.org/drawingml/2006/picture">
                <pic:pic>
                  <pic:nvPicPr>
                    <pic:cNvPr id="0" name="fig22_1.png" descr="Рисунок 22.1. Треугольник Markov semigroup - generator - martingale problem. Собственная схема Тома II." title="Рисунок 22.1. Треугольник Markov semigroup - generator - martingale problem. Собственная схема Тома II."/>
                    <pic:cNvPicPr/>
                  </pic:nvPicPr>
                  <pic:blipFill>
                    <a:blip r:embed="rId95"/>
                    <a:stretch>
                      <a:fillRect/>
                    </a:stretch>
                  </pic:blipFill>
                  <pic:spPr>
                    <a:xfrm>
                      <a:off x="0" y="0"/>
                      <a:ext cx="6126480" cy="3577688"/>
                    </a:xfrm>
                    <a:prstGeom prst="rect"/>
                  </pic:spPr>
                </pic:pic>
              </a:graphicData>
            </a:graphic>
          </wp:inline>
        </w:drawing>
      </w:r>
    </w:p>
    <w:p>
      <w:pPr>
        <w:pStyle w:val="Caption"/>
        <w:jc w:val="center"/>
      </w:pPr>
      <w:r>
        <w:t>Рисунок 22.1. Треугольник Markov semigroup - generator - martingale problem. Собственная схема Тома II.</w:t>
      </w:r>
    </w:p>
    <w:p>
      <w:bookmarkStart w:id="1229" w:name="h_2933"/>
      <w:pPr>
        <w:pStyle w:val="Heading1"/>
      </w:pPr>
      <w:r>
        <w:t>297. Martingale problem Струка–Варадхана</w:t>
      </w:r>
      <w:bookmarkEnd w:id="1229"/>
    </w:p>
    <w:p>
      <w:pPr/>
      <w:r>
        <w:t>Для оператора (L,𝒟) закон Q на path space решает martingale problem с начальным законом ν, если X_0∼ν и для каждого f∈𝒟 процесс</w:t>
      </w:r>
    </w:p>
    <w:p>
      <w:bookmarkStart w:id="1998" w:name="f_22_5"/>
      <w:pPr>
        <w:pStyle w:val="Quote"/>
        <w:jc w:val="center"/>
      </w:pPr>
      <w:r>
        <w:t>M_t^f = f(X_t)-f(X_0)-∫_0^t Lf(X_s)ds  (22.5)</w:t>
      </w:r>
      <w:bookmarkEnd w:id="1998"/>
    </w:p>
    <w:p>
      <w:pPr/>
      <w:r>
        <w:t>является Q-мартингалом относительно канонической фильтрации. Существование означает, что хотя бы один закон удовлетворяет условиям. Единственность означает uniqueness in law. Well-posedness по всем начальным точкам при стандартных гипотезах порождает Markov family и strong Markov property.</w:t>
      </w:r>
    </w:p>
    <w:p>
      <w:pPr/>
      <w:r>
        <w:t>Домен 𝒟 должен быть достаточно богат, чтобы различать законы. Совпадение (22.5) на малом тестовом классе может не идентифицировать процесс.</w:t>
      </w:r>
    </w:p>
    <w:p>
      <w:bookmarkStart w:id="1230" w:name="h_2938"/>
      <w:pPr>
        <w:pStyle w:val="Heading1"/>
      </w:pPr>
      <w:r>
        <w:t>298. Existence, uniqueness и strong Markov firewall</w:t>
      </w:r>
      <w:bookmarkEnd w:id="1230"/>
    </w:p>
    <w:p>
      <w:pPr/>
      <w:r>
        <w:t>Строго различаются: existence of a solution, uniqueness in law, pathwise uniqueness, strong existence и strong Markov property. Эти утверждения связаны теоремами только при собственных гипотезах. В частности, единственность martingale problem относится к закону пути, а не к единственности траектории для фиксированного шума.</w:t>
      </w:r>
    </w:p>
    <w:p>
      <w:bookmarkStart w:id="1668" w:name="s_THM_22_1"/>
      <w:pPr/>
      <w:r>
        <w:t>Теорема 22.1 (well-posed martingale problem, стандартный вывод). [THM/prior art] Если martingale problem для (L,𝒟) well posed для каждого x и семейство решений измеримо по x, то канонические законы образуют strong Markov family. NAPG-экспорт требует дополнительно сохранения admissible sector, D/Dom и реперного atlas.</w:t>
      </w:r>
      <w:bookmarkEnd w:id="1668"/>
    </w:p>
    <w:p>
      <w:bookmarkStart w:id="1231" w:name="h_2941"/>
      <w:pPr>
        <w:pStyle w:val="Heading1"/>
      </w:pPr>
      <w:r>
        <w:t>299. Диффузионный генератор и стохастическое дифференциальное уравнение</w:t>
      </w:r>
      <w:bookmarkEnd w:id="1231"/>
    </w:p>
    <w:p>
      <w:pPr/>
      <w:r>
        <w:t>Для SDE в R^d</w:t>
      </w:r>
    </w:p>
    <w:p>
      <w:bookmarkStart w:id="1999" w:name="f_22_6"/>
      <w:pPr>
        <w:pStyle w:val="Quote"/>
        <w:jc w:val="center"/>
      </w:pPr>
      <w:r>
        <w:t>dX_t=b(t,X_t)dt+σ(t,X_t)dW_t  (22.6)</w:t>
      </w:r>
      <w:bookmarkEnd w:id="1999"/>
    </w:p>
    <w:p>
      <w:pPr/>
      <w:r>
        <w:t>формальный генератор на гладких f имеет вид</w:t>
      </w:r>
    </w:p>
    <w:p>
      <w:bookmarkStart w:id="2000" w:name="f_22_7"/>
      <w:pPr>
        <w:pStyle w:val="Quote"/>
        <w:jc w:val="center"/>
      </w:pPr>
      <w:r>
        <w:t>L_t f(x)=b(t,x)·∇f(x)+(1/2)Tr(a(t,x)∇²f(x)),    a=σσᵀ.  (22.7)</w:t>
      </w:r>
      <w:bookmarkEnd w:id="2000"/>
    </w:p>
    <w:p>
      <w:pPr/>
      <w:r>
        <w:t>Формула (22.7) становится генератором только после доказательства существования процесса и спецификации области. Разные квадратные корни σ одной матрицы a дают один diffusion generator, но могут различаться как strong representations на фиксированном Wiener space.</w:t>
      </w:r>
    </w:p>
    <w:p>
      <w:bookmarkStart w:id="1232" w:name="h_2947"/>
      <w:pPr>
        <w:pStyle w:val="Heading1"/>
      </w:pPr>
      <w:r>
        <w:t>300. Weak/strong solutions и иерархия единственности</w:t>
      </w:r>
      <w:bookmarkEnd w:id="1232"/>
    </w:p>
    <w:p>
      <w:pPr/>
      <w:r>
        <w:t>Weak solution допускает выбор вероятностного пространства и Brownian motion; strong solution строится как измеримый функционал заданного шума и начального состояния. Pathwise uniqueness сравнивает решения на одном базисе, uniqueness in law — распределения на path space. Yamada–Watanabe-type implications не переносятся на общую NAPG автоматически.</w:t>
      </w:r>
    </w:p>
    <w:p>
      <w:pPr/>
      <w:r>
        <w:t>Предсказательному методу достаточно uniqueness in law для однозначной прогнозной меры, но алгоритму управляемого воспроизведения может потребоваться strong solution. Эти требования не взаимозаменяемы.</w:t>
      </w:r>
    </w:p>
    <w:p>
      <w:bookmarkStart w:id="1233" w:name="h_2950"/>
      <w:pPr>
        <w:pStyle w:val="Heading1"/>
      </w:pPr>
      <w:r>
        <w:t>301. Girsanov transform и запрет подмены вмешательства</w:t>
      </w:r>
      <w:bookmarkEnd w:id="1233"/>
    </w:p>
    <w:p>
      <w:pPr/>
      <w:r>
        <w:t>При выполнении условий интегрируемости экспоненциальная плотность</w:t>
      </w:r>
    </w:p>
    <w:p>
      <w:bookmarkStart w:id="2001" w:name="f_22_8"/>
      <w:pPr>
        <w:pStyle w:val="Quote"/>
        <w:jc w:val="center"/>
      </w:pPr>
      <w:r>
        <w:t>Z_t=exp(∫_0^t θ_s·dW_s-(1/2)∫_0^t||θ_s||²ds)  (22.8)</w:t>
      </w:r>
      <w:bookmarkEnd w:id="2001"/>
    </w:p>
    <w:p>
      <w:pPr/>
      <w:r>
        <w:t>может задавать эквивалентную замену меры dQ=Z_TdP и сдвиг дрейфа Brownian motion. Novikov/Kazamaki-type conditions и uniform integrability проверяются отдельно.</w:t>
      </w:r>
    </w:p>
    <w:p>
      <w:bookmarkStart w:id="1669" w:name="s_THM_22_2"/>
      <w:pPr/>
      <w:r>
        <w:t>Теорема 22.2 (measure-change no-intervention). [THM] Абсолютно непрерывная замена меры сама по себе не задаёт causal intervention. Она переоценивает веса тех же траекторий и сохраняет P-нулевые множества при эквивалентности, тогда как intervention может изменить structural equations, support и допустимые пути.</w:t>
      </w:r>
      <w:bookmarkEnd w:id="1669"/>
    </w:p>
    <w:p>
      <w:bookmarkStart w:id="1234" w:name="h_2955"/>
      <w:pPr>
        <w:pStyle w:val="Heading1"/>
      </w:pPr>
      <w:r>
        <w:t>302. Stopping times и остановленный процесс</w:t>
      </w:r>
      <w:bookmarkEnd w:id="1234"/>
    </w:p>
    <w:p>
      <w:pPr/>
      <w:r>
        <w:t>Stopping time τ удовлетворяет {τ≤t}∈𝔽_t. Остановленный процесс X_{t∧τ} использует только информацию, раскрытую к моменту t. Hitting time замкнутого или открытого множества требует проверяемых регулярностных условий для измеримости и предсказуемости.</w:t>
      </w:r>
    </w:p>
    <w:p>
      <w:bookmarkStart w:id="2002" w:name="f_22_9"/>
      <w:pPr>
        <w:pStyle w:val="Quote"/>
        <w:jc w:val="center"/>
      </w:pPr>
      <w:r>
        <w:t>τ_A = inf{t≥t_0 : X_t∈A}.  (22.9)</w:t>
      </w:r>
      <w:bookmarkEnd w:id="2002"/>
    </w:p>
    <w:p>
      <w:pPr/>
      <w:r>
        <w:t>В KLT-RBD stopping rule фиксируется до раскрытия будущих данных. Правило, выбирающее “лучший момент” после просмотра всей траектории, не является stopping time и создаёт постселекционный блокер.</w:t>
      </w:r>
    </w:p>
    <w:p>
      <w:bookmarkStart w:id="1235" w:name="h_2959"/>
      <w:pPr>
        <w:pStyle w:val="Heading1"/>
      </w:pPr>
      <w:r>
        <w:t>303. Optional sampling: точная область применимости</w:t>
      </w:r>
      <w:bookmarkEnd w:id="1235"/>
    </w:p>
    <w:p>
      <w:pPr/>
      <w:r>
        <w:t>Для мартингала M и bounded stopping times σ≤τ выполняется E[M_τ|𝔽_σ]=M_σ. Для неограниченных времён нужны дополнительные условия: uniform integrability, bounded increments совместно с интегрируемым временем, либо иная теорема, явно указанная в сертификате.</w:t>
      </w:r>
    </w:p>
    <w:p>
      <w:pPr/>
      <w:r>
        <w:t>Остановка не превращает любой мартингал в unbiased estimator автоматически. Optional sampling-safe inference требует отдельного доказательства интегрируемости и класса stopping rules.</w:t>
      </w:r>
    </w:p>
    <w:p>
      <w:bookmarkStart w:id="1236" w:name="h_2962"/>
      <w:pPr>
        <w:pStyle w:val="Heading1"/>
      </w:pPr>
      <w:r>
        <w:t>304. Контрпример к наивной optional stopping</w:t>
      </w:r>
      <w:bookmarkEnd w:id="1236"/>
    </w:p>
    <w:p>
      <w:pPr/>
      <w:r>
        <w:t>Пусть S_n — простой симметричный случайный блуждающий мартингал, S_0=0, и τ=inf{n≥0:S_n=1}. Тогда τ&lt;∞ почти наверное и S_τ=1, поэтому E[S_τ]=1≠0=E[S_0]. Противоречия нет: Eτ=∞ и стандартные условия optional stopping не выполнены.</w:t>
      </w:r>
    </w:p>
    <w:p>
      <w:pPr/>
      <w:r>
        <w:t>Следовательно, формула “мартингал + stopping time = сохранение среднего” ложна без domain assumptions. В предсказательном протоколе это отдельный blocker B_OS.</w:t>
      </w:r>
    </w:p>
    <w:p>
      <w:bookmarkStart w:id="1237" w:name="h_2965"/>
      <w:pPr>
        <w:pStyle w:val="Heading1"/>
      </w:pPr>
      <w:r>
        <w:t>305. Hitting probabilities и first-passage prediction</w:t>
      </w:r>
      <w:bookmarkEnd w:id="1237"/>
    </w:p>
    <w:p>
      <w:pPr/>
      <w:r>
        <w:t>Прогноз наступления события A на горизонте T задаётся не одной датой, а величиной</w:t>
      </w:r>
    </w:p>
    <w:p>
      <w:bookmarkStart w:id="2003" w:name="f_22_10"/>
      <w:pPr>
        <w:pStyle w:val="Quote"/>
        <w:jc w:val="center"/>
      </w:pPr>
      <w:r>
        <w:t>p_A(T,x)=P_x(τ_A≤T).  (22.10)</w:t>
      </w:r>
      <w:bookmarkEnd w:id="2003"/>
    </w:p>
    <w:p>
      <w:pPr/>
      <w:r>
        <w:t>Для регулярных диффузий p_A может удовлетворять backward boundary-value problem. Решение PDE требует boundary conditions, uniqueness class и соответствия martingale problem. Численное значение p_A является вероятностью внутри модели, а не доказательством того, что реальный объект подчиняется этой модели.</w:t>
      </w:r>
    </w:p>
    <w:p>
      <w:bookmarkStart w:id="1238" w:name="h_2969"/>
      <w:pPr>
        <w:pStyle w:val="Heading1"/>
      </w:pPr>
      <w:r>
        <w:t>306. Стохастический барьерный сертификат</w:t>
      </w:r>
      <w:bookmarkEnd w:id="1238"/>
    </w:p>
    <w:p>
      <w:bookmarkStart w:id="1670" w:name="s_THM_22_3"/>
      <w:pPr/>
      <w:r>
        <w:t>Теорема 22.3 (finite-horizon barrier bound). [THM] Пусть V:[0,T]×E→[0,∞) достаточно регулярно, V(t,x)≥1 на target A, и для остановленного процесса до τ_A выполняется</w:t>
      </w:r>
      <w:bookmarkEnd w:id="1670"/>
    </w:p>
    <w:p>
      <w:bookmarkStart w:id="2004" w:name="f_22_11"/>
      <w:pPr>
        <w:pStyle w:val="Quote"/>
        <w:jc w:val="center"/>
      </w:pPr>
      <w:r>
        <w:t>(∂_t+L_t)V(t,x)≤0    на [0,T]×(E\A).  (22.11)</w:t>
      </w:r>
      <w:bookmarkEnd w:id="2004"/>
    </w:p>
    <w:p>
      <w:pPr/>
      <w:r>
        <w:t>Тогда при допустимости Dynkin/optional sampling</w:t>
      </w:r>
    </w:p>
    <w:p>
      <w:bookmarkStart w:id="2005" w:name="f_22_12"/>
      <w:pPr>
        <w:pStyle w:val="Quote"/>
        <w:jc w:val="center"/>
      </w:pPr>
      <w:r>
        <w:t>P_{x_0}(τ_A≤T)≤V(0,x_0).  (22.12)</w:t>
      </w:r>
      <w:bookmarkEnd w:id="2005"/>
    </w:p>
    <w:p>
      <w:pPr/>
      <w:r>
        <w:t>Доказательство. Процесс V(t∧τ_A,X_{t∧τ_A}) является супермартингалом; на событии {τ_A≤T} его значение не меньше 1. Применение Markov inequality и optional sampling даёт (22.12).</w:t>
      </w:r>
    </w:p>
    <w:p>
      <w:pPr/>
      <w:r>
        <w:t>Если V(0,x_0)=0, получаем точный вывод NO-HIT-IN-MODEL. Если 0&lt;V(0,x_0)=α&lt;1, получаем только риск-границу p_A≤α.</w:t>
      </w:r>
    </w:p>
    <w:p>
      <w:pPr>
        <w:jc w:val="center"/>
      </w:pPr>
      <w:r>
        <w:drawing>
          <wp:inline xmlns:a="http://schemas.openxmlformats.org/drawingml/2006/main" xmlns:pic="http://schemas.openxmlformats.org/drawingml/2006/picture">
            <wp:extent cx="6126480" cy="3701818"/>
            <wp:docPr id="59" name="Picture 59" descr="Рисунок 22.2. Stopping-time и барьерный сертификат вероятности попадания. Собственная схема Тома II." title="Рисунок 22.2. Stopping-time и барьерный сертификат вероятности попадания. Собственная схема Тома II."/>
            <wp:cNvGraphicFramePr>
              <a:graphicFrameLocks noChangeAspect="1"/>
            </wp:cNvGraphicFramePr>
            <a:graphic>
              <a:graphicData uri="http://schemas.openxmlformats.org/drawingml/2006/picture">
                <pic:pic>
                  <pic:nvPicPr>
                    <pic:cNvPr id="0" name="fig22_2.png" descr="Рисунок 22.2. Stopping-time и барьерный сертификат вероятности попадания. Собственная схема Тома II." title="Рисунок 22.2. Stopping-time и барьерный сертификат вероятности попадания. Собственная схема Тома II."/>
                    <pic:cNvPicPr/>
                  </pic:nvPicPr>
                  <pic:blipFill>
                    <a:blip r:embed="rId96"/>
                    <a:stretch>
                      <a:fillRect/>
                    </a:stretch>
                  </pic:blipFill>
                  <pic:spPr>
                    <a:xfrm>
                      <a:off x="0" y="0"/>
                      <a:ext cx="6126480" cy="3701818"/>
                    </a:xfrm>
                    <a:prstGeom prst="rect"/>
                  </pic:spPr>
                </pic:pic>
              </a:graphicData>
            </a:graphic>
          </wp:inline>
        </w:drawing>
      </w:r>
    </w:p>
    <w:p>
      <w:pPr>
        <w:pStyle w:val="Caption"/>
        <w:jc w:val="center"/>
      </w:pPr>
      <w:r>
        <w:t>Рисунок 22.2. Stopping-time и барьерный сертификат вероятности попадания. Собственная схема Тома II.</w:t>
      </w:r>
    </w:p>
    <w:p>
      <w:bookmarkStart w:id="1239" w:name="h_2978"/>
      <w:pPr>
        <w:pStyle w:val="Heading1"/>
      </w:pPr>
      <w:r>
        <w:t>307. Робастный барьер для всех допустимых управлений</w:t>
      </w:r>
      <w:bookmarkEnd w:id="1239"/>
    </w:p>
    <w:p>
      <w:pPr/>
      <w:r>
        <w:t>Пусть admissible control a_t∈A(t,X_t) изменяет генератор на L_t^a. Если</w:t>
      </w:r>
    </w:p>
    <w:p>
      <w:bookmarkStart w:id="2006" w:name="f_22_13"/>
      <w:pPr>
        <w:pStyle w:val="Quote"/>
        <w:jc w:val="center"/>
      </w:pPr>
      <w:r>
        <w:t>sup_{a∈A(t,x)} (∂_t+L_t^a)V(t,x)≤0,  (22.13)</w:t>
      </w:r>
      <w:bookmarkEnd w:id="2006"/>
    </w:p>
    <w:p>
      <w:pPr/>
      <w:r>
        <w:t>то оценка (22.12) действует равномерно по всем допустимым policies. Это сильный отрицательный прогноз: даже активное управление из заявленного класса не может увеличить вероятность попадания выше V(0,x_0).</w:t>
      </w:r>
    </w:p>
    <w:p>
      <w:pPr/>
      <w:r>
        <w:t>Универсальность относится только к перечисленному классу controls. Неучтённое вмешательство, выход из Dom или изменение state space отменяют сертификат.</w:t>
      </w:r>
    </w:p>
    <w:p>
      <w:bookmarkStart w:id="1240" w:name="h_2983"/>
      <w:pPr>
        <w:pStyle w:val="Heading1"/>
      </w:pPr>
      <w:r>
        <w:t>308. Controlled Markov family и policy law</w:t>
      </w:r>
      <w:bookmarkEnd w:id="1240"/>
    </w:p>
    <w:p>
      <w:pPr/>
      <w:r>
        <w:t>Управляемая динамика задаётся controlled kernel K^a, controlled generator L^a или relaxed control. Policy π должна быть measurable/non-anticipative и сохранять admissibility. Ей соответствует собственный закон P^π на path space.</w:t>
      </w:r>
    </w:p>
    <w:p>
      <w:bookmarkStart w:id="2007" w:name="f_22_14"/>
      <w:pPr>
        <w:pStyle w:val="Quote"/>
        <w:jc w:val="center"/>
      </w:pPr>
      <w:r>
        <w:t>J(π;x)=E_x^π[∫_0^T c(t,X_t,a_t)dt+g(X_T)].  (22.14)</w:t>
      </w:r>
      <w:bookmarkEnd w:id="2007"/>
    </w:p>
    <w:p>
      <w:pPr/>
      <w:r>
        <w:t>Оптимизация J меняет режим закона. Поэтому прогноз P и управляемый прогноз P^π являются разными объектами, даже если используют один state carrier.</w:t>
      </w:r>
    </w:p>
    <w:p>
      <w:bookmarkStart w:id="1241" w:name="h_2987"/>
      <w:pPr>
        <w:pStyle w:val="Heading1"/>
      </w:pPr>
      <w:r>
        <w:t>309. Dynamic programming и HJB-слой</w:t>
      </w:r>
      <w:bookmarkEnd w:id="1241"/>
    </w:p>
    <w:p>
      <w:pPr/>
      <w:r>
        <w:t>При выполнении dynamic programming principle value function V^*(t,x)=inf_πJ_{t,x}(π) формально удовлетворяет HJB-уравнению</w:t>
      </w:r>
    </w:p>
    <w:p>
      <w:bookmarkStart w:id="2008" w:name="f_22_15"/>
      <w:pPr>
        <w:pStyle w:val="Quote"/>
        <w:jc w:val="center"/>
      </w:pPr>
      <w:r>
        <w:t>∂_tV^*+inf_{a∈A}{L^aV^*+c(t,x,a)}=0,    V^*(T,x)=g(x).  (22.15)</w:t>
      </w:r>
      <w:bookmarkEnd w:id="2008"/>
    </w:p>
    <w:p>
      <w:pPr/>
      <w:r>
        <w:t>Классическое, viscosity или weak solution различаются. HJB уравнение не доказывает существование оптимальной policy без measurable selection, compactness/coercivity и verification theorem. Управление минимизирует выбранный критерий, но не устанавливает причинный эффект вне структурной модели.</w:t>
      </w:r>
    </w:p>
    <w:p>
      <w:bookmarkStart w:id="1242" w:name="h_2991"/>
      <w:pPr>
        <w:pStyle w:val="Heading1"/>
      </w:pPr>
      <w:r>
        <w:t>310. Прогноз, управление и вмешательство: три разных закона</w:t>
      </w:r>
      <w:bookmarkEnd w:id="1242"/>
    </w:p>
    <w:p>
      <w:pPr/>
      <w:r>
        <w:t>Вводятся три carriers:</w:t>
      </w:r>
    </w:p>
    <w:p>
      <w:pPr>
        <w:pStyle w:val="ListBullet"/>
      </w:pPr>
      <w:r>
        <w:t>наблюдательный прогноз: P(Y_{t+h}∈B | 𝔽_t);</w:t>
      </w:r>
    </w:p>
    <w:p>
      <w:pPr>
        <w:pStyle w:val="ListBullet"/>
      </w:pPr>
      <w:r>
        <w:t>управляемый закон: P^π(Y_{t+h}∈B | 𝔽_t) для допустимой policy π;</w:t>
      </w:r>
    </w:p>
    <w:p>
      <w:pPr>
        <w:pStyle w:val="ListBullet"/>
      </w:pPr>
      <w:r>
        <w:t>интервенционный закон: P(Y_{t+h}∈B | do(A=a)), полученный из структурной модели или рандомизированного дизайна.</w:t>
      </w:r>
    </w:p>
    <w:p>
      <w:pPr/>
      <w:r>
        <w:t>Совпадение этих законов является теоремой только при специально доказанных условиях. В общем случае они различны.</w:t>
      </w:r>
    </w:p>
    <w:p>
      <w:pPr>
        <w:jc w:val="center"/>
      </w:pPr>
      <w:r>
        <w:drawing>
          <wp:inline xmlns:a="http://schemas.openxmlformats.org/drawingml/2006/main" xmlns:pic="http://schemas.openxmlformats.org/drawingml/2006/picture">
            <wp:extent cx="6126480" cy="3950267"/>
            <wp:docPr id="60" name="Picture 60" descr="Рисунок 22.3. Forecast-control-intervention firewall. Собственная схема Тома II." title="Рисунок 22.3. Forecast-control-intervention firewall. Собственная схема Тома II."/>
            <wp:cNvGraphicFramePr>
              <a:graphicFrameLocks noChangeAspect="1"/>
            </wp:cNvGraphicFramePr>
            <a:graphic>
              <a:graphicData uri="http://schemas.openxmlformats.org/drawingml/2006/picture">
                <pic:pic>
                  <pic:nvPicPr>
                    <pic:cNvPr id="0" name="fig22_3.png" descr="Рисунок 22.3. Forecast-control-intervention firewall. Собственная схема Тома II." title="Рисунок 22.3. Forecast-control-intervention firewall. Собственная схема Тома II."/>
                    <pic:cNvPicPr/>
                  </pic:nvPicPr>
                  <pic:blipFill>
                    <a:blip r:embed="rId97"/>
                    <a:stretch>
                      <a:fillRect/>
                    </a:stretch>
                  </pic:blipFill>
                  <pic:spPr>
                    <a:xfrm>
                      <a:off x="0" y="0"/>
                      <a:ext cx="6126480" cy="3950267"/>
                    </a:xfrm>
                    <a:prstGeom prst="rect"/>
                  </pic:spPr>
                </pic:pic>
              </a:graphicData>
            </a:graphic>
          </wp:inline>
        </w:drawing>
      </w:r>
    </w:p>
    <w:p>
      <w:pPr>
        <w:pStyle w:val="Caption"/>
        <w:jc w:val="center"/>
      </w:pPr>
      <w:r>
        <w:t>Рисунок 22.3. Forecast-control-intervention firewall. Собственная схема Тома II.</w:t>
      </w:r>
    </w:p>
    <w:p>
      <w:bookmarkStart w:id="1243" w:name="h_2999"/>
      <w:pPr>
        <w:pStyle w:val="Heading1"/>
      </w:pPr>
      <w:r>
        <w:t>311. Наблюдательный Markov law не идентифицирует intervention law</w:t>
      </w:r>
      <w:bookmarkEnd w:id="1243"/>
    </w:p>
    <w:p>
      <w:bookmarkStart w:id="1671" w:name="s_THM_22_4"/>
      <w:pPr/>
      <w:r>
        <w:t>Теорема 22.4 (observational-interventional non-identifiability). [THM] Существуют две структурные модели с одинаковым наблюдательным распределением (X,Y), но различными законами Y при do(X=x).</w:t>
      </w:r>
      <w:bookmarkEnd w:id="1671"/>
    </w:p>
    <w:p>
      <w:pPr/>
      <w:r>
        <w:t>Модель A: U∼Bernoulli(1/2), X=U, Y=X. Тогда наблюдательно Y=X и do(X=x) даёт Y=x. Модель B: U∼Bernoulli(1/2), X=U, Y=U. Наблюдательно снова Y=X, но do(X=x) не меняет Y, поэтому Y∼Bernoulli(1/2).</w:t>
      </w:r>
    </w:p>
    <w:p>
      <w:pPr/>
      <w:r>
        <w:t>Следовательно, даже точное знание observational transition kernel не определяет causal response без structural assumptions или интервенционных данных.</w:t>
      </w:r>
    </w:p>
    <w:p>
      <w:bookmarkStart w:id="1244" w:name="h_3003"/>
      <w:pPr>
        <w:pStyle w:val="Heading1"/>
      </w:pPr>
      <w:r>
        <w:t>312. Structural causal kernel и do-оператор</w:t>
      </w:r>
      <w:bookmarkEnd w:id="1244"/>
    </w:p>
    <w:p>
      <w:pPr/>
      <w:r>
        <w:t>Для динамической структурной модели вводятся механизмы</w:t>
      </w:r>
    </w:p>
    <w:p>
      <w:bookmarkStart w:id="2009" w:name="f_22_16"/>
      <w:pPr>
        <w:pStyle w:val="Quote"/>
        <w:jc w:val="center"/>
      </w:pPr>
      <w:r>
        <w:t>X_{t+1}=F_t(X_{≤t},A_t,U_{t+1}),    Y_t=G_t(X_{≤t},U_t).  (22.16)</w:t>
      </w:r>
      <w:bookmarkEnd w:id="2009"/>
    </w:p>
    <w:p>
      <w:pPr/>
      <w:r>
        <w:t>Операция do(A_t=a) заменяет механизм, задающий A_t, на константу или новую policy, сохраняя остальные механизмы. Это хирургическая замена уравнения, а не условие A_t=a в наблюдательной мере.</w:t>
      </w:r>
    </w:p>
    <w:p>
      <w:pPr/>
      <w:r>
        <w:t>Intervention kernel должен хранить target mechanism, время, уровень вмешательства, compliance, spillover assumptions и новую Dom. Без этого “управление” остаётся символом.</w:t>
      </w:r>
    </w:p>
    <w:p>
      <w:bookmarkStart w:id="1245" w:name="h_3008"/>
      <w:pPr>
        <w:pStyle w:val="Heading1"/>
      </w:pPr>
      <w:r>
        <w:t>313. g-формула и условия идентификации</w:t>
      </w:r>
      <w:bookmarkEnd w:id="1245"/>
    </w:p>
    <w:p>
      <w:pPr/>
      <w:r>
        <w:t>Для последовательных вмешательств g-computation formula идентифицирует interventional distribution из наблюдательных условных законов только при consistency, sequential exchangeability, positivity и корректной temporal ordering. Схематически</w:t>
      </w:r>
    </w:p>
    <w:p>
      <w:bookmarkStart w:id="2010" w:name="f_22_17"/>
      <w:pPr>
        <w:pStyle w:val="Quote"/>
        <w:jc w:val="center"/>
      </w:pPr>
      <w:r>
        <w:t>p(y^{a-bar}) = ∫ ∏_t p(l_{t+1}|l-bar_t,a-bar_t) p(y|l-bar_T,a-bar_T) d(l-bar).  (22.17)</w:t>
      </w:r>
      <w:bookmarkEnd w:id="2010"/>
    </w:p>
    <w:p>
      <w:pPr/>
      <w:r>
        <w:t>Нарушение positivity или наличие неучтённого time-varying confounding блокирует идентификацию. KLT-RBD обязан хранить эти предпосылки в Evidence-D, а не прятать их в названии алгоритма.</w:t>
      </w:r>
    </w:p>
    <w:p>
      <w:bookmarkStart w:id="1246" w:name="h_3012"/>
      <w:pPr>
        <w:pStyle w:val="Heading1"/>
      </w:pPr>
      <w:r>
        <w:t>314. Контрфактический carrier</w:t>
      </w:r>
      <w:bookmarkEnd w:id="1246"/>
    </w:p>
    <w:p>
      <w:pPr/>
      <w:r>
        <w:t>Контрфактическая переменная Y^a задаётся только внутри модели, связывающей возможные миры. Consistency означает Y=Y^a на единицах, фактически получивших a, но не создаёт exchangeability. Joint law нескольких несовместимых counterfactuals часто не идентифицируется из наблюдений.</w:t>
      </w:r>
    </w:p>
    <w:p>
      <w:pPr/>
      <w:r>
        <w:t>Предсказание фактического будущего и сравнение counterfactual worlds имеют разные sample spaces и разные проверочные протоколы.</w:t>
      </w:r>
    </w:p>
    <w:p>
      <w:bookmarkStart w:id="1247" w:name="h_3015"/>
      <w:pPr>
        <w:pStyle w:val="Heading1"/>
      </w:pPr>
      <w:r>
        <w:t>315. Стохастический Reper-path</w:t>
      </w:r>
      <w:bookmarkEnd w:id="1247"/>
    </w:p>
    <w:p>
      <w:pPr/>
      <w:r>
        <w:t>Случайный реперный carrier задаётся адаптированным процессом</w:t>
      </w:r>
    </w:p>
    <w:p>
      <w:bookmarkStart w:id="2011" w:name="f_22_18"/>
      <w:pPr>
        <w:pStyle w:val="Quote"/>
        <w:jc w:val="center"/>
      </w:pPr>
      <w:r>
        <w:t>Rep_t(ω)=(R_t(ω),I_t(ω),U_t(ω);D_t(ω)).  (22.18)</w:t>
      </w:r>
      <w:bookmarkEnd w:id="2011"/>
    </w:p>
    <w:p>
      <w:pPr/>
      <w:r>
        <w:t>При проективной допустимости определяется λ_t(ω)=cr(U_t,I_t;R_t,D_t). Процесс λ_t должен быть измерим, его полюса и collision set исключаются из Dom. Evidence-D может быть предсказуемым процессом версий данных и оснований, а не статической подписью.</w:t>
      </w:r>
    </w:p>
    <w:p>
      <w:pPr/>
      <w:r>
        <w:t>Ожидание Eλ_t, вероятность {|λ_t+1|≤ε} и почти-верное равенство λ_t=-1 являются различными утверждениями.</w:t>
      </w:r>
    </w:p>
    <w:p>
      <w:bookmarkStart w:id="1248" w:name="h_3020"/>
      <w:pPr>
        <w:pStyle w:val="Heading1"/>
      </w:pPr>
      <w:r>
        <w:t>316. Ито-формула для гармонического дефекта</w:t>
      </w:r>
      <w:bookmarkEnd w:id="1248"/>
    </w:p>
    <w:p>
      <w:pPr/>
      <w:r>
        <w:t>Пусть φ(x)=λ(x)+1 на допустимой карте, а X_t решает (22.6). Тогда</w:t>
      </w:r>
    </w:p>
    <w:p>
      <w:bookmarkStart w:id="2012" w:name="f_22_19"/>
      <w:pPr>
        <w:pStyle w:val="Quote"/>
        <w:jc w:val="center"/>
      </w:pPr>
      <w:r>
        <w:t>dφ(X_t)=Lφ(X_t)dt+∇φ(X_t)σ(X_t)dW_t.  (22.19)</w:t>
      </w:r>
      <w:bookmarkEnd w:id="2012"/>
    </w:p>
    <w:p>
      <w:pPr/>
      <w:r>
        <w:t>Для квадратичного дефекта q=φ² генератор даёт</w:t>
      </w:r>
    </w:p>
    <w:p>
      <w:bookmarkStart w:id="2013" w:name="f_22_20"/>
      <w:pPr>
        <w:pStyle w:val="Quote"/>
        <w:jc w:val="center"/>
      </w:pPr>
      <w:r>
        <w:t>Lq=2φLφ+||σᵀ∇φ||².  (22.20)</w:t>
      </w:r>
      <w:bookmarkEnd w:id="2013"/>
    </w:p>
    <w:p>
      <w:pPr/>
      <w:r>
        <w:t>На точном гармоническом локусе φ=0 остаётся Lq=||σᵀ∇φ||². Следовательно, поперечный шум немедленно создаёт положительный quadratic drift дефекта. Точная гармония не является стохастически инвариантной только из-за равенства λ=-1 в начальный момент.</w:t>
      </w:r>
    </w:p>
    <w:p>
      <w:bookmarkStart w:id="1249" w:name="h_3026"/>
      <w:pPr>
        <w:pStyle w:val="Heading1"/>
      </w:pPr>
      <w:r>
        <w:t>317. Условия стохастической инвариантности гармонического локуса</w:t>
      </w:r>
      <w:bookmarkEnd w:id="1249"/>
    </w:p>
    <w:p>
      <w:pPr/>
      <w:r>
        <w:t>Пусть M={x:φ(x)=0}. Достаточный локальный пакет инвариантности для диффузии включает</w:t>
      </w:r>
    </w:p>
    <w:p>
      <w:bookmarkStart w:id="2014" w:name="f_22_21"/>
      <w:pPr>
        <w:pStyle w:val="Quote"/>
        <w:jc w:val="center"/>
      </w:pPr>
      <w:r>
        <w:t>σ_j(x)·∇φ(x)=0  для всех j,    Lφ(x)=0,    x∈M.  (22.21)</w:t>
      </w:r>
      <w:bookmarkEnd w:id="2014"/>
    </w:p>
    <w:p>
      <w:pPr/>
      <w:r>
        <w:t>Первое условие запрещает поперечный шум, второе запрещает дрейф с M. На многообразии большей коразмерности условия формулируются для набора определяющих функций и tangent cone. Они являются модельными sufficient conditions, а не универсальной теоремой для сингулярной NAPG.</w:t>
      </w:r>
    </w:p>
    <w:p>
      <w:bookmarkStart w:id="1672" w:name="s_COR_22_1"/>
      <w:pPr/>
      <w:r>
        <w:t>Следствие 22.1. Если ||σᵀ∇φ||≥c&gt;0 на участке M, то q имеет положительный локальный drift; exact harmonic state не сохраняется в указанной diffusion model.</w:t>
      </w:r>
      <w:bookmarkEnd w:id="1672"/>
    </w:p>
    <w:p>
      <w:bookmarkStart w:id="1250" w:name="h_3031"/>
      <w:pPr>
        <w:pStyle w:val="Heading1"/>
      </w:pPr>
      <w:r>
        <w:t>318. Martingale residuals как вычислительные тесты генератора</w:t>
      </w:r>
      <w:bookmarkEnd w:id="1250"/>
    </w:p>
    <w:p>
      <w:pPr/>
      <w:r>
        <w:t>Для набора test functions f_k определяется residual</w:t>
      </w:r>
    </w:p>
    <w:p>
      <w:bookmarkStart w:id="2015" w:name="f_22_22"/>
      <w:pPr>
        <w:pStyle w:val="Quote"/>
        <w:jc w:val="center"/>
      </w:pPr>
      <w:r>
        <w:t>R_{s,t}^{f_k}=f_k(X_t)-f_k(X_s)-∫_s^t Lf_k(X_r)dr.  (22.22)</w:t>
      </w:r>
      <w:bookmarkEnd w:id="2015"/>
    </w:p>
    <w:p>
      <w:pPr/>
      <w:r>
        <w:t>Martingale restriction требует E[R_{s,t}^{f_k}G_s]=0 для ограниченных 𝔽_s-измеримых instruments G_s. На данных проверяется конечный набор моментов с поправками на множественный выбор, зависимость и оценку параметров. Нулевая выборочная средняя не доказывает well-posedness полного martingale problem.</w:t>
      </w:r>
    </w:p>
    <w:p>
      <w:bookmarkStart w:id="1251" w:name="h_3035"/>
      <w:pPr>
        <w:pStyle w:val="Heading1"/>
      </w:pPr>
      <w:r>
        <w:t>319. Sequential evidence и остановочно-безопасный слой</w:t>
      </w:r>
      <w:bookmarkEnd w:id="1251"/>
    </w:p>
    <w:p>
      <w:pPr/>
      <w:r>
        <w:t>Для последовательной проверки допускаются nonnegative supermartingales или e-processes E_t с E_0≤1. Неравенство Вилля даёт</w:t>
      </w:r>
    </w:p>
    <w:p>
      <w:bookmarkStart w:id="2016" w:name="f_22_23"/>
      <w:pPr>
        <w:pStyle w:val="Quote"/>
        <w:jc w:val="center"/>
      </w:pPr>
      <w:r>
        <w:t>P(sup_t E_t ≥ 1/α)≤α.  (22.23)</w:t>
      </w:r>
      <w:bookmarkEnd w:id="2016"/>
    </w:p>
    <w:p>
      <w:pPr/>
      <w:r>
        <w:t>Это контролирует type-I error при optional stopping в заявленном null model. Оно не идентифицирует causal effect и не делает выбранный generator истинным. Данный слой наследует дисциплину Тома I и добавляется к martingale residuals, а не заменяет их.</w:t>
      </w:r>
    </w:p>
    <w:p>
      <w:bookmarkStart w:id="1252" w:name="h_3039"/>
      <w:pPr>
        <w:pStyle w:val="Heading1"/>
      </w:pPr>
      <w:r>
        <w:t>320. Стохастический переходный горизонт</w:t>
      </w:r>
      <w:bookmarkEnd w:id="1252"/>
    </w:p>
    <w:p>
      <w:pPr/>
      <w:r>
        <w:t>Определены компоненты</w:t>
      </w:r>
    </w:p>
    <w:p>
      <w:bookmarkStart w:id="2017" w:name="f_22_24"/>
      <w:pPr>
        <w:pStyle w:val="Quote"/>
        <w:jc w:val="center"/>
      </w:pPr>
      <w:r>
        <w:t>Δ_stoch = Δ_MP ∪ Δ_Feller ∪ Δ_gen ∪ Δ_stop ∪ Δ_hit ∪ Δ_bar ∪ Δ_ctrl ∪ Δ_HJB ∪ Δ_do ∪ Δ_id ∪ Δ_λ ∪ Δ_cal ∪ Δ_ext.  (22.24)</w:t>
      </w:r>
      <w:bookmarkEnd w:id="2017"/>
    </w:p>
    <w:p>
      <w:pPr>
        <w:pStyle w:val="ListBullet"/>
      </w:pPr>
      <w:r>
        <w:t>Δ_MP: потеря existence/uniqueness martingale problem;</w:t>
      </w:r>
    </w:p>
    <w:p>
      <w:pPr>
        <w:pStyle w:val="ListBullet"/>
      </w:pPr>
      <w:r>
        <w:t>Δ_Feller и Δ_gen: смена semigroup class, core или generator domain;</w:t>
      </w:r>
    </w:p>
    <w:p>
      <w:pPr>
        <w:pStyle w:val="ListBullet"/>
      </w:pPr>
      <w:r>
        <w:t>Δ_stop: нарушение stopping-time/optional-sampling assumptions;</w:t>
      </w:r>
    </w:p>
    <w:p>
      <w:pPr>
        <w:pStyle w:val="ListBullet"/>
      </w:pPr>
      <w:r>
        <w:t>Δ_hit и Δ_bar: изменение target set, boundary regularity или barrier validity;</w:t>
      </w:r>
    </w:p>
    <w:p>
      <w:pPr>
        <w:pStyle w:val="ListBullet"/>
      </w:pPr>
      <w:r>
        <w:t>Δ_ctrl и Δ_HJB: смена admissible policies, cost или verification regime;</w:t>
      </w:r>
    </w:p>
    <w:p>
      <w:pPr>
        <w:pStyle w:val="ListBullet"/>
      </w:pPr>
      <w:r>
        <w:t>Δ_do и Δ_id: смена structural intervention или идентифицирующих гипотез;</w:t>
      </w:r>
    </w:p>
    <w:p>
      <w:pPr>
        <w:pStyle w:val="ListBullet"/>
      </w:pPr>
      <w:r>
        <w:t>Δ_λ: полюса, collision set и потеря stochastic invariance harmonic locus;</w:t>
      </w:r>
    </w:p>
    <w:p>
      <w:pPr>
        <w:pStyle w:val="ListBullet"/>
      </w:pPr>
      <w:r>
        <w:t>Δ_cal и Δ_ext: потеря калибровки или независимой проверки.</w:t>
      </w:r>
    </w:p>
    <w:p>
      <w:bookmarkStart w:id="2018" w:name="f_22_25"/>
      <w:pPr>
        <w:pStyle w:val="Quote"/>
        <w:jc w:val="center"/>
      </w:pPr>
      <w:r>
        <w:t>Δ_safe^{v0.19}=Δ_safe^{v0.18}∪Δ_stoch.  (22.25)</w:t>
      </w:r>
      <w:bookmarkEnd w:id="2018"/>
    </w:p>
    <w:p>
      <w:bookmarkStart w:id="1253" w:name="h_3051"/>
      <w:pPr>
        <w:pStyle w:val="Heading1"/>
      </w:pPr>
      <w:r>
        <w:t>321. Главная условная теорема v0.19</w:t>
      </w:r>
      <w:bookmarkEnd w:id="1253"/>
    </w:p>
    <w:p>
      <w:bookmarkStart w:id="1673" w:name="s_THM_22_5"/>
      <w:pPr/>
      <w:r>
        <w:t>Теорема 22.5 (stochastic prediction-control-causality safe theorem). [COND] Пусть на интервале параметров задана well-posed Markov family с общим сертифицированным core, Feller/regularity package, admissible stopping rules, валидный barrier V, controlled family {L^a}, structural intervention model и доказанные идентифицирующие условия. Пусть D/Dom, λ-atlas, calibration и EXT-RUN не меняются и путь параметров не пересекает Δ_safe^{v0.19}. Тогда:</w:t>
      </w:r>
      <w:bookmarkEnd w:id="1673"/>
    </w:p>
    <w:p>
      <w:pPr>
        <w:pStyle w:val="ListNumber"/>
      </w:pPr>
      <w:r>
        <w:t>наблюдательный semigroup/martingale profile локально устойчив в заявленном классе;</w:t>
      </w:r>
    </w:p>
    <w:p>
      <w:pPr>
        <w:pStyle w:val="ListNumber"/>
      </w:pPr>
      <w:r>
        <w:t>оценка P(τ_A≤T)≤V(0,x) сохраняется с сертифицированным запасом;</w:t>
      </w:r>
    </w:p>
    <w:p>
      <w:pPr>
        <w:pStyle w:val="ListNumber"/>
      </w:pPr>
      <w:r>
        <w:t>при uniform condition (22.13) та же граница действует для всех admissible policies;</w:t>
      </w:r>
    </w:p>
    <w:p>
      <w:pPr>
        <w:pStyle w:val="ListNumber"/>
      </w:pPr>
      <w:r>
        <w:t>interventional conclusion разрешён только внутри отдельно идентифицированной structural model;</w:t>
      </w:r>
    </w:p>
    <w:p>
      <w:pPr>
        <w:pStyle w:val="ListNumber"/>
      </w:pPr>
      <w:r>
        <w:t>если V(0,x)=0, событие попадания невозможно в модели на данном горизонте; если V(0,x)=α&gt;0, допустим только вывод RISK-BOUND≤α.</w:t>
      </w:r>
    </w:p>
    <w:p>
      <w:bookmarkStart w:id="2019" w:name="f_22_26"/>
      <w:pPr>
        <w:pStyle w:val="Quote"/>
        <w:jc w:val="center"/>
      </w:pPr>
      <w:r>
        <w:t>V(0,x)=0  =&gt;  NO-HIT-IN-MODEL;    0&lt;V(0,x)≤α  =&gt;  RISK-BOUND≤α.  (22.26)</w:t>
      </w:r>
      <w:bookmarkEnd w:id="2019"/>
    </w:p>
    <w:p>
      <w:pPr/>
      <w:r>
        <w:t>Теорема не утверждает истинность модели, причинную полноту, физическую неизбежность или переносимость на другой домен.</w:t>
      </w:r>
    </w:p>
    <w:p>
      <w:bookmarkStart w:id="1254" w:name="h_3060"/>
      <w:pPr>
        <w:pStyle w:val="Heading1"/>
      </w:pPr>
      <w:r>
        <w:t>322. Blocker-safe verdict</w:t>
      </w:r>
      <w:bookmarkEnd w:id="1254"/>
    </w:p>
    <w:p>
      <w:pPr/>
      <w:r>
        <w:t>Набор блокеров имеет вид</w:t>
      </w:r>
    </w:p>
    <w:p>
      <w:bookmarkStart w:id="2020" w:name="f_22_27"/>
      <w:pPr>
        <w:pStyle w:val="Quote"/>
        <w:jc w:val="center"/>
      </w:pPr>
      <w:r>
        <w:t>Block_stoch=B_basis∪B_MP∪B_gen∪B_stop∪B_bar∪B_ctrl∪B_do∪B_id∪B_λ∪B_cal∪B_ext.  (22.27)</w:t>
      </w:r>
      <w:bookmarkEnd w:id="2020"/>
    </w:p>
    <w:p>
      <w:pPr>
        <w:pStyle w:val="ListBullet"/>
      </w:pPr>
      <w:r>
        <w:t>NO-HIT-IN-MODEL — только при точном нулевом сертифицированном барьерном запасе;</w:t>
      </w:r>
    </w:p>
    <w:p>
      <w:pPr>
        <w:pStyle w:val="ListBullet"/>
      </w:pPr>
      <w:r>
        <w:t>RISK-BOUND≤α — при доказанной верхней границе 0&lt;α&lt;1;</w:t>
      </w:r>
    </w:p>
    <w:p>
      <w:pPr>
        <w:pStyle w:val="ListBullet"/>
      </w:pPr>
      <w:r>
        <w:t>CANDIDATE-STOCHASTIC-TRANSITION — когда граница не исключает попадание и блокеры закрыты;</w:t>
      </w:r>
    </w:p>
    <w:p>
      <w:pPr>
        <w:pStyle w:val="ListBullet"/>
      </w:pPr>
      <w:r>
        <w:t>ABSTAIN — при незакрытом martingale, stopping, intervention, identification, D/Dom или external-validation блокере.</w:t>
      </w:r>
    </w:p>
    <w:p>
      <w:bookmarkStart w:id="1255" w:name="h_3067"/>
      <w:pPr>
        <w:pStyle w:val="Heading1"/>
      </w:pPr>
      <w:r>
        <w:t>323. Разделяющие контрмодели</w:t>
      </w:r>
      <w:bookmarkEnd w:id="1255"/>
    </w:p>
    <w:p>
      <w:pPr>
        <w:pStyle w:val="ListBullet"/>
      </w:pPr>
      <w:r>
        <w:t>Один формальный генератор с разными boundary domains порождает разные процессы.</w:t>
      </w:r>
    </w:p>
    <w:p>
      <w:pPr>
        <w:pStyle w:val="ListBullet"/>
      </w:pPr>
      <w:r>
        <w:t>Одинаковые одномоментные маргиналы не определяют martingale problem и path law.</w:t>
      </w:r>
    </w:p>
    <w:p>
      <w:pPr>
        <w:pStyle w:val="ListBullet"/>
      </w:pPr>
      <w:r>
        <w:t>Эквивалентный Girsanov measure change не равен хирургическому do-вмешательству.</w:t>
      </w:r>
    </w:p>
    <w:p>
      <w:pPr>
        <w:pStyle w:val="ListBullet"/>
      </w:pPr>
      <w:r>
        <w:t>Unbounded stopping time без uniform integrability разрушает optional sampling identity.</w:t>
      </w:r>
    </w:p>
    <w:p>
      <w:pPr>
        <w:pStyle w:val="ListBullet"/>
      </w:pPr>
      <w:r>
        <w:t>Малый hitting probability не равен невозможности события.</w:t>
      </w:r>
    </w:p>
    <w:p>
      <w:pPr>
        <w:pStyle w:val="ListBullet"/>
      </w:pPr>
      <w:r>
        <w:t>Оптимальная policy по ошибочному cost functional может ухудшать внешний критерий.</w:t>
      </w:r>
    </w:p>
    <w:p>
      <w:pPr>
        <w:pStyle w:val="ListBullet"/>
      </w:pPr>
      <w:r>
        <w:t>Одинаковый observational law допускает разные intervention laws.</w:t>
      </w:r>
    </w:p>
    <w:p>
      <w:pPr>
        <w:pStyle w:val="ListBullet"/>
      </w:pPr>
      <w:r>
        <w:t>λ_0=-1 не сохраняется при поперечном diffusion noise.</w:t>
      </w:r>
    </w:p>
    <w:p>
      <w:pPr>
        <w:pStyle w:val="ListBullet"/>
      </w:pPr>
      <w:r>
        <w:t>Нулевые конечные martingale residuals на выбранной сетке не доказывают полный generator.</w:t>
      </w:r>
    </w:p>
    <w:p>
      <w:pPr>
        <w:pStyle w:val="ListBullet"/>
      </w:pPr>
      <w:r>
        <w:t>Рандомизированное вмешательство в одном домене не гарантирует transportability в другом.</w:t>
      </w:r>
    </w:p>
    <w:p>
      <w:bookmarkStart w:id="1256" w:name="h_3078"/>
      <w:pPr>
        <w:pStyle w:val="Heading1"/>
      </w:pPr>
      <w:r>
        <w:t>324. Вычислительный сертификат STOCH-CAUSAL v0.19</w:t>
      </w:r>
      <w:bookmarkEnd w:id="1256"/>
    </w:p>
    <w:p>
      <w:pPr>
        <w:pStyle w:val="ListBullet"/>
      </w:pPr>
      <w:r>
        <w:t>STOCH-01 stochastic basis; 02 filtration/usual conditions; 03 path carrier; 04 state/admissible domain;</w:t>
      </w:r>
    </w:p>
    <w:p>
      <w:pPr>
        <w:pStyle w:val="ListBullet"/>
      </w:pPr>
      <w:r>
        <w:t>05 transition kernel; 06 semigroup identity; 07 Feller property; 08 conservativity/sub-Markov status;</w:t>
      </w:r>
    </w:p>
    <w:p>
      <w:pPr>
        <w:pStyle w:val="ListBullet"/>
      </w:pPr>
      <w:r>
        <w:t>09 generator graph; 10 core test; 11 positive maximum principle; 12 resolvent identities;</w:t>
      </w:r>
    </w:p>
    <w:p>
      <w:pPr>
        <w:pStyle w:val="ListBullet"/>
      </w:pPr>
      <w:r>
        <w:t>13 martingale residual construction; 14 conditional-moment tests; 15 existence evidence; 16 uniqueness/well-posedness evidence;</w:t>
      </w:r>
    </w:p>
    <w:p>
      <w:pPr>
        <w:pStyle w:val="ListBullet"/>
      </w:pPr>
      <w:r>
        <w:t>17 SDE coefficients; 18 diffusion matrix; 19 weak/strong-solution ledger; 20 Girsanov density and integrability;</w:t>
      </w:r>
    </w:p>
    <w:p>
      <w:pPr>
        <w:pStyle w:val="ListBullet"/>
      </w:pPr>
      <w:r>
        <w:t>21 stopping-time audit; 22 optional-sampling conditions; 23 hitting-time measurability; 24 first-passage estimator;</w:t>
      </w:r>
    </w:p>
    <w:p>
      <w:pPr>
        <w:pStyle w:val="ListBullet"/>
      </w:pPr>
      <w:r>
        <w:t>25 barrier inequalities; 26 interval/SOS/PDE verification; 27 robust controlled barrier; 28 policy admissibility;</w:t>
      </w:r>
    </w:p>
    <w:p>
      <w:pPr>
        <w:pStyle w:val="ListBullet"/>
      </w:pPr>
      <w:r>
        <w:t>29 controlled generator; 30 dynamic programming/HJB verification; 31 observational forecast law; 32 intervention kernel;</w:t>
      </w:r>
    </w:p>
    <w:p>
      <w:pPr>
        <w:pStyle w:val="ListBullet"/>
      </w:pPr>
      <w:r>
        <w:t>33 identification assumptions; 34 g-formula/do-calculus audit; 35 stochastic Reper path; 36 λ pole/invariance tests;</w:t>
      </w:r>
    </w:p>
    <w:p>
      <w:pPr>
        <w:pStyle w:val="ListBullet"/>
      </w:pPr>
      <w:r>
        <w:t>37 martingale/e-process sequential layer; 38 calibration and domain-shift audit; 39 blocker-safe verdict; 40 source/code/data/environment hashes.</w:t>
      </w:r>
    </w:p>
    <w:p>
      <w:pPr>
        <w:pStyle w:val="Heading2"/>
      </w:pPr>
      <w:r>
        <w:t>Псевдокод</w:t>
      </w:r>
    </w:p>
    <w:p>
      <w:pPr>
        <w:pStyle w:val="Quote"/>
        <w:jc w:val="center"/>
      </w:pPr>
      <w:r>
        <w:t>INPUT stochastic basis, transition law/generator, target A, controls, structural model, Rep_t, D, Dom</w:t>
        <w:br/>
        <w:t>CHECK filtration, Feller/generator/core, martingale problem, stopping assumptions</w:t>
        <w:br/>
        <w:t>BUILD hitting-time and barrier certificate; verify optional sampling</w:t>
        <w:br/>
        <w:t>IF controls exist CHECK controlled generators, admissibility and robust barrier/HJB</w:t>
        <w:br/>
        <w:t>SEPARATE observational forecast, policy law and do-law; verify identification assumptions</w:t>
        <w:br/>
        <w:t>CHECK λ_t poles and stochastic invariance conditions</w:t>
        <w:br/>
        <w:t>IF any blocker THEN ABSTAIN</w:t>
        <w:br/>
        <w:t>ELSE IF exact barrier value=0 THEN NO-HIT-IN-MODEL</w:t>
        <w:br/>
        <w:t>ELSE REPORT RISK-BOUND and only then candidate status</w:t>
        <w:br/>
        <w:t>RECORD hashes; truth_layer_promotion=0.</w:t>
      </w:r>
    </w:p>
    <w:p>
      <w:bookmarkStart w:id="1257" w:name="h_3091"/>
      <w:pPr>
        <w:pStyle w:val="Heading1"/>
      </w:pPr>
      <w:r>
        <w:t>325. Доказательные обязательства T2-PO-349–T2-PO-386</w:t>
      </w:r>
      <w:bookmarkEnd w:id="1257"/>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512"/>
            <w:shd w:fill="1f426b"/>
            <w:tcMar>
              <w:top w:w="90" w:type="dxa"/>
              <w:start w:w="100" w:type="dxa"/>
              <w:bottom w:w="90" w:type="dxa"/>
              <w:end w:w="100" w:type="dxa"/>
            </w:tcMar>
          </w:tcPr>
          <w:p>
            <w:r>
              <w:rPr>
                <w:b/>
                <w:color w:val="FFFFFF"/>
              </w:rPr>
              <w:t>PO</w:t>
            </w:r>
          </w:p>
        </w:tc>
        <w:tc>
          <w:tcPr>
            <w:tcW w:type="dxa" w:w="5112"/>
            <w:shd w:fill="1f426b"/>
            <w:tcMar>
              <w:top w:w="90" w:type="dxa"/>
              <w:start w:w="100" w:type="dxa"/>
              <w:bottom w:w="90" w:type="dxa"/>
              <w:end w:w="100" w:type="dxa"/>
            </w:tcMar>
          </w:tcPr>
          <w:p>
            <w:r>
              <w:rPr>
                <w:b/>
                <w:color w:val="FFFFFF"/>
              </w:rPr>
              <w:t>Обязательство</w:t>
            </w:r>
          </w:p>
        </w:tc>
        <w:tc>
          <w:tcPr>
            <w:tcW w:type="dxa" w:w="1224"/>
            <w:shd w:fill="1f426b"/>
            <w:tcMar>
              <w:top w:w="90" w:type="dxa"/>
              <w:start w:w="100" w:type="dxa"/>
              <w:bottom w:w="90" w:type="dxa"/>
              <w:end w:w="100" w:type="dxa"/>
            </w:tcMar>
          </w:tcPr>
          <w:p>
            <w:r>
              <w:rPr>
                <w:b/>
                <w:color w:val="FFFFFF"/>
              </w:rPr>
              <w:t>Статус</w:t>
            </w:r>
          </w:p>
        </w:tc>
        <w:tc>
          <w:tcPr>
            <w:tcW w:type="dxa" w:w="1944"/>
            <w:shd w:fill="1f426b"/>
            <w:tcMar>
              <w:top w:w="90" w:type="dxa"/>
              <w:start w:w="100" w:type="dxa"/>
              <w:bottom w:w="90" w:type="dxa"/>
              <w:end w:w="100" w:type="dxa"/>
            </w:tcMar>
          </w:tcPr>
          <w:p>
            <w:r>
              <w:rPr>
                <w:b/>
                <w:color w:val="FFFFFF"/>
              </w:rPr>
              <w:t>Основание / следующий шаг</w:t>
            </w:r>
          </w:p>
        </w:tc>
      </w:tr>
      <w:tr>
        <w:trPr>
          <w:cantSplit/>
        </w:trPr>
        <w:tc>
          <w:tcPr>
            <w:tcW w:type="dxa" w:w="1512"/>
            <w:tcMar>
              <w:top w:w="90" w:type="dxa"/>
              <w:start w:w="100" w:type="dxa"/>
              <w:bottom w:w="90" w:type="dxa"/>
              <w:end w:w="100" w:type="dxa"/>
            </w:tcMar>
            <w:vAlign w:val="center"/>
          </w:tcPr>
          <w:p>
            <w:bookmarkStart w:id="2445" w:name="po_349"/>
            <w:r>
              <w:t>T2-PO-349</w:t>
            </w:r>
            <w:bookmarkEnd w:id="2445"/>
          </w:p>
        </w:tc>
        <w:tc>
          <w:tcPr>
            <w:tcW w:type="dxa" w:w="5112"/>
            <w:tcMar>
              <w:top w:w="90" w:type="dxa"/>
              <w:start w:w="100" w:type="dxa"/>
              <w:bottom w:w="90" w:type="dxa"/>
              <w:end w:w="100" w:type="dxa"/>
            </w:tcMar>
            <w:vAlign w:val="center"/>
          </w:tcPr>
          <w:p>
            <w:r>
              <w:t>Стохастический базис и usual conditions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Определение 22.1</w:t>
            </w:r>
          </w:p>
        </w:tc>
      </w:tr>
      <w:tr>
        <w:trPr>
          <w:cantSplit/>
        </w:trPr>
        <w:tc>
          <w:tcPr>
            <w:tcW w:type="dxa" w:w="1512"/>
            <w:tcMar>
              <w:top w:w="90" w:type="dxa"/>
              <w:start w:w="100" w:type="dxa"/>
              <w:bottom w:w="90" w:type="dxa"/>
              <w:end w:w="100" w:type="dxa"/>
            </w:tcMar>
            <w:vAlign w:val="center"/>
          </w:tcPr>
          <w:p>
            <w:bookmarkStart w:id="2446" w:name="po_350"/>
            <w:r>
              <w:t>T2-PO-350</w:t>
            </w:r>
            <w:bookmarkEnd w:id="2446"/>
          </w:p>
        </w:tc>
        <w:tc>
          <w:tcPr>
            <w:tcW w:type="dxa" w:w="5112"/>
            <w:tcMar>
              <w:top w:w="90" w:type="dxa"/>
              <w:start w:w="100" w:type="dxa"/>
              <w:bottom w:w="90" w:type="dxa"/>
              <w:end w:w="100" w:type="dxa"/>
            </w:tcMar>
            <w:vAlign w:val="center"/>
          </w:tcPr>
          <w:p>
            <w:r>
              <w:t>Markov kernel measurability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State/domain specific</w:t>
            </w:r>
          </w:p>
        </w:tc>
      </w:tr>
      <w:tr>
        <w:trPr>
          <w:cantSplit/>
        </w:trPr>
        <w:tc>
          <w:tcPr>
            <w:tcW w:type="dxa" w:w="1512"/>
            <w:tcMar>
              <w:top w:w="90" w:type="dxa"/>
              <w:start w:w="100" w:type="dxa"/>
              <w:bottom w:w="90" w:type="dxa"/>
              <w:end w:w="100" w:type="dxa"/>
            </w:tcMar>
            <w:vAlign w:val="center"/>
          </w:tcPr>
          <w:p>
            <w:bookmarkStart w:id="2447" w:name="po_351"/>
            <w:r>
              <w:t>T2-PO-351</w:t>
            </w:r>
            <w:bookmarkEnd w:id="2447"/>
          </w:p>
        </w:tc>
        <w:tc>
          <w:tcPr>
            <w:tcW w:type="dxa" w:w="5112"/>
            <w:tcMar>
              <w:top w:w="90" w:type="dxa"/>
              <w:start w:w="100" w:type="dxa"/>
              <w:bottom w:w="90" w:type="dxa"/>
              <w:end w:w="100" w:type="dxa"/>
            </w:tcMar>
            <w:vAlign w:val="center"/>
          </w:tcPr>
          <w:p>
            <w:r>
              <w:t>Semigroup and conservativity tests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STOCH-05–08</w:t>
            </w:r>
          </w:p>
        </w:tc>
      </w:tr>
      <w:tr>
        <w:trPr>
          <w:cantSplit/>
        </w:trPr>
        <w:tc>
          <w:tcPr>
            <w:tcW w:type="dxa" w:w="1512"/>
            <w:tcMar>
              <w:top w:w="90" w:type="dxa"/>
              <w:start w:w="100" w:type="dxa"/>
              <w:bottom w:w="90" w:type="dxa"/>
              <w:end w:w="100" w:type="dxa"/>
            </w:tcMar>
            <w:vAlign w:val="center"/>
          </w:tcPr>
          <w:p>
            <w:bookmarkStart w:id="2448" w:name="po_352"/>
            <w:r>
              <w:t>T2-PO-352</w:t>
            </w:r>
            <w:bookmarkEnd w:id="2448"/>
          </w:p>
        </w:tc>
        <w:tc>
          <w:tcPr>
            <w:tcW w:type="dxa" w:w="5112"/>
            <w:tcMar>
              <w:top w:w="90" w:type="dxa"/>
              <w:start w:w="100" w:type="dxa"/>
              <w:bottom w:w="90" w:type="dxa"/>
              <w:end w:w="100" w:type="dxa"/>
            </w:tcMar>
            <w:vAlign w:val="center"/>
          </w:tcPr>
          <w:p>
            <w:r>
              <w:t>Feller strong continuity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Конкретная модель</w:t>
            </w:r>
          </w:p>
        </w:tc>
      </w:tr>
      <w:tr>
        <w:trPr>
          <w:cantSplit/>
        </w:trPr>
        <w:tc>
          <w:tcPr>
            <w:tcW w:type="dxa" w:w="1512"/>
            <w:tcMar>
              <w:top w:w="90" w:type="dxa"/>
              <w:start w:w="100" w:type="dxa"/>
              <w:bottom w:w="90" w:type="dxa"/>
              <w:end w:w="100" w:type="dxa"/>
            </w:tcMar>
            <w:vAlign w:val="center"/>
          </w:tcPr>
          <w:p>
            <w:bookmarkStart w:id="2449" w:name="po_353"/>
            <w:r>
              <w:t>T2-PO-353</w:t>
            </w:r>
            <w:bookmarkEnd w:id="2449"/>
          </w:p>
        </w:tc>
        <w:tc>
          <w:tcPr>
            <w:tcW w:type="dxa" w:w="5112"/>
            <w:tcMar>
              <w:top w:w="90" w:type="dxa"/>
              <w:start w:w="100" w:type="dxa"/>
              <w:bottom w:w="90" w:type="dxa"/>
              <w:end w:w="100" w:type="dxa"/>
            </w:tcMar>
            <w:vAlign w:val="center"/>
          </w:tcPr>
          <w:p>
            <w:r>
              <w:t>Generator domain and core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rPr>
          <w:cantSplit/>
        </w:trPr>
        <w:tc>
          <w:tcPr>
            <w:tcW w:type="dxa" w:w="1512"/>
            <w:tcMar>
              <w:top w:w="90" w:type="dxa"/>
              <w:start w:w="100" w:type="dxa"/>
              <w:bottom w:w="90" w:type="dxa"/>
              <w:end w:w="100" w:type="dxa"/>
            </w:tcMar>
            <w:vAlign w:val="center"/>
          </w:tcPr>
          <w:p>
            <w:bookmarkStart w:id="2450" w:name="po_354"/>
            <w:r>
              <w:t>T2-PO-354</w:t>
            </w:r>
            <w:bookmarkEnd w:id="2450"/>
          </w:p>
        </w:tc>
        <w:tc>
          <w:tcPr>
            <w:tcW w:type="dxa" w:w="5112"/>
            <w:tcMar>
              <w:top w:w="90" w:type="dxa"/>
              <w:start w:w="100" w:type="dxa"/>
              <w:bottom w:w="90" w:type="dxa"/>
              <w:end w:w="100" w:type="dxa"/>
            </w:tcMar>
            <w:vAlign w:val="center"/>
          </w:tcPr>
          <w:p>
            <w:r>
              <w:t>Positive maximum principle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rPr>
          <w:cantSplit/>
        </w:trPr>
        <w:tc>
          <w:tcPr>
            <w:tcW w:type="dxa" w:w="1512"/>
            <w:tcMar>
              <w:top w:w="90" w:type="dxa"/>
              <w:start w:w="100" w:type="dxa"/>
              <w:bottom w:w="90" w:type="dxa"/>
              <w:end w:w="100" w:type="dxa"/>
            </w:tcMar>
            <w:vAlign w:val="center"/>
          </w:tcPr>
          <w:p>
            <w:bookmarkStart w:id="2451" w:name="po_355"/>
            <w:r>
              <w:t>T2-PO-355</w:t>
            </w:r>
            <w:bookmarkEnd w:id="2451"/>
          </w:p>
        </w:tc>
        <w:tc>
          <w:tcPr>
            <w:tcW w:type="dxa" w:w="5112"/>
            <w:tcMar>
              <w:top w:w="90" w:type="dxa"/>
              <w:start w:w="100" w:type="dxa"/>
              <w:bottom w:w="90" w:type="dxa"/>
              <w:end w:w="100" w:type="dxa"/>
            </w:tcMar>
            <w:vAlign w:val="center"/>
          </w:tcPr>
          <w:p>
            <w:r>
              <w:t>Resolvent identities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PO-353</w:t>
            </w:r>
          </w:p>
        </w:tc>
      </w:tr>
      <w:tr>
        <w:trPr>
          <w:cantSplit/>
        </w:trPr>
        <w:tc>
          <w:tcPr>
            <w:tcW w:type="dxa" w:w="1512"/>
            <w:tcMar>
              <w:top w:w="90" w:type="dxa"/>
              <w:start w:w="100" w:type="dxa"/>
              <w:bottom w:w="90" w:type="dxa"/>
              <w:end w:w="100" w:type="dxa"/>
            </w:tcMar>
            <w:vAlign w:val="center"/>
          </w:tcPr>
          <w:p>
            <w:bookmarkStart w:id="2452" w:name="po_356"/>
            <w:r>
              <w:t>T2-PO-356</w:t>
            </w:r>
            <w:bookmarkEnd w:id="2452"/>
          </w:p>
        </w:tc>
        <w:tc>
          <w:tcPr>
            <w:tcW w:type="dxa" w:w="5112"/>
            <w:tcMar>
              <w:top w:w="90" w:type="dxa"/>
              <w:start w:w="100" w:type="dxa"/>
              <w:bottom w:w="90" w:type="dxa"/>
              <w:end w:w="100" w:type="dxa"/>
            </w:tcMar>
            <w:vAlign w:val="center"/>
          </w:tcPr>
          <w:p>
            <w:r>
              <w:t>Martingale problem formulation</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(22.5)</w:t>
            </w:r>
          </w:p>
        </w:tc>
      </w:tr>
      <w:tr>
        <w:trPr>
          <w:cantSplit/>
        </w:trPr>
        <w:tc>
          <w:tcPr>
            <w:tcW w:type="dxa" w:w="1512"/>
            <w:tcMar>
              <w:top w:w="90" w:type="dxa"/>
              <w:start w:w="100" w:type="dxa"/>
              <w:bottom w:w="90" w:type="dxa"/>
              <w:end w:w="100" w:type="dxa"/>
            </w:tcMar>
            <w:vAlign w:val="center"/>
          </w:tcPr>
          <w:p>
            <w:bookmarkStart w:id="2453" w:name="po_357"/>
            <w:r>
              <w:t>T2-PO-357</w:t>
            </w:r>
            <w:bookmarkEnd w:id="2453"/>
          </w:p>
        </w:tc>
        <w:tc>
          <w:tcPr>
            <w:tcW w:type="dxa" w:w="5112"/>
            <w:tcMar>
              <w:top w:w="90" w:type="dxa"/>
              <w:start w:w="100" w:type="dxa"/>
              <w:bottom w:w="90" w:type="dxa"/>
              <w:end w:w="100" w:type="dxa"/>
            </w:tcMar>
            <w:vAlign w:val="center"/>
          </w:tcPr>
          <w:p>
            <w:r>
              <w:t>Existence martingale problem</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Concrete generator</w:t>
            </w:r>
          </w:p>
        </w:tc>
      </w:tr>
      <w:tr>
        <w:trPr>
          <w:cantSplit/>
        </w:trPr>
        <w:tc>
          <w:tcPr>
            <w:tcW w:type="dxa" w:w="1512"/>
            <w:tcMar>
              <w:top w:w="90" w:type="dxa"/>
              <w:start w:w="100" w:type="dxa"/>
              <w:bottom w:w="90" w:type="dxa"/>
              <w:end w:w="100" w:type="dxa"/>
            </w:tcMar>
            <w:vAlign w:val="center"/>
          </w:tcPr>
          <w:p>
            <w:bookmarkStart w:id="2454" w:name="po_358"/>
            <w:r>
              <w:t>T2-PO-358</w:t>
            </w:r>
            <w:bookmarkEnd w:id="2454"/>
          </w:p>
        </w:tc>
        <w:tc>
          <w:tcPr>
            <w:tcW w:type="dxa" w:w="5112"/>
            <w:tcMar>
              <w:top w:w="90" w:type="dxa"/>
              <w:start w:w="100" w:type="dxa"/>
              <w:bottom w:w="90" w:type="dxa"/>
              <w:end w:w="100" w:type="dxa"/>
            </w:tcMar>
            <w:vAlign w:val="center"/>
          </w:tcPr>
          <w:p>
            <w:r>
              <w:t>Uniqueness/well-posedness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Concrete generator</w:t>
            </w:r>
          </w:p>
        </w:tc>
      </w:tr>
      <w:tr>
        <w:trPr>
          <w:cantSplit/>
        </w:trPr>
        <w:tc>
          <w:tcPr>
            <w:tcW w:type="dxa" w:w="1512"/>
            <w:tcMar>
              <w:top w:w="90" w:type="dxa"/>
              <w:start w:w="100" w:type="dxa"/>
              <w:bottom w:w="90" w:type="dxa"/>
              <w:end w:w="100" w:type="dxa"/>
            </w:tcMar>
            <w:vAlign w:val="center"/>
          </w:tcPr>
          <w:p>
            <w:bookmarkStart w:id="2455" w:name="po_359"/>
            <w:r>
              <w:t>T2-PO-359</w:t>
            </w:r>
            <w:bookmarkEnd w:id="2455"/>
          </w:p>
        </w:tc>
        <w:tc>
          <w:tcPr>
            <w:tcW w:type="dxa" w:w="5112"/>
            <w:tcMar>
              <w:top w:w="90" w:type="dxa"/>
              <w:start w:w="100" w:type="dxa"/>
              <w:bottom w:w="90" w:type="dxa"/>
              <w:end w:w="100" w:type="dxa"/>
            </w:tcMar>
            <w:vAlign w:val="center"/>
          </w:tcPr>
          <w:p>
            <w:r>
              <w:t>Strong Markov consequence</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PO-357–358</w:t>
            </w:r>
          </w:p>
        </w:tc>
      </w:tr>
      <w:tr>
        <w:trPr>
          <w:cantSplit/>
        </w:trPr>
        <w:tc>
          <w:tcPr>
            <w:tcW w:type="dxa" w:w="1512"/>
            <w:tcMar>
              <w:top w:w="90" w:type="dxa"/>
              <w:start w:w="100" w:type="dxa"/>
              <w:bottom w:w="90" w:type="dxa"/>
              <w:end w:w="100" w:type="dxa"/>
            </w:tcMar>
            <w:vAlign w:val="center"/>
          </w:tcPr>
          <w:p>
            <w:bookmarkStart w:id="2456" w:name="po_360"/>
            <w:r>
              <w:t>T2-PO-360</w:t>
            </w:r>
            <w:bookmarkEnd w:id="2456"/>
          </w:p>
        </w:tc>
        <w:tc>
          <w:tcPr>
            <w:tcW w:type="dxa" w:w="5112"/>
            <w:tcMar>
              <w:top w:w="90" w:type="dxa"/>
              <w:start w:w="100" w:type="dxa"/>
              <w:bottom w:w="90" w:type="dxa"/>
              <w:end w:w="100" w:type="dxa"/>
            </w:tcMar>
            <w:vAlign w:val="center"/>
          </w:tcPr>
          <w:p>
            <w:r>
              <w:t>SDE-to-generator identification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Regular diffusion sector</w:t>
            </w:r>
          </w:p>
        </w:tc>
      </w:tr>
      <w:tr>
        <w:trPr>
          <w:cantSplit/>
        </w:trPr>
        <w:tc>
          <w:tcPr>
            <w:tcW w:type="dxa" w:w="1512"/>
            <w:tcMar>
              <w:top w:w="90" w:type="dxa"/>
              <w:start w:w="100" w:type="dxa"/>
              <w:bottom w:w="90" w:type="dxa"/>
              <w:end w:w="100" w:type="dxa"/>
            </w:tcMar>
            <w:vAlign w:val="center"/>
          </w:tcPr>
          <w:p>
            <w:bookmarkStart w:id="2457" w:name="po_361"/>
            <w:r>
              <w:t>T2-PO-361</w:t>
            </w:r>
            <w:bookmarkEnd w:id="2457"/>
          </w:p>
        </w:tc>
        <w:tc>
          <w:tcPr>
            <w:tcW w:type="dxa" w:w="5112"/>
            <w:tcMar>
              <w:top w:w="90" w:type="dxa"/>
              <w:start w:w="100" w:type="dxa"/>
              <w:bottom w:w="90" w:type="dxa"/>
              <w:end w:w="100" w:type="dxa"/>
            </w:tcMar>
            <w:vAlign w:val="center"/>
          </w:tcPr>
          <w:p>
            <w:r>
              <w:t>Weak/strong solution hierarchy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Типовая спецификация</w:t>
            </w:r>
          </w:p>
        </w:tc>
      </w:tr>
      <w:tr>
        <w:trPr>
          <w:cantSplit/>
        </w:trPr>
        <w:tc>
          <w:tcPr>
            <w:tcW w:type="dxa" w:w="1512"/>
            <w:tcMar>
              <w:top w:w="90" w:type="dxa"/>
              <w:start w:w="100" w:type="dxa"/>
              <w:bottom w:w="90" w:type="dxa"/>
              <w:end w:w="100" w:type="dxa"/>
            </w:tcMar>
            <w:vAlign w:val="center"/>
          </w:tcPr>
          <w:p>
            <w:bookmarkStart w:id="2458" w:name="po_362"/>
            <w:r>
              <w:t>T2-PO-362</w:t>
            </w:r>
            <w:bookmarkEnd w:id="2458"/>
          </w:p>
        </w:tc>
        <w:tc>
          <w:tcPr>
            <w:tcW w:type="dxa" w:w="5112"/>
            <w:tcMar>
              <w:top w:w="90" w:type="dxa"/>
              <w:start w:w="100" w:type="dxa"/>
              <w:bottom w:w="90" w:type="dxa"/>
              <w:end w:w="100" w:type="dxa"/>
            </w:tcMar>
            <w:vAlign w:val="center"/>
          </w:tcPr>
          <w:p>
            <w:r>
              <w:t>Girsanov integrability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rPr>
          <w:cantSplit/>
        </w:trPr>
        <w:tc>
          <w:tcPr>
            <w:tcW w:type="dxa" w:w="1512"/>
            <w:tcMar>
              <w:top w:w="90" w:type="dxa"/>
              <w:start w:w="100" w:type="dxa"/>
              <w:bottom w:w="90" w:type="dxa"/>
              <w:end w:w="100" w:type="dxa"/>
            </w:tcMar>
            <w:vAlign w:val="center"/>
          </w:tcPr>
          <w:p>
            <w:bookmarkStart w:id="2459" w:name="po_363"/>
            <w:r>
              <w:t>T2-PO-363</w:t>
            </w:r>
            <w:bookmarkEnd w:id="2459"/>
          </w:p>
        </w:tc>
        <w:tc>
          <w:tcPr>
            <w:tcW w:type="dxa" w:w="5112"/>
            <w:tcMar>
              <w:top w:w="90" w:type="dxa"/>
              <w:start w:w="100" w:type="dxa"/>
              <w:bottom w:w="90" w:type="dxa"/>
              <w:end w:w="100" w:type="dxa"/>
            </w:tcMar>
            <w:vAlign w:val="center"/>
          </w:tcPr>
          <w:p>
            <w:r>
              <w:t>Measure-change no-intervention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22.2</w:t>
            </w:r>
          </w:p>
        </w:tc>
      </w:tr>
      <w:tr>
        <w:trPr>
          <w:cantSplit/>
        </w:trPr>
        <w:tc>
          <w:tcPr>
            <w:tcW w:type="dxa" w:w="1512"/>
            <w:tcMar>
              <w:top w:w="90" w:type="dxa"/>
              <w:start w:w="100" w:type="dxa"/>
              <w:bottom w:w="90" w:type="dxa"/>
              <w:end w:w="100" w:type="dxa"/>
            </w:tcMar>
            <w:vAlign w:val="center"/>
          </w:tcPr>
          <w:p>
            <w:bookmarkStart w:id="2460" w:name="po_364"/>
            <w:r>
              <w:t>T2-PO-364</w:t>
            </w:r>
            <w:bookmarkEnd w:id="2460"/>
          </w:p>
        </w:tc>
        <w:tc>
          <w:tcPr>
            <w:tcW w:type="dxa" w:w="5112"/>
            <w:tcMar>
              <w:top w:w="90" w:type="dxa"/>
              <w:start w:w="100" w:type="dxa"/>
              <w:bottom w:w="90" w:type="dxa"/>
              <w:end w:w="100" w:type="dxa"/>
            </w:tcMar>
            <w:vAlign w:val="center"/>
          </w:tcPr>
          <w:p>
            <w:r>
              <w:t>Stopping-time measurability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Target/path regularity</w:t>
            </w:r>
          </w:p>
        </w:tc>
      </w:tr>
      <w:tr>
        <w:trPr>
          <w:cantSplit/>
        </w:trPr>
        <w:tc>
          <w:tcPr>
            <w:tcW w:type="dxa" w:w="1512"/>
            <w:tcMar>
              <w:top w:w="90" w:type="dxa"/>
              <w:start w:w="100" w:type="dxa"/>
              <w:bottom w:w="90" w:type="dxa"/>
              <w:end w:w="100" w:type="dxa"/>
            </w:tcMar>
            <w:vAlign w:val="center"/>
          </w:tcPr>
          <w:p>
            <w:bookmarkStart w:id="2461" w:name="po_365"/>
            <w:r>
              <w:t>T2-PO-365</w:t>
            </w:r>
            <w:bookmarkEnd w:id="2461"/>
          </w:p>
        </w:tc>
        <w:tc>
          <w:tcPr>
            <w:tcW w:type="dxa" w:w="5112"/>
            <w:tcMar>
              <w:top w:w="90" w:type="dxa"/>
              <w:start w:w="100" w:type="dxa"/>
              <w:bottom w:w="90" w:type="dxa"/>
              <w:end w:w="100" w:type="dxa"/>
            </w:tcMar>
            <w:vAlign w:val="center"/>
          </w:tcPr>
          <w:p>
            <w:r>
              <w:t>Optional sampling assumptions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Stopping rule specific</w:t>
            </w:r>
          </w:p>
        </w:tc>
      </w:tr>
      <w:tr>
        <w:trPr>
          <w:cantSplit/>
        </w:trPr>
        <w:tc>
          <w:tcPr>
            <w:tcW w:type="dxa" w:w="1512"/>
            <w:tcMar>
              <w:top w:w="90" w:type="dxa"/>
              <w:start w:w="100" w:type="dxa"/>
              <w:bottom w:w="90" w:type="dxa"/>
              <w:end w:w="100" w:type="dxa"/>
            </w:tcMar>
            <w:vAlign w:val="center"/>
          </w:tcPr>
          <w:p>
            <w:bookmarkStart w:id="2462" w:name="po_366"/>
            <w:r>
              <w:t>T2-PO-366</w:t>
            </w:r>
            <w:bookmarkEnd w:id="2462"/>
          </w:p>
        </w:tc>
        <w:tc>
          <w:tcPr>
            <w:tcW w:type="dxa" w:w="5112"/>
            <w:tcMar>
              <w:top w:w="90" w:type="dxa"/>
              <w:start w:w="100" w:type="dxa"/>
              <w:bottom w:w="90" w:type="dxa"/>
              <w:end w:w="100" w:type="dxa"/>
            </w:tcMar>
            <w:vAlign w:val="center"/>
          </w:tcPr>
          <w:p>
            <w:r>
              <w:t>Naive optional-stopping counterexample</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Раздел 303</w:t>
            </w:r>
          </w:p>
        </w:tc>
      </w:tr>
      <w:tr>
        <w:trPr>
          <w:cantSplit/>
        </w:trPr>
        <w:tc>
          <w:tcPr>
            <w:tcW w:type="dxa" w:w="1512"/>
            <w:tcMar>
              <w:top w:w="90" w:type="dxa"/>
              <w:start w:w="100" w:type="dxa"/>
              <w:bottom w:w="90" w:type="dxa"/>
              <w:end w:w="100" w:type="dxa"/>
            </w:tcMar>
            <w:vAlign w:val="center"/>
          </w:tcPr>
          <w:p>
            <w:bookmarkStart w:id="2463" w:name="po_367"/>
            <w:r>
              <w:t>T2-PO-367</w:t>
            </w:r>
            <w:bookmarkEnd w:id="2463"/>
          </w:p>
        </w:tc>
        <w:tc>
          <w:tcPr>
            <w:tcW w:type="dxa" w:w="5112"/>
            <w:tcMar>
              <w:top w:w="90" w:type="dxa"/>
              <w:start w:w="100" w:type="dxa"/>
              <w:bottom w:w="90" w:type="dxa"/>
              <w:end w:w="100" w:type="dxa"/>
            </w:tcMar>
            <w:vAlign w:val="center"/>
          </w:tcPr>
          <w:p>
            <w:r>
              <w:t>Hitting probability 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Boundary problem</w:t>
            </w:r>
          </w:p>
        </w:tc>
      </w:tr>
      <w:tr>
        <w:trPr>
          <w:cantSplit/>
        </w:trPr>
        <w:tc>
          <w:tcPr>
            <w:tcW w:type="dxa" w:w="1512"/>
            <w:tcMar>
              <w:top w:w="90" w:type="dxa"/>
              <w:start w:w="100" w:type="dxa"/>
              <w:bottom w:w="90" w:type="dxa"/>
              <w:end w:w="100" w:type="dxa"/>
            </w:tcMar>
            <w:vAlign w:val="center"/>
          </w:tcPr>
          <w:p>
            <w:bookmarkStart w:id="2464" w:name="po_368"/>
            <w:r>
              <w:t>T2-PO-368</w:t>
            </w:r>
            <w:bookmarkEnd w:id="2464"/>
          </w:p>
        </w:tc>
        <w:tc>
          <w:tcPr>
            <w:tcW w:type="dxa" w:w="5112"/>
            <w:tcMar>
              <w:top w:w="90" w:type="dxa"/>
              <w:start w:w="100" w:type="dxa"/>
              <w:bottom w:w="90" w:type="dxa"/>
              <w:end w:w="100" w:type="dxa"/>
            </w:tcMar>
            <w:vAlign w:val="center"/>
          </w:tcPr>
          <w:p>
            <w:r>
              <w:t>Barrier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22.3</w:t>
            </w:r>
          </w:p>
        </w:tc>
      </w:tr>
      <w:tr>
        <w:trPr>
          <w:cantSplit/>
        </w:trPr>
        <w:tc>
          <w:tcPr>
            <w:tcW w:type="dxa" w:w="1512"/>
            <w:tcMar>
              <w:top w:w="90" w:type="dxa"/>
              <w:start w:w="100" w:type="dxa"/>
              <w:bottom w:w="90" w:type="dxa"/>
              <w:end w:w="100" w:type="dxa"/>
            </w:tcMar>
            <w:vAlign w:val="center"/>
          </w:tcPr>
          <w:p>
            <w:bookmarkStart w:id="2465" w:name="po_369"/>
            <w:r>
              <w:t>T2-PO-369</w:t>
            </w:r>
            <w:bookmarkEnd w:id="2465"/>
          </w:p>
        </w:tc>
        <w:tc>
          <w:tcPr>
            <w:tcW w:type="dxa" w:w="5112"/>
            <w:tcMar>
              <w:top w:w="90" w:type="dxa"/>
              <w:start w:w="100" w:type="dxa"/>
              <w:bottom w:w="90" w:type="dxa"/>
              <w:end w:w="100" w:type="dxa"/>
            </w:tcMar>
            <w:vAlign w:val="center"/>
          </w:tcPr>
          <w:p>
            <w:r>
              <w:t>Computable barrier construction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SOS/PDE/interval method</w:t>
            </w:r>
          </w:p>
        </w:tc>
      </w:tr>
      <w:tr>
        <w:trPr>
          <w:cantSplit/>
        </w:trPr>
        <w:tc>
          <w:tcPr>
            <w:tcW w:type="dxa" w:w="1512"/>
            <w:tcMar>
              <w:top w:w="90" w:type="dxa"/>
              <w:start w:w="100" w:type="dxa"/>
              <w:bottom w:w="90" w:type="dxa"/>
              <w:end w:w="100" w:type="dxa"/>
            </w:tcMar>
            <w:vAlign w:val="center"/>
          </w:tcPr>
          <w:p>
            <w:bookmarkStart w:id="2466" w:name="po_370"/>
            <w:r>
              <w:t>T2-PO-370</w:t>
            </w:r>
            <w:bookmarkEnd w:id="2466"/>
          </w:p>
        </w:tc>
        <w:tc>
          <w:tcPr>
            <w:tcW w:type="dxa" w:w="5112"/>
            <w:tcMar>
              <w:top w:w="90" w:type="dxa"/>
              <w:start w:w="100" w:type="dxa"/>
              <w:bottom w:w="90" w:type="dxa"/>
              <w:end w:w="100" w:type="dxa"/>
            </w:tcMar>
            <w:vAlign w:val="center"/>
          </w:tcPr>
          <w:p>
            <w:r>
              <w:t>Robust controlled barrier</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(22.13)</w:t>
            </w:r>
          </w:p>
        </w:tc>
      </w:tr>
      <w:tr>
        <w:trPr>
          <w:cantSplit/>
        </w:trPr>
        <w:tc>
          <w:tcPr>
            <w:tcW w:type="dxa" w:w="1512"/>
            <w:tcMar>
              <w:top w:w="90" w:type="dxa"/>
              <w:start w:w="100" w:type="dxa"/>
              <w:bottom w:w="90" w:type="dxa"/>
              <w:end w:w="100" w:type="dxa"/>
            </w:tcMar>
            <w:vAlign w:val="center"/>
          </w:tcPr>
          <w:p>
            <w:bookmarkStart w:id="2467" w:name="po_371"/>
            <w:r>
              <w:t>T2-PO-371</w:t>
            </w:r>
            <w:bookmarkEnd w:id="2467"/>
          </w:p>
        </w:tc>
        <w:tc>
          <w:tcPr>
            <w:tcW w:type="dxa" w:w="5112"/>
            <w:tcMar>
              <w:top w:w="90" w:type="dxa"/>
              <w:start w:w="100" w:type="dxa"/>
              <w:bottom w:w="90" w:type="dxa"/>
              <w:end w:w="100" w:type="dxa"/>
            </w:tcMar>
            <w:vAlign w:val="center"/>
          </w:tcPr>
          <w:p>
            <w:r>
              <w:t>Controlled Markov family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Control model</w:t>
            </w:r>
          </w:p>
        </w:tc>
      </w:tr>
      <w:tr>
        <w:trPr>
          <w:cantSplit/>
        </w:trPr>
        <w:tc>
          <w:tcPr>
            <w:tcW w:type="dxa" w:w="1512"/>
            <w:tcMar>
              <w:top w:w="90" w:type="dxa"/>
              <w:start w:w="100" w:type="dxa"/>
              <w:bottom w:w="90" w:type="dxa"/>
              <w:end w:w="100" w:type="dxa"/>
            </w:tcMar>
            <w:vAlign w:val="center"/>
          </w:tcPr>
          <w:p>
            <w:bookmarkStart w:id="2468" w:name="po_372"/>
            <w:r>
              <w:t>T2-PO-372</w:t>
            </w:r>
            <w:bookmarkEnd w:id="2468"/>
          </w:p>
        </w:tc>
        <w:tc>
          <w:tcPr>
            <w:tcW w:type="dxa" w:w="5112"/>
            <w:tcMar>
              <w:top w:w="90" w:type="dxa"/>
              <w:start w:w="100" w:type="dxa"/>
              <w:bottom w:w="90" w:type="dxa"/>
              <w:end w:w="100" w:type="dxa"/>
            </w:tcMar>
            <w:vAlign w:val="center"/>
          </w:tcPr>
          <w:p>
            <w:r>
              <w:t>Dynamic programming principle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Policy/compactness package</w:t>
            </w:r>
          </w:p>
        </w:tc>
      </w:tr>
      <w:tr>
        <w:trPr>
          <w:cantSplit/>
        </w:trPr>
        <w:tc>
          <w:tcPr>
            <w:tcW w:type="dxa" w:w="1512"/>
            <w:tcMar>
              <w:top w:w="90" w:type="dxa"/>
              <w:start w:w="100" w:type="dxa"/>
              <w:bottom w:w="90" w:type="dxa"/>
              <w:end w:w="100" w:type="dxa"/>
            </w:tcMar>
            <w:vAlign w:val="center"/>
          </w:tcPr>
          <w:p>
            <w:bookmarkStart w:id="2469" w:name="po_373"/>
            <w:r>
              <w:t>T2-PO-373</w:t>
            </w:r>
            <w:bookmarkEnd w:id="2469"/>
          </w:p>
        </w:tc>
        <w:tc>
          <w:tcPr>
            <w:tcW w:type="dxa" w:w="5112"/>
            <w:tcMar>
              <w:top w:w="90" w:type="dxa"/>
              <w:start w:w="100" w:type="dxa"/>
              <w:bottom w:w="90" w:type="dxa"/>
              <w:end w:w="100" w:type="dxa"/>
            </w:tcMar>
            <w:vAlign w:val="center"/>
          </w:tcPr>
          <w:p>
            <w:r>
              <w:t>HJB solution and verification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rPr>
          <w:cantSplit/>
        </w:trPr>
        <w:tc>
          <w:tcPr>
            <w:tcW w:type="dxa" w:w="1512"/>
            <w:tcMar>
              <w:top w:w="90" w:type="dxa"/>
              <w:start w:w="100" w:type="dxa"/>
              <w:bottom w:w="90" w:type="dxa"/>
              <w:end w:w="100" w:type="dxa"/>
            </w:tcMar>
            <w:vAlign w:val="center"/>
          </w:tcPr>
          <w:p>
            <w:bookmarkStart w:id="2470" w:name="po_374"/>
            <w:r>
              <w:t>T2-PO-374</w:t>
            </w:r>
            <w:bookmarkEnd w:id="2470"/>
          </w:p>
        </w:tc>
        <w:tc>
          <w:tcPr>
            <w:tcW w:type="dxa" w:w="5112"/>
            <w:tcMar>
              <w:top w:w="90" w:type="dxa"/>
              <w:start w:w="100" w:type="dxa"/>
              <w:bottom w:w="90" w:type="dxa"/>
              <w:end w:w="100" w:type="dxa"/>
            </w:tcMar>
            <w:vAlign w:val="center"/>
          </w:tcPr>
          <w:p>
            <w:r>
              <w:t>Forecast/control/intervention typing</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Раздел 310</w:t>
            </w:r>
          </w:p>
        </w:tc>
      </w:tr>
      <w:tr>
        <w:trPr>
          <w:cantSplit/>
        </w:trPr>
        <w:tc>
          <w:tcPr>
            <w:tcW w:type="dxa" w:w="1512"/>
            <w:tcMar>
              <w:top w:w="90" w:type="dxa"/>
              <w:start w:w="100" w:type="dxa"/>
              <w:bottom w:w="90" w:type="dxa"/>
              <w:end w:w="100" w:type="dxa"/>
            </w:tcMar>
            <w:vAlign w:val="center"/>
          </w:tcPr>
          <w:p>
            <w:bookmarkStart w:id="2471" w:name="po_375"/>
            <w:r>
              <w:t>T2-PO-375</w:t>
            </w:r>
            <w:bookmarkEnd w:id="2471"/>
          </w:p>
        </w:tc>
        <w:tc>
          <w:tcPr>
            <w:tcW w:type="dxa" w:w="5112"/>
            <w:tcMar>
              <w:top w:w="90" w:type="dxa"/>
              <w:start w:w="100" w:type="dxa"/>
              <w:bottom w:w="90" w:type="dxa"/>
              <w:end w:w="100" w:type="dxa"/>
            </w:tcMar>
            <w:vAlign w:val="center"/>
          </w:tcPr>
          <w:p>
            <w:r>
              <w:t>Observational-interventional no-go</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22.4</w:t>
            </w:r>
          </w:p>
        </w:tc>
      </w:tr>
      <w:tr>
        <w:trPr>
          <w:cantSplit/>
        </w:trPr>
        <w:tc>
          <w:tcPr>
            <w:tcW w:type="dxa" w:w="1512"/>
            <w:tcMar>
              <w:top w:w="90" w:type="dxa"/>
              <w:start w:w="100" w:type="dxa"/>
              <w:bottom w:w="90" w:type="dxa"/>
              <w:end w:w="100" w:type="dxa"/>
            </w:tcMar>
            <w:vAlign w:val="center"/>
          </w:tcPr>
          <w:p>
            <w:bookmarkStart w:id="2472" w:name="po_376"/>
            <w:r>
              <w:t>T2-PO-376</w:t>
            </w:r>
            <w:bookmarkEnd w:id="2472"/>
          </w:p>
        </w:tc>
        <w:tc>
          <w:tcPr>
            <w:tcW w:type="dxa" w:w="5112"/>
            <w:tcMar>
              <w:top w:w="90" w:type="dxa"/>
              <w:start w:w="100" w:type="dxa"/>
              <w:bottom w:w="90" w:type="dxa"/>
              <w:end w:w="100" w:type="dxa"/>
            </w:tcMar>
            <w:vAlign w:val="center"/>
          </w:tcPr>
          <w:p>
            <w:r>
              <w:t>Structural intervention kernel</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SCM/domain specific</w:t>
            </w:r>
          </w:p>
        </w:tc>
      </w:tr>
      <w:tr>
        <w:trPr>
          <w:cantSplit/>
        </w:trPr>
        <w:tc>
          <w:tcPr>
            <w:tcW w:type="dxa" w:w="1512"/>
            <w:tcMar>
              <w:top w:w="90" w:type="dxa"/>
              <w:start w:w="100" w:type="dxa"/>
              <w:bottom w:w="90" w:type="dxa"/>
              <w:end w:w="100" w:type="dxa"/>
            </w:tcMar>
            <w:vAlign w:val="center"/>
          </w:tcPr>
          <w:p>
            <w:bookmarkStart w:id="2473" w:name="po_377"/>
            <w:r>
              <w:t>T2-PO-377</w:t>
            </w:r>
            <w:bookmarkEnd w:id="2473"/>
          </w:p>
        </w:tc>
        <w:tc>
          <w:tcPr>
            <w:tcW w:type="dxa" w:w="5112"/>
            <w:tcMar>
              <w:top w:w="90" w:type="dxa"/>
              <w:start w:w="100" w:type="dxa"/>
              <w:bottom w:w="90" w:type="dxa"/>
              <w:end w:w="100" w:type="dxa"/>
            </w:tcMar>
            <w:vAlign w:val="center"/>
          </w:tcPr>
          <w:p>
            <w:r>
              <w:t>Sequential exchangeability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Evidence-D required</w:t>
            </w:r>
          </w:p>
        </w:tc>
      </w:tr>
      <w:tr>
        <w:trPr>
          <w:cantSplit/>
        </w:trPr>
        <w:tc>
          <w:tcPr>
            <w:tcW w:type="dxa" w:w="1512"/>
            <w:tcMar>
              <w:top w:w="90" w:type="dxa"/>
              <w:start w:w="100" w:type="dxa"/>
              <w:bottom w:w="90" w:type="dxa"/>
              <w:end w:w="100" w:type="dxa"/>
            </w:tcMar>
            <w:vAlign w:val="center"/>
          </w:tcPr>
          <w:p>
            <w:bookmarkStart w:id="2474" w:name="po_378"/>
            <w:r>
              <w:t>T2-PO-378</w:t>
            </w:r>
            <w:bookmarkEnd w:id="2474"/>
          </w:p>
        </w:tc>
        <w:tc>
          <w:tcPr>
            <w:tcW w:type="dxa" w:w="5112"/>
            <w:tcMar>
              <w:top w:w="90" w:type="dxa"/>
              <w:start w:w="100" w:type="dxa"/>
              <w:bottom w:w="90" w:type="dxa"/>
              <w:end w:w="100" w:type="dxa"/>
            </w:tcMar>
            <w:vAlign w:val="center"/>
          </w:tcPr>
          <w:p>
            <w:r>
              <w:t>Positivity and consistency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Evidence-D required</w:t>
            </w:r>
          </w:p>
        </w:tc>
      </w:tr>
      <w:tr>
        <w:trPr>
          <w:cantSplit/>
        </w:trPr>
        <w:tc>
          <w:tcPr>
            <w:tcW w:type="dxa" w:w="1512"/>
            <w:tcMar>
              <w:top w:w="90" w:type="dxa"/>
              <w:start w:w="100" w:type="dxa"/>
              <w:bottom w:w="90" w:type="dxa"/>
              <w:end w:w="100" w:type="dxa"/>
            </w:tcMar>
            <w:vAlign w:val="center"/>
          </w:tcPr>
          <w:p>
            <w:bookmarkStart w:id="2475" w:name="po_379"/>
            <w:r>
              <w:t>T2-PO-379</w:t>
            </w:r>
            <w:bookmarkEnd w:id="2475"/>
          </w:p>
        </w:tc>
        <w:tc>
          <w:tcPr>
            <w:tcW w:type="dxa" w:w="5112"/>
            <w:tcMar>
              <w:top w:w="90" w:type="dxa"/>
              <w:start w:w="100" w:type="dxa"/>
              <w:bottom w:w="90" w:type="dxa"/>
              <w:end w:w="100" w:type="dxa"/>
            </w:tcMar>
            <w:vAlign w:val="center"/>
          </w:tcPr>
          <w:p>
            <w:r>
              <w:t>g-formula identification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PO-377–378</w:t>
            </w:r>
          </w:p>
        </w:tc>
      </w:tr>
      <w:tr>
        <w:trPr>
          <w:cantSplit/>
        </w:trPr>
        <w:tc>
          <w:tcPr>
            <w:tcW w:type="dxa" w:w="1512"/>
            <w:tcMar>
              <w:top w:w="90" w:type="dxa"/>
              <w:start w:w="100" w:type="dxa"/>
              <w:bottom w:w="90" w:type="dxa"/>
              <w:end w:w="100" w:type="dxa"/>
            </w:tcMar>
            <w:vAlign w:val="center"/>
          </w:tcPr>
          <w:p>
            <w:bookmarkStart w:id="2476" w:name="po_380"/>
            <w:r>
              <w:t>T2-PO-380</w:t>
            </w:r>
            <w:bookmarkEnd w:id="2476"/>
          </w:p>
        </w:tc>
        <w:tc>
          <w:tcPr>
            <w:tcW w:type="dxa" w:w="5112"/>
            <w:tcMar>
              <w:top w:w="90" w:type="dxa"/>
              <w:start w:w="100" w:type="dxa"/>
              <w:bottom w:w="90" w:type="dxa"/>
              <w:end w:w="100" w:type="dxa"/>
            </w:tcMar>
            <w:vAlign w:val="center"/>
          </w:tcPr>
          <w:p>
            <w:r>
              <w:t>Counterfactual carrier</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Structural model</w:t>
            </w:r>
          </w:p>
        </w:tc>
      </w:tr>
      <w:tr>
        <w:trPr>
          <w:cantSplit/>
        </w:trPr>
        <w:tc>
          <w:tcPr>
            <w:tcW w:type="dxa" w:w="1512"/>
            <w:tcMar>
              <w:top w:w="90" w:type="dxa"/>
              <w:start w:w="100" w:type="dxa"/>
              <w:bottom w:w="90" w:type="dxa"/>
              <w:end w:w="100" w:type="dxa"/>
            </w:tcMar>
            <w:vAlign w:val="center"/>
          </w:tcPr>
          <w:p>
            <w:bookmarkStart w:id="2477" w:name="po_381"/>
            <w:r>
              <w:t>T2-PO-381</w:t>
            </w:r>
            <w:bookmarkEnd w:id="2477"/>
          </w:p>
        </w:tc>
        <w:tc>
          <w:tcPr>
            <w:tcW w:type="dxa" w:w="5112"/>
            <w:tcMar>
              <w:top w:w="90" w:type="dxa"/>
              <w:start w:w="100" w:type="dxa"/>
              <w:bottom w:w="90" w:type="dxa"/>
              <w:end w:w="100" w:type="dxa"/>
            </w:tcMar>
            <w:vAlign w:val="center"/>
          </w:tcPr>
          <w:p>
            <w:r>
              <w:t>Stochastic Reper adaptedness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rPr>
          <w:cantSplit/>
        </w:trPr>
        <w:tc>
          <w:tcPr>
            <w:tcW w:type="dxa" w:w="1512"/>
            <w:tcMar>
              <w:top w:w="90" w:type="dxa"/>
              <w:start w:w="100" w:type="dxa"/>
              <w:bottom w:w="90" w:type="dxa"/>
              <w:end w:w="100" w:type="dxa"/>
            </w:tcMar>
            <w:vAlign w:val="center"/>
          </w:tcPr>
          <w:p>
            <w:bookmarkStart w:id="2478" w:name="po_382"/>
            <w:r>
              <w:t>T2-PO-382</w:t>
            </w:r>
            <w:bookmarkEnd w:id="2478"/>
          </w:p>
        </w:tc>
        <w:tc>
          <w:tcPr>
            <w:tcW w:type="dxa" w:w="5112"/>
            <w:tcMar>
              <w:top w:w="90" w:type="dxa"/>
              <w:start w:w="100" w:type="dxa"/>
              <w:bottom w:w="90" w:type="dxa"/>
              <w:end w:w="100" w:type="dxa"/>
            </w:tcMar>
            <w:vAlign w:val="center"/>
          </w:tcPr>
          <w:p>
            <w:r>
              <w:t>λ Itô formula and pole control</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Smooth chart sector</w:t>
            </w:r>
          </w:p>
        </w:tc>
      </w:tr>
      <w:tr>
        <w:trPr>
          <w:cantSplit/>
        </w:trPr>
        <w:tc>
          <w:tcPr>
            <w:tcW w:type="dxa" w:w="1512"/>
            <w:tcMar>
              <w:top w:w="90" w:type="dxa"/>
              <w:start w:w="100" w:type="dxa"/>
              <w:bottom w:w="90" w:type="dxa"/>
              <w:end w:w="100" w:type="dxa"/>
            </w:tcMar>
            <w:vAlign w:val="center"/>
          </w:tcPr>
          <w:p>
            <w:bookmarkStart w:id="2479" w:name="po_383"/>
            <w:r>
              <w:t>T2-PO-383</w:t>
            </w:r>
            <w:bookmarkEnd w:id="2479"/>
          </w:p>
        </w:tc>
        <w:tc>
          <w:tcPr>
            <w:tcW w:type="dxa" w:w="5112"/>
            <w:tcMar>
              <w:top w:w="90" w:type="dxa"/>
              <w:start w:w="100" w:type="dxa"/>
              <w:bottom w:w="90" w:type="dxa"/>
              <w:end w:w="100" w:type="dxa"/>
            </w:tcMar>
            <w:vAlign w:val="center"/>
          </w:tcPr>
          <w:p>
            <w:r>
              <w:t>Harmonic-locus stochastic invariance</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(22.21)</w:t>
            </w:r>
          </w:p>
        </w:tc>
      </w:tr>
      <w:tr>
        <w:trPr>
          <w:cantSplit/>
        </w:trPr>
        <w:tc>
          <w:tcPr>
            <w:tcW w:type="dxa" w:w="1512"/>
            <w:tcMar>
              <w:top w:w="90" w:type="dxa"/>
              <w:start w:w="100" w:type="dxa"/>
              <w:bottom w:w="90" w:type="dxa"/>
              <w:end w:w="100" w:type="dxa"/>
            </w:tcMar>
            <w:vAlign w:val="center"/>
          </w:tcPr>
          <w:p>
            <w:bookmarkStart w:id="2480" w:name="po_384"/>
            <w:r>
              <w:t>T2-PO-384</w:t>
            </w:r>
            <w:bookmarkEnd w:id="2480"/>
          </w:p>
        </w:tc>
        <w:tc>
          <w:tcPr>
            <w:tcW w:type="dxa" w:w="5112"/>
            <w:tcMar>
              <w:top w:w="90" w:type="dxa"/>
              <w:start w:w="100" w:type="dxa"/>
              <w:bottom w:w="90" w:type="dxa"/>
              <w:end w:w="100" w:type="dxa"/>
            </w:tcMar>
            <w:vAlign w:val="center"/>
          </w:tcPr>
          <w:p>
            <w:r>
              <w:t>Martingale residual external test</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data</w:t>
            </w:r>
          </w:p>
        </w:tc>
      </w:tr>
      <w:tr>
        <w:trPr>
          <w:cantSplit/>
        </w:trPr>
        <w:tc>
          <w:tcPr>
            <w:tcW w:type="dxa" w:w="1512"/>
            <w:tcMar>
              <w:top w:w="90" w:type="dxa"/>
              <w:start w:w="100" w:type="dxa"/>
              <w:bottom w:w="90" w:type="dxa"/>
              <w:end w:w="100" w:type="dxa"/>
            </w:tcMar>
            <w:vAlign w:val="center"/>
          </w:tcPr>
          <w:p>
            <w:bookmarkStart w:id="2481" w:name="po_385"/>
            <w:r>
              <w:t>T2-PO-385</w:t>
            </w:r>
            <w:bookmarkEnd w:id="2481"/>
          </w:p>
        </w:tc>
        <w:tc>
          <w:tcPr>
            <w:tcW w:type="dxa" w:w="5112"/>
            <w:tcMar>
              <w:top w:w="90" w:type="dxa"/>
              <w:start w:w="100" w:type="dxa"/>
              <w:bottom w:w="90" w:type="dxa"/>
              <w:end w:w="100" w:type="dxa"/>
            </w:tcMar>
            <w:vAlign w:val="center"/>
          </w:tcPr>
          <w:p>
            <w:r>
              <w:t>Main safe theorem v0.19</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Все H1–H12</w:t>
            </w:r>
          </w:p>
        </w:tc>
      </w:tr>
      <w:tr>
        <w:trPr>
          <w:cantSplit/>
        </w:trPr>
        <w:tc>
          <w:tcPr>
            <w:tcW w:type="dxa" w:w="1512"/>
            <w:tcMar>
              <w:top w:w="90" w:type="dxa"/>
              <w:start w:w="100" w:type="dxa"/>
              <w:bottom w:w="90" w:type="dxa"/>
              <w:end w:w="100" w:type="dxa"/>
            </w:tcMar>
            <w:vAlign w:val="center"/>
          </w:tcPr>
          <w:p>
            <w:bookmarkStart w:id="2482" w:name="po_386"/>
            <w:r>
              <w:t>T2-PO-386</w:t>
            </w:r>
            <w:bookmarkEnd w:id="2482"/>
          </w:p>
        </w:tc>
        <w:tc>
          <w:tcPr>
            <w:tcW w:type="dxa" w:w="5112"/>
            <w:tcMar>
              <w:top w:w="90" w:type="dxa"/>
              <w:start w:w="100" w:type="dxa"/>
              <w:bottom w:w="90" w:type="dxa"/>
              <w:end w:w="100" w:type="dxa"/>
            </w:tcMar>
            <w:vAlign w:val="center"/>
          </w:tcPr>
          <w:p>
            <w:r>
              <w:t>Physical/causal export and EXT-RUN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bridge</w:t>
            </w:r>
          </w:p>
        </w:tc>
      </w:tr>
    </w:tbl>
    <w:p>
      <w:bookmarkStart w:id="1258" w:name="h_3092"/>
      <w:pPr>
        <w:pStyle w:val="Heading1"/>
      </w:pPr>
      <w:r>
        <w:t>326. Prior art и граница авторского вклада</w:t>
      </w:r>
      <w:bookmarkEnd w:id="1258"/>
    </w:p>
    <w:p>
      <w:pPr/>
      <w:r>
        <w:t>Классический prior art главы включает Feller/Dynkin semigroup theory, diffusion martingale problems Струка–Варадхана, stochastic calculus Ито, change of measure Гирсанова, stopping-time/martingale theory Дуба, controlled Markov processes и dynamic programming, а также структурные интервенции и g-computation. Авторский слой Тома II состоит в их типизированном соединении с NAPG/KLT-RBD, Reper-path, λ/CGI, Evidence-D, transition horizons, вычислительными сертификатами и многоступенчатым verdict, не смешивающим прогноз, управление и причинность.</w:t>
      </w:r>
    </w:p>
    <w:p>
      <w:pPr/>
      <w:r>
        <w:t>[V0.19-1] Feller, W. Semi-groups of transformations in general weak topologies. Annals of Mathematics 57 (1953), 287–308. [первичный источник]</w:t>
      </w:r>
    </w:p>
    <w:p>
      <w:pPr/>
      <w:r>
        <w:t>[V0.19-2] Dynkin, E. B. Markov processes and semigroups of operators. Theory of Probability and Its Applications 1 (1956), 22–33. DOI 10.1137/1101003. [первичный источник]</w:t>
      </w:r>
    </w:p>
    <w:p>
      <w:pPr/>
      <w:r>
        <w:t>[V0.19-3] Stroock, D. W.; Varadhan, S. R. S. Diffusion processes with continuous coefficients I–II. Communications on Pure and Applied Mathematics 22 (1969), 345–400, 479–530. DOI 10.1002/cpa.3160220304; 10.1002/cpa.3160220404. [первичный источник]</w:t>
      </w:r>
    </w:p>
    <w:p>
      <w:pPr/>
      <w:r>
        <w:t>[V0.19-4] Itô, K. On stochastic differential equations. Memoirs, American Mathematical Society 4 (1951). [первичный источник]</w:t>
      </w:r>
    </w:p>
    <w:p>
      <w:pPr/>
      <w:r>
        <w:t>[V0.19-5] Girsanov, I. V. On transforming a certain class of stochastic processes by absolutely continuous substitution of measures. Theory of Probability and Its Applications 5 (1960), 285–301. [первичный источник]</w:t>
      </w:r>
    </w:p>
    <w:p>
      <w:pPr/>
      <w:r>
        <w:t>[V0.19-6] Doob, J. L. Stochastic Processes. Wiley, 1953. [первичная монография]</w:t>
      </w:r>
    </w:p>
    <w:p>
      <w:pPr/>
      <w:r>
        <w:t>[V0.19-7] Bellman, R. Dynamic Programming. Princeton University Press, 1957. [первичная монография]</w:t>
      </w:r>
    </w:p>
    <w:p>
      <w:pPr/>
      <w:r>
        <w:t>[V0.19-8] Robins, J. M. The role of model selection in causal inference from nonexperimental data. American Journal of Epidemiology 123 (1986), 392–402. DOI 10.1093/oxfordjournals.aje.a114254. [первичный источник]</w:t>
      </w:r>
    </w:p>
    <w:p>
      <w:pPr/>
      <w:r>
        <w:t>[V0.19-9] Pearl, J. Causal diagrams for empirical research. Biometrika 82 (1995), 669–688. [первичный источник]</w:t>
      </w:r>
    </w:p>
    <w:p>
      <w:pPr/>
      <w:r>
        <w:t>[V0.19-10] Kurpishev, I. B. Том I v197 RU; Том II T2-RP-v0.1–v0.18. [внутренний авторский корпус]</w:t>
      </w:r>
    </w:p>
    <w:p>
      <w:pPr>
        <w:pStyle w:val="Small"/>
      </w:pPr>
      <w:r>
        <w:t>Замороженный Том I v197 RU уже фиксирует независимую проверку, sequential validity и causal-limit discipline; настоящая глава добавляет stochastic generator, stopping/control и intervention carriers, не повышая статусов.</w:t>
      </w:r>
    </w:p>
    <w:p>
      <w:bookmarkStart w:id="1259" w:name="h_3105"/>
      <w:pPr>
        <w:pStyle w:val="Heading1"/>
      </w:pPr>
      <w:r>
        <w:t>327. Контрольная точка и граница вывода</w:t>
      </w:r>
      <w:bookmarkEnd w:id="1259"/>
    </w:p>
    <w:p>
      <w:bookmarkStart w:id="2021" w:name="f_22_28"/>
      <w:pPr>
        <w:pStyle w:val="Quote"/>
        <w:jc w:val="center"/>
      </w:pPr>
      <w:r>
        <w:t>truth_layer_promotion=0; checkpoint=T2-RP-v0.19; next=T2-RP-v0.20.  (22.28)</w:t>
      </w:r>
      <w:bookmarkEnd w:id="2021"/>
    </w:p>
    <w:p>
      <w:pPr/>
      <w:r>
        <w:t>Глава 22 построила стохастический предсказательный интерфейс: Markov/Feller semigroup задаёт наблюдательную эволюцию закона; generator и martingale problem дают аналитико-вероятностную спецификацию; stopping/barrier layer даёт строгие границы first-passage risk; controlled family задаёт policy-dependent laws; structural intervention model отдельно задаёт causal law.</w:t>
      </w:r>
    </w:p>
    <w:p>
      <w:pPr>
        <w:pStyle w:val="Lead"/>
      </w:pPr>
      <w:r>
        <w:t>Ключевой итог: точный отрицательный прогноз возможен при нулевом сертифицированном hitting bound. Положительная малая вероятность остаётся вероятностью, а не невозможностью. Наблюдательный закон не определяет intervention law без идентифицирующих предпосылок.</w:t>
      </w:r>
    </w:p>
    <w:p>
      <w:pPr>
        <w:pStyle w:val="Small"/>
      </w:pPr>
      <w:r>
        <w:t>Следующая сборка tom2_v0_20 развивает large deviations, risk-sensitive semigroups, rare-event geometry, robust ambiguity sets, distributionally robust barriers и finite-sample certification редких переходов.</w:t>
      </w:r>
    </w:p>
    <w:p>
      <w:pPr>
        <w:pStyle w:val="Small"/>
      </w:pPr>
      <w:r>
        <w:t>checkpoint=T2-RP-v0.19; source=T2-RP-v0.18; truth_layer_promotion=0; next=T2-RP-v0.20.</w:t>
      </w:r>
    </w:p>
    <w:p>
      <w:r>
        <w:br w:type="page"/>
      </w:r>
    </w:p>
    <w:p>
      <w:bookmarkStart w:id="1260" w:name="h_3112"/>
      <w:pPr>
        <w:pStyle w:val="Heading1"/>
      </w:pPr>
      <w:r>
        <w:t>Глава 23. Large deviations, risk-sensitive semigroups, геометрия редких событий и конечновыборочная сертификация</w:t>
      </w:r>
      <w:bookmarkEnd w:id="1260"/>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Редкое событие не является “почти несуществующим” объектом. Оно является измеримым множеством путей, конфигураций или реперных состояний, вероятность которого изучается в определённом масштабе и топологии.</w:t>
            </w:r>
          </w:p>
        </w:tc>
      </w:tr>
      <w:tr>
        <w:trPr>
          <w:cantSplit/>
        </w:trP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Large-deviation principle сообщает экспоненциальный порядок вероятности, но не точную вероятность при конечном объёме данных. Risk-sensitive functional сообщает экспоненциально взвешенную стоимость, но не частоту события.</w:t>
            </w:r>
          </w:p>
        </w:tc>
      </w:tr>
      <w:tr>
        <w:trPr>
          <w:cantSplit/>
        </w:trP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Редкий переход проявляется как траектория, преодолевающая action barrier. Наиболее вероятный путь редкого события является вариационным кандидатом, а не зарегистрированным будущим.</w:t>
            </w:r>
          </w:p>
        </w:tc>
      </w:tr>
      <w:tr>
        <w:trPr>
          <w:cantSplit/>
        </w:trP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Асимптотика, собственное значение, квазипотенциал, отсутствие наблюдённых событий и λ-близость не разрешают вывод “событие невозможно”. Требуются finite-n bound, coverage, D/Dom и внешний тест.</w:t>
            </w:r>
          </w:p>
        </w:tc>
      </w:tr>
    </w:tbl>
    <w:p>
      <w:pPr>
        <w:pStyle w:val="Lead"/>
      </w:pPr>
      <w:r>
        <w:t>Статус главы: theorem/conditional/computational package. Глава строит редкособытийный слой над stochastic carrier v0.19 и сохраняет раздельность математического, вероятностного, причинного и физического статусов.</w:t>
      </w:r>
    </w:p>
    <w:p>
      <w:bookmarkStart w:id="2022" w:name="f_23_1"/>
      <w:pPr>
        <w:pStyle w:val="Quote"/>
        <w:jc w:val="center"/>
      </w:pPr>
      <w:r>
        <w:t>truth_layer_promotion=0; source=T2-RP-v0.19; checkpoint=T2-RP-v0.20.  (23.1)</w:t>
      </w:r>
      <w:bookmarkEnd w:id="2022"/>
    </w:p>
    <w:p>
      <w:bookmarkStart w:id="1261" w:name="h_3115"/>
      <w:pPr>
        <w:pStyle w:val="Heading1"/>
      </w:pPr>
      <w:r>
        <w:t>329. Четыре уровня редкособытийного вывода</w:t>
      </w:r>
      <w:bookmarkEnd w:id="1261"/>
    </w:p>
    <w:p>
      <w:pPr>
        <w:pStyle w:val="Heading2"/>
      </w:pPr>
      <w:r>
        <w:t>Типизированная лестница</w:t>
      </w:r>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rPr>
          <w:cantSplit/>
        </w:trPr>
        <w:tc>
          <w:tcPr>
            <w:tcW w:type="dxa" w:w="3168"/>
            <w:tcMar>
              <w:top w:w="90" w:type="dxa"/>
              <w:start w:w="100" w:type="dxa"/>
              <w:bottom w:w="90" w:type="dxa"/>
              <w:end w:w="100" w:type="dxa"/>
            </w:tcMar>
            <w:vAlign w:val="center"/>
          </w:tcPr>
          <w:p>
            <w:r>
              <w:t>L0: support impossibility</w:t>
            </w:r>
          </w:p>
        </w:tc>
        <w:tc>
          <w:tcPr>
            <w:tcW w:type="dxa" w:w="6480"/>
            <w:tcMar>
              <w:top w:w="90" w:type="dxa"/>
              <w:start w:w="100" w:type="dxa"/>
              <w:bottom w:w="90" w:type="dxa"/>
              <w:end w:w="100" w:type="dxa"/>
            </w:tcMar>
            <w:vAlign w:val="center"/>
          </w:tcPr>
          <w:p>
            <w:r>
              <w:t>Целевое множество не пересекает допустимый support или достижимое множество. Только здесь возможна точная вероятность 0 внутри модели.</w:t>
            </w:r>
          </w:p>
        </w:tc>
      </w:tr>
      <w:tr>
        <w:trPr>
          <w:cantSplit/>
        </w:trPr>
        <w:tc>
          <w:tcPr>
            <w:tcW w:type="dxa" w:w="3168"/>
            <w:tcMar>
              <w:top w:w="90" w:type="dxa"/>
              <w:start w:w="100" w:type="dxa"/>
              <w:bottom w:w="90" w:type="dxa"/>
              <w:end w:w="100" w:type="dxa"/>
            </w:tcMar>
            <w:vAlign w:val="center"/>
          </w:tcPr>
          <w:p>
            <w:r>
              <w:t>L1: finite-sample risk bound</w:t>
            </w:r>
          </w:p>
        </w:tc>
        <w:tc>
          <w:tcPr>
            <w:tcW w:type="dxa" w:w="6480"/>
            <w:tcMar>
              <w:top w:w="90" w:type="dxa"/>
              <w:start w:w="100" w:type="dxa"/>
              <w:bottom w:w="90" w:type="dxa"/>
              <w:end w:w="100" w:type="dxa"/>
            </w:tcMar>
            <w:vAlign w:val="center"/>
          </w:tcPr>
          <w:p>
            <w:r>
              <w:t>С вероятностью не ниже 1-β по данным доказано P(A)≤α. Это конечновыборочная граница, а не асимптотика.</w:t>
            </w:r>
          </w:p>
        </w:tc>
      </w:tr>
      <w:tr>
        <w:trPr>
          <w:cantSplit/>
        </w:trPr>
        <w:tc>
          <w:tcPr>
            <w:tcW w:type="dxa" w:w="3168"/>
            <w:tcMar>
              <w:top w:w="90" w:type="dxa"/>
              <w:start w:w="100" w:type="dxa"/>
              <w:bottom w:w="90" w:type="dxa"/>
              <w:end w:w="100" w:type="dxa"/>
            </w:tcMar>
            <w:vAlign w:val="center"/>
          </w:tcPr>
          <w:p>
            <w:r>
              <w:t>L2: exponential suppression</w:t>
            </w:r>
          </w:p>
        </w:tc>
        <w:tc>
          <w:tcPr>
            <w:tcW w:type="dxa" w:w="6480"/>
            <w:tcMar>
              <w:top w:w="90" w:type="dxa"/>
              <w:start w:w="100" w:type="dxa"/>
              <w:bottom w:w="90" w:type="dxa"/>
              <w:end w:w="100" w:type="dxa"/>
            </w:tcMar>
            <w:vAlign w:val="center"/>
          </w:tcPr>
          <w:p>
            <w:r>
              <w:t>Доказан LDP и положительный rate barrier c_A. Получается логарифмическая асимптотика или eventual bound.</w:t>
            </w:r>
          </w:p>
        </w:tc>
      </w:tr>
      <w:tr>
        <w:trPr>
          <w:cantSplit/>
        </w:trPr>
        <w:tc>
          <w:tcPr>
            <w:tcW w:type="dxa" w:w="3168"/>
            <w:tcMar>
              <w:top w:w="90" w:type="dxa"/>
              <w:start w:w="100" w:type="dxa"/>
              <w:bottom w:w="90" w:type="dxa"/>
              <w:end w:w="100" w:type="dxa"/>
            </w:tcMar>
            <w:vAlign w:val="center"/>
          </w:tcPr>
          <w:p>
            <w:r>
              <w:t>L3: low-action candidate</w:t>
            </w:r>
          </w:p>
        </w:tc>
        <w:tc>
          <w:tcPr>
            <w:tcW w:type="dxa" w:w="6480"/>
            <w:tcMar>
              <w:top w:w="90" w:type="dxa"/>
              <w:start w:w="100" w:type="dxa"/>
              <w:bottom w:w="90" w:type="dxa"/>
              <w:end w:w="100" w:type="dxa"/>
            </w:tcMar>
            <w:vAlign w:val="center"/>
          </w:tcPr>
          <w:p>
            <w:r>
              <w:t>Найден минимально-действующий путь или малый rate. Это кандидат редкого перехода, не его наступление.</w:t>
            </w:r>
          </w:p>
        </w:tc>
      </w:tr>
      <w:tr>
        <w:trPr>
          <w:cantSplit/>
        </w:trPr>
        <w:tc>
          <w:tcPr>
            <w:tcW w:type="dxa" w:w="3168"/>
            <w:tcMar>
              <w:top w:w="90" w:type="dxa"/>
              <w:start w:w="100" w:type="dxa"/>
              <w:bottom w:w="90" w:type="dxa"/>
              <w:end w:w="100" w:type="dxa"/>
            </w:tcMar>
            <w:vAlign w:val="center"/>
          </w:tcPr>
          <w:p>
            <w:r>
              <w:t>L4: empirical event</w:t>
            </w:r>
          </w:p>
        </w:tc>
        <w:tc>
          <w:tcPr>
            <w:tcW w:type="dxa" w:w="6480"/>
            <w:tcMar>
              <w:top w:w="90" w:type="dxa"/>
              <w:start w:w="100" w:type="dxa"/>
              <w:bottom w:w="90" w:type="dxa"/>
              <w:end w:w="100" w:type="dxa"/>
            </w:tcMar>
            <w:vAlign w:val="center"/>
          </w:tcPr>
          <w:p>
            <w:r>
              <w:t>Событие зарегистрировано независимым наблюдением. Только этот слой сообщает фактическое наступление.</w:t>
            </w:r>
          </w:p>
        </w:tc>
      </w:tr>
    </w:tbl>
    <w:p>
      <w:pPr/>
      <w:r>
        <w:t>Основной firewall главы: L2 не подменяет L1, а L3 не подменяет L4. Человеческая любовь к одному числу на все случаи вновь подвергнута ограничению области определения.</w:t>
      </w:r>
    </w:p>
    <w:p>
      <w:bookmarkStart w:id="1262" w:name="h_3118"/>
      <w:pPr>
        <w:pStyle w:val="Heading1"/>
      </w:pPr>
      <w:r>
        <w:t>330. Определение large-deviation principle</w:t>
      </w:r>
      <w:bookmarkEnd w:id="1262"/>
    </w:p>
    <w:p>
      <w:pPr/>
      <w:r>
        <w:t>Пусть Z_n принимает значения в хаусдорфовом топологическом пространстве 𝒳, а a_n→∞ является скоростью. Функция I:𝒳→[0,∞] называется rate function, если она полунепрерывна снизу; good rate function имеет компактные подуровни {I≤c}. Семейство удовлетворяет LDP, если для всякого борелевского A</w:t>
      </w:r>
    </w:p>
    <w:p>
      <w:bookmarkStart w:id="2023" w:name="f_23_2"/>
      <w:pPr>
        <w:pStyle w:val="Quote"/>
        <w:jc w:val="center"/>
      </w:pPr>
      <w:r>
        <w:t>-inf_{x∈A°} I(x) ≤ liminf_n a_n^{-1}log P(Z_n∈A) ≤ limsup_n a_n^{-1}log P(Z_n∈A) ≤ -inf_{x∈cl A}I(x).  (23.2)</w:t>
      </w:r>
      <w:bookmarkEnd w:id="2023"/>
    </w:p>
    <w:p>
      <w:pPr/>
      <w:r>
        <w:t>Верхняя и нижняя оценки используют разные регуляризации множества. Равенство экспоненты получается только для I-continuity sets, где inf по внутренности и замыканию совпадает.</w:t>
      </w:r>
    </w:p>
    <w:p>
      <w:bookmarkStart w:id="1263" w:name="h_3122"/>
      <w:pPr>
        <w:pStyle w:val="Heading1"/>
      </w:pPr>
      <w:r>
        <w:t>331. Экспоненциальная tightness и good rate</w:t>
      </w:r>
      <w:bookmarkEnd w:id="1263"/>
    </w:p>
    <w:p>
      <w:pPr/>
      <w:r>
        <w:t>Экспоненциальная tightness означает: для каждого M существует компакт K_M, для которого</w:t>
      </w:r>
    </w:p>
    <w:p>
      <w:bookmarkStart w:id="2024" w:name="f_23_3"/>
      <w:pPr>
        <w:pStyle w:val="Quote"/>
        <w:jc w:val="center"/>
      </w:pPr>
      <w:r>
        <w:t>limsup_n a_n^{-1}log P(Z_n∉K_M) ≤ -M.  (23.3)</w:t>
      </w:r>
      <w:bookmarkEnd w:id="2024"/>
    </w:p>
    <w:p>
      <w:pPr/>
      <w:r>
        <w:t>Она позволяет усиливать weak LDP на компактах до полной верхней оценки на замкнутых множествах при стандартных условиях. В бесконечномерных path spaces compactness является отдельным доказательным обязательством; ограниченность нормы обычно недостаточна.</w:t>
      </w:r>
    </w:p>
    <w:p>
      <w:bookmarkStart w:id="1264" w:name="h_3126"/>
      <w:pPr>
        <w:pStyle w:val="Heading1"/>
      </w:pPr>
      <w:r>
        <w:t>332. Contraction principle</w:t>
      </w:r>
      <w:bookmarkEnd w:id="1264"/>
    </w:p>
    <w:p>
      <w:bookmarkStart w:id="1674" w:name="s_THM_23_1"/>
      <w:pPr/>
      <w:r>
        <w:t>Теорема 23.1 (contraction principle). [THM/prior art] Если Z_n удовлетворяет LDP на 𝒳 с good rate I и F:𝒳→𝒴 непрерывно, то Y_n=F(Z_n) удовлетворяет LDP с rate</w:t>
      </w:r>
      <w:bookmarkEnd w:id="1674"/>
    </w:p>
    <w:p>
      <w:bookmarkStart w:id="2025" w:name="f_23_4"/>
      <w:pPr>
        <w:pStyle w:val="Quote"/>
        <w:jc w:val="center"/>
      </w:pPr>
      <w:r>
        <w:t>J(y)=inf{I(x):F(x)=y},    inf∅=∞.  (23.4)</w:t>
      </w:r>
      <w:bookmarkEnd w:id="2025"/>
    </w:p>
    <w:p>
      <w:pPr/>
      <w:r>
        <w:t>Для KLT-RBD отображением F может быть λ-координата, obstruction profile, hitting functional или projection к конечному реперному графу. Непрерывность проверяется в выбранной топологии; у полюсов кросс-соотношения contraction principle напрямую неприменим.</w:t>
      </w:r>
    </w:p>
    <w:p>
      <w:pPr>
        <w:jc w:val="center"/>
      </w:pPr>
      <w:r>
        <w:drawing>
          <wp:inline xmlns:a="http://schemas.openxmlformats.org/drawingml/2006/main" xmlns:pic="http://schemas.openxmlformats.org/drawingml/2006/picture">
            <wp:extent cx="6126480" cy="4034006"/>
            <wp:docPr id="61" name="Picture 61" descr="Рисунок 23.1. Large-deviation pipeline и доказательный firewall. Собственная схема Тома II." title="Рисунок 23.1. Large-deviation pipeline и доказательный firewall. Собственная схема Тома II."/>
            <wp:cNvGraphicFramePr>
              <a:graphicFrameLocks noChangeAspect="1"/>
            </wp:cNvGraphicFramePr>
            <a:graphic>
              <a:graphicData uri="http://schemas.openxmlformats.org/drawingml/2006/picture">
                <pic:pic>
                  <pic:nvPicPr>
                    <pic:cNvPr id="0" name="fig23_1.png" descr="Рисунок 23.1. Large-deviation pipeline и доказательный firewall. Собственная схема Тома II." title="Рисунок 23.1. Large-deviation pipeline и доказательный firewall. Собственная схема Тома II."/>
                    <pic:cNvPicPr/>
                  </pic:nvPicPr>
                  <pic:blipFill>
                    <a:blip r:embed="rId98"/>
                    <a:stretch>
                      <a:fillRect/>
                    </a:stretch>
                  </pic:blipFill>
                  <pic:spPr>
                    <a:xfrm>
                      <a:off x="0" y="0"/>
                      <a:ext cx="6126480" cy="4034006"/>
                    </a:xfrm>
                    <a:prstGeom prst="rect"/>
                  </pic:spPr>
                </pic:pic>
              </a:graphicData>
            </a:graphic>
          </wp:inline>
        </w:drawing>
      </w:r>
    </w:p>
    <w:p>
      <w:pPr>
        <w:pStyle w:val="Caption"/>
        <w:jc w:val="center"/>
      </w:pPr>
      <w:r>
        <w:t>Рисунок 23.1. Large-deviation pipeline и доказательный firewall. Собственная схема Тома II.</w:t>
      </w:r>
    </w:p>
    <w:p>
      <w:bookmarkStart w:id="1265" w:name="h_3132"/>
      <w:pPr>
        <w:pStyle w:val="Heading1"/>
      </w:pPr>
      <w:r>
        <w:t>333. Laplace principle и лемма Варадана</w:t>
      </w:r>
      <w:bookmarkEnd w:id="1265"/>
    </w:p>
    <w:p>
      <w:pPr/>
      <w:r>
        <w:t>Laplace principle утверждает для подходящих ограниченных непрерывных F:</w:t>
      </w:r>
    </w:p>
    <w:p>
      <w:bookmarkStart w:id="2026" w:name="f_23_5"/>
      <w:pPr>
        <w:pStyle w:val="Quote"/>
        <w:jc w:val="center"/>
      </w:pPr>
      <w:r>
        <w:t>lim_n a_n^{-1}log E exp(a_n F(Z_n)) = sup_{x∈𝒳}{F(x)-I(x)}.  (23.5)</w:t>
      </w:r>
      <w:bookmarkEnd w:id="2026"/>
    </w:p>
    <w:p>
      <w:pPr/>
      <w:r>
        <w:t>На польских пространствах при стандартных условиях Laplace principle эквивалентен LDP. Неограниченные F требуют exponential integrability или tail condition. Формула (23.5) является вариационным пределом, а не точным равенством для конечного n.</w:t>
      </w:r>
    </w:p>
    <w:p>
      <w:bookmarkStart w:id="1266" w:name="h_3136"/>
      <w:pPr>
        <w:pStyle w:val="Heading1"/>
      </w:pPr>
      <w:r>
        <w:t>334. Gärtner-Ellis theorem и границы применимости</w:t>
      </w:r>
      <w:bookmarkEnd w:id="1266"/>
    </w:p>
    <w:p>
      <w:pPr/>
      <w:r>
        <w:t>Пусть для θ в двойственном пространстве существует scaled cumulant generating function</w:t>
      </w:r>
    </w:p>
    <w:p>
      <w:bookmarkStart w:id="2027" w:name="f_23_6"/>
      <w:pPr>
        <w:pStyle w:val="Quote"/>
        <w:jc w:val="center"/>
      </w:pPr>
      <w:r>
        <w:t>Λ(θ)=lim_n a_n^{-1}log E exp(a_n⟨θ,Z_n⟩).  (23.6)</w:t>
      </w:r>
      <w:bookmarkEnd w:id="2027"/>
    </w:p>
    <w:p>
      <w:pPr/>
      <w:r>
        <w:t>Кандидат rate задаётся Legendre-Fenchel transform I(x)=sup_θ{⟨θ,x⟩-Λ(θ)}. Полная нижняя оценка требует условий вроде essential smoothness/steepness или экспонированных точек. Простое существование Λ не гарантирует полный LDP, особенно на границе effective domain.</w:t>
      </w:r>
    </w:p>
    <w:p>
      <w:pPr/>
      <w:r>
        <w:t>Контрпредупреждение: недифференцируемость Λ может отражать сосуществование фаз или потерю единственности оптимального tilt. Она является structural signal, но не автоматически физическим фазовым переходом.</w:t>
      </w:r>
    </w:p>
    <w:p>
      <w:bookmarkStart w:id="1267" w:name="h_3141"/>
      <w:pPr>
        <w:pStyle w:val="Heading1"/>
      </w:pPr>
      <w:r>
        <w:t>335. Sanov layer: эмпирическая мера и относительная энтропия</w:t>
      </w:r>
      <w:bookmarkEnd w:id="1267"/>
    </w:p>
    <w:p>
      <w:pPr/>
      <w:r>
        <w:t>Для i.i.d. выборки X_1,…,X_n с законом P эмпирическая мера L_n=n^{-1}Σδ_{X_i} при стандартных условиях удовлетворяет LDP со скоростью n и rate</w:t>
      </w:r>
    </w:p>
    <w:p>
      <w:bookmarkStart w:id="2028" w:name="f_23_7"/>
      <w:pPr>
        <w:pStyle w:val="Quote"/>
        <w:jc w:val="center"/>
      </w:pPr>
      <w:r>
        <w:t>I(Q)=D(Q||P),  (23.7)</w:t>
      </w:r>
      <w:bookmarkEnd w:id="2028"/>
    </w:p>
    <w:p>
      <w:pPr/>
      <w:r>
        <w:t>где D(Q||P) - относительная энтропия, равная ∞ при Q не абсолютно непрерывной относительно P. Sanov layer связывает отклонение эмпирического распределения с информационной стоимостью, но не делает KL-divergence физической энергией без отдельного моста.</w:t>
      </w:r>
    </w:p>
    <w:p>
      <w:bookmarkStart w:id="1268" w:name="h_3145"/>
      <w:pPr>
        <w:pStyle w:val="Heading1"/>
      </w:pPr>
      <w:r>
        <w:t>336. Path-space LDP и topology ledger</w:t>
      </w:r>
      <w:bookmarkEnd w:id="1268"/>
    </w:p>
    <w:p>
      <w:pPr/>
      <w:r>
        <w:t>Для процессов объектом LDP является закон на C([0,T],E), D([0,T],E) или иной path space. Сертификат обязан фиксировать topology: uniform, Skorokhod J1/M1, weak topology мер или projective topology. Один и тот же набор путей может иметь разные compactness и continuity properties в разных топологиях.</w:t>
      </w:r>
    </w:p>
    <w:p>
      <w:pPr/>
      <w:r>
        <w:t>В KLT-RBD topology ledger хранит: state metric, path topology, admissible discontinuities, boundary conditions, measurable target sets и continuity status всех реперных отображений.</w:t>
      </w:r>
    </w:p>
    <w:p>
      <w:bookmarkStart w:id="1269" w:name="h_3148"/>
      <w:pPr>
        <w:pStyle w:val="Heading1"/>
      </w:pPr>
      <w:r>
        <w:t>337. Freidlin-Wentzell action для малошумных диффузий</w:t>
      </w:r>
      <w:bookmarkEnd w:id="1269"/>
    </w:p>
    <w:p>
      <w:pPr/>
      <w:r>
        <w:t>Для семейства</w:t>
      </w:r>
    </w:p>
    <w:p>
      <w:bookmarkStart w:id="2029" w:name="f_23_8"/>
      <w:pPr>
        <w:pStyle w:val="Quote"/>
        <w:jc w:val="center"/>
      </w:pPr>
      <w:r>
        <w:t>dX_t^ε=b(X_t^ε)dt+√ε σ(X_t^ε)dW_t  (23.8)</w:t>
      </w:r>
      <w:bookmarkEnd w:id="2029"/>
    </w:p>
    <w:p>
      <w:pPr/>
      <w:r>
        <w:t>при невырожденной a=σσᵀ и стандартных условиях path rate для абсолютно непрерывной φ с φ(0)=x_0 имеет вид</w:t>
      </w:r>
    </w:p>
    <w:p>
      <w:bookmarkStart w:id="2030" w:name="f_23_9"/>
      <w:pPr>
        <w:pStyle w:val="Quote"/>
        <w:jc w:val="center"/>
      </w:pPr>
      <w:r>
        <w:t>S_{0T}(φ)=1/2 ∫_0^T ⟨φ_dot-b(φ), a(φ)^{-1}(φ_dot-b(φ))⟩ dt,  (23.9)</w:t>
      </w:r>
      <w:bookmarkEnd w:id="2030"/>
    </w:p>
    <w:p>
      <w:pPr/>
      <w:r>
        <w:t>а для остальных путей S=∞. В вырожденном случае требуется control representation и проверка достижимости; формула с a^{-1} может быть бессмысленной.</w:t>
      </w:r>
    </w:p>
    <w:p>
      <w:bookmarkStart w:id="1270" w:name="h_3154"/>
      <w:pPr>
        <w:pStyle w:val="Heading1"/>
      </w:pPr>
      <w:r>
        <w:t>338. Quasipotential и геометрия метастабильных переходов</w:t>
      </w:r>
      <w:bookmarkEnd w:id="1270"/>
    </w:p>
    <w:p>
      <w:pPr/>
      <w:r>
        <w:t>Квазипотенциал между x и y определяется</w:t>
      </w:r>
    </w:p>
    <w:p>
      <w:bookmarkStart w:id="2031" w:name="f_23_10"/>
      <w:pPr>
        <w:pStyle w:val="Quote"/>
        <w:jc w:val="center"/>
      </w:pPr>
      <w:r>
        <w:t>V(x,y)=inf_{T&gt;0} inf_{φ(0)=x, φ(T)=y} S_{0T}(φ).  (23.10)</w:t>
      </w:r>
      <w:bookmarkEnd w:id="2031"/>
    </w:p>
    <w:p>
      <w:pPr/>
      <w:r>
        <w:t>Для множеств A,B используется inf по начальным и конечным точкам. Минимизатор, если он существует, является most probable transition path на логарифмическом масштабе. Он не является детерминированной будущей траекторией и может быть неединственным.</w:t>
      </w:r>
    </w:p>
    <w:p>
      <w:pPr>
        <w:jc w:val="center"/>
      </w:pPr>
      <w:r>
        <w:drawing>
          <wp:inline xmlns:a="http://schemas.openxmlformats.org/drawingml/2006/main" xmlns:pic="http://schemas.openxmlformats.org/drawingml/2006/picture">
            <wp:extent cx="6126480" cy="3689686"/>
            <wp:docPr id="62" name="Picture 62" descr="Рисунок 23.2. Quasipotential barrier и минимально-действующая траектория. Собственная схема Тома II." title="Рисунок 23.2. Quasipotential barrier и минимально-действующая траектория. Собственная схема Тома II."/>
            <wp:cNvGraphicFramePr>
              <a:graphicFrameLocks noChangeAspect="1"/>
            </wp:cNvGraphicFramePr>
            <a:graphic>
              <a:graphicData uri="http://schemas.openxmlformats.org/drawingml/2006/picture">
                <pic:pic>
                  <pic:nvPicPr>
                    <pic:cNvPr id="0" name="fig23_2.png" descr="Рисунок 23.2. Quasipotential barrier и минимально-действующая траектория. Собственная схема Тома II." title="Рисунок 23.2. Quasipotential barrier и минимально-действующая траектория. Собственная схема Тома II."/>
                    <pic:cNvPicPr/>
                  </pic:nvPicPr>
                  <pic:blipFill>
                    <a:blip r:embed="rId99"/>
                    <a:stretch>
                      <a:fillRect/>
                    </a:stretch>
                  </pic:blipFill>
                  <pic:spPr>
                    <a:xfrm>
                      <a:off x="0" y="0"/>
                      <a:ext cx="6126480" cy="3689686"/>
                    </a:xfrm>
                    <a:prstGeom prst="rect"/>
                  </pic:spPr>
                </pic:pic>
              </a:graphicData>
            </a:graphic>
          </wp:inline>
        </w:drawing>
      </w:r>
    </w:p>
    <w:p>
      <w:pPr>
        <w:pStyle w:val="Caption"/>
        <w:jc w:val="center"/>
      </w:pPr>
      <w:r>
        <w:t>Рисунок 23.2. Quasipotential barrier и минимально-действующая траектория. Собственная схема Тома II.</w:t>
      </w:r>
    </w:p>
    <w:p>
      <w:bookmarkStart w:id="1271" w:name="h_3160"/>
      <w:pPr>
        <w:pStyle w:val="Heading1"/>
      </w:pPr>
      <w:r>
        <w:t>339. Редкособытийная геометрия Reper-path</w:t>
      </w:r>
      <w:bookmarkEnd w:id="1271"/>
    </w:p>
    <w:p>
      <w:pPr/>
      <w:r>
        <w:t>Пусть структурное состояние z включает</w:t>
      </w:r>
    </w:p>
    <w:p>
      <w:bookmarkStart w:id="2032" w:name="f_23_11"/>
      <w:pPr>
        <w:pStyle w:val="Quote"/>
        <w:jc w:val="center"/>
      </w:pPr>
      <w:r>
        <w:t>z=(Rep, μ, Ass, o, λ, D, Dom).  (23.11)</w:t>
      </w:r>
      <w:bookmarkEnd w:id="2032"/>
    </w:p>
    <w:p>
      <w:pPr/>
      <w:r>
        <w:t>Для path z(·) вводится target rare-event set</w:t>
      </w:r>
    </w:p>
    <w:p>
      <w:bookmarkStart w:id="2033" w:name="f_23_12"/>
      <w:pPr>
        <w:pStyle w:val="Quote"/>
        <w:jc w:val="center"/>
      </w:pPr>
      <w:r>
        <w:t>A_{ε,η}={z(·): inf_t |λ_t+1|≤ε, ||o_t||≤η, Valid(D_t)=1, Block_t=∅}.  (23.12)</w:t>
      </w:r>
      <w:bookmarkEnd w:id="2033"/>
    </w:p>
    <w:p>
      <w:pPr/>
      <w:r>
        <w:t>Rate barrier</w:t>
      </w:r>
    </w:p>
    <w:p>
      <w:bookmarkStart w:id="2034" w:name="f_23_13"/>
      <w:pPr>
        <w:pStyle w:val="Quote"/>
        <w:jc w:val="center"/>
      </w:pPr>
      <w:r>
        <w:t>c_{ε,η}=inf_{z(·)∈cl A_{ε,η}} I_path(z).  (23.13)</w:t>
      </w:r>
      <w:bookmarkEnd w:id="2034"/>
    </w:p>
    <w:p>
      <w:pPr/>
      <w:r>
        <w:t>имеет смысл только после доказательства LDP полного структурного carrier и измеримости A_{ε,η}. В текущем Томе эта конструкция является typed interface, а не доказанным универсальным LDP для всей NAPG.</w:t>
      </w:r>
    </w:p>
    <w:p>
      <w:bookmarkStart w:id="1272" w:name="h_3168"/>
      <w:pPr>
        <w:pStyle w:val="Heading1"/>
      </w:pPr>
      <w:r>
        <w:t>340. Полюса λ и расширенный contraction firewall</w:t>
      </w:r>
      <w:bookmarkEnd w:id="1272"/>
    </w:p>
    <w:p>
      <w:pPr/>
      <w:r>
        <w:t>Кросс-соотношение λ=(U-R)(I-D)/((U-D)(I-R)) не непрерывно на pole set {(U-D)(I-R)=0}. Если rare-event target касается полюса, обычный contraction principle не применим.</w:t>
      </w:r>
    </w:p>
    <w:p>
      <w:pPr/>
      <w:r>
        <w:t>Допустимы три ремонта:</w:t>
      </w:r>
    </w:p>
    <w:p>
      <w:pPr>
        <w:pStyle w:val="ListBullet"/>
      </w:pPr>
      <w:r>
        <w:t>доказать exponential negligibility окрестности pole set;</w:t>
      </w:r>
    </w:p>
    <w:p>
      <w:pPr>
        <w:pStyle w:val="ListBullet"/>
      </w:pPr>
      <w:r>
        <w:t>расширить state carrier однородными координатами и использовать projective graph closure;</w:t>
      </w:r>
    </w:p>
    <w:p>
      <w:pPr>
        <w:pStyle w:val="ListBullet"/>
      </w:pPr>
      <w:r>
        <w:t>разбить Dom на карты и доказать exponential equivalence локальных представлений.</w:t>
      </w:r>
    </w:p>
    <w:p>
      <w:pPr/>
      <w:r>
        <w:t>При отсутствии ремонта вывод обязан быть ABSTAIN, даже если численный λ выглядит внушительно. Особенно если выглядит внушительно.</w:t>
      </w:r>
    </w:p>
    <w:p>
      <w:bookmarkStart w:id="1273" w:name="h_3175"/>
      <w:pPr>
        <w:pStyle w:val="Heading1"/>
      </w:pPr>
      <w:r>
        <w:t>341. Donsker-Varadhan layer для эмпирических мер Markov-процесса</w:t>
      </w:r>
      <w:bookmarkEnd w:id="1273"/>
    </w:p>
    <w:p>
      <w:pPr/>
      <w:r>
        <w:t>Для эргодического Markov-процесса time-empirical measure</w:t>
      </w:r>
    </w:p>
    <w:p>
      <w:bookmarkStart w:id="2035" w:name="f_23_14"/>
      <w:pPr>
        <w:pStyle w:val="Quote"/>
        <w:jc w:val="center"/>
      </w:pPr>
      <w:r>
        <w:t>L_T=(1/T)∫_0^T δ_{X_t}dt  (23.14)</w:t>
      </w:r>
      <w:bookmarkEnd w:id="2035"/>
    </w:p>
    <w:p>
      <w:pPr/>
      <w:r>
        <w:t>может удовлетворять LDP со скоростью T и Donsker-Varadhan rate functional. Общая вариационная форма зависит от генератора и domain; в подходящем секторе</w:t>
      </w:r>
    </w:p>
    <w:p>
      <w:bookmarkStart w:id="2036" w:name="f_23_15"/>
      <w:pPr>
        <w:pStyle w:val="Quote"/>
        <w:jc w:val="center"/>
      </w:pPr>
      <w:r>
        <w:t>I_DV(μ)= -inf_{u&gt;0} ∫ (Lu/u)dμ.  (23.15)</w:t>
      </w:r>
      <w:bookmarkEnd w:id="2036"/>
    </w:p>
    <w:p>
      <w:pPr/>
      <w:r>
        <w:t>Требуются irreducibility/recurrence и аналитические условия. Формула не переносится на произвольный partial NAPG-generator без доказательства.</w:t>
      </w:r>
    </w:p>
    <w:p>
      <w:bookmarkStart w:id="1274" w:name="h_3181"/>
      <w:pPr>
        <w:pStyle w:val="Heading1"/>
      </w:pPr>
      <w:r>
        <w:t>342. Feynman-Kac semigroup</w:t>
      </w:r>
      <w:bookmarkEnd w:id="1274"/>
    </w:p>
    <w:p>
      <w:pPr/>
      <w:r>
        <w:t>Для потенциала V и Markov process X_t определяется положительный semigroup</w:t>
      </w:r>
    </w:p>
    <w:p>
      <w:bookmarkStart w:id="2037" w:name="f_23_16"/>
      <w:pPr>
        <w:pStyle w:val="Quote"/>
        <w:jc w:val="center"/>
      </w:pPr>
      <w:r>
        <w:t>(Q_t^V f)(x)=E_x[exp(∫_0^t V(X_s)ds) f(X_t)].  (23.16)</w:t>
      </w:r>
      <w:bookmarkEnd w:id="2037"/>
    </w:p>
    <w:p>
      <w:pPr/>
      <w:r>
        <w:t>В отличие от Markov semigroup, Q_t^V обычно не сохраняет единицу. Его long-time growth связан с principal eigenvalue или spectral bound при дополнительных compactness/irreducibility assumptions.</w:t>
      </w:r>
    </w:p>
    <w:p>
      <w:bookmarkStart w:id="1275" w:name="h_3185"/>
      <w:pPr>
        <w:pStyle w:val="Heading1"/>
      </w:pPr>
      <w:r>
        <w:t>343. Risk-sensitive логарифмический semigroup</w:t>
      </w:r>
      <w:bookmarkEnd w:id="1275"/>
    </w:p>
    <w:p>
      <w:pPr/>
      <w:r>
        <w:t>Для θ≠0 и terminal cost g вводится</w:t>
      </w:r>
    </w:p>
    <w:p>
      <w:bookmarkStart w:id="2038" w:name="f_23_17"/>
      <w:pPr>
        <w:pStyle w:val="Quote"/>
        <w:jc w:val="center"/>
      </w:pPr>
      <w:r>
        <w:t>(S_t^{θ,V}g)(x)=θ^{-1} log E_x exp(θ[g(X_t)+∫_0^t V(X_s)ds]).  (23.17)</w:t>
      </w:r>
      <w:bookmarkEnd w:id="2038"/>
    </w:p>
    <w:p>
      <w:pPr/>
      <w:r>
        <w:t>Markov property и additive cost дают нелинейное semigroup property. Параметр θ&gt;0 усиливает верхние хвосты стоимости; θ&lt;0 меняет ориентацию риска. Значение θ является частью модели, а не универсальной константой осторожности.</w:t>
      </w:r>
    </w:p>
    <w:p>
      <w:pPr>
        <w:jc w:val="center"/>
      </w:pPr>
      <w:r>
        <w:drawing>
          <wp:inline xmlns:a="http://schemas.openxmlformats.org/drawingml/2006/main" xmlns:pic="http://schemas.openxmlformats.org/drawingml/2006/picture">
            <wp:extent cx="6126480" cy="3957532"/>
            <wp:docPr id="63" name="Picture 63" descr="Рисунок 23.3. Feynman-Kac и risk-sensitive semigroup. Собственная схема Тома II." title="Рисунок 23.3. Feynman-Kac и risk-sensitive semigroup. Собственная схема Тома II."/>
            <wp:cNvGraphicFramePr>
              <a:graphicFrameLocks noChangeAspect="1"/>
            </wp:cNvGraphicFramePr>
            <a:graphic>
              <a:graphicData uri="http://schemas.openxmlformats.org/drawingml/2006/picture">
                <pic:pic>
                  <pic:nvPicPr>
                    <pic:cNvPr id="0" name="fig23_3.png" descr="Рисунок 23.3. Feynman-Kac и risk-sensitive semigroup. Собственная схема Тома II." title="Рисунок 23.3. Feynman-Kac и risk-sensitive semigroup. Собственная схема Тома II."/>
                    <pic:cNvPicPr/>
                  </pic:nvPicPr>
                  <pic:blipFill>
                    <a:blip r:embed="rId100"/>
                    <a:stretch>
                      <a:fillRect/>
                    </a:stretch>
                  </pic:blipFill>
                  <pic:spPr>
                    <a:xfrm>
                      <a:off x="0" y="0"/>
                      <a:ext cx="6126480" cy="3957532"/>
                    </a:xfrm>
                    <a:prstGeom prst="rect"/>
                  </pic:spPr>
                </pic:pic>
              </a:graphicData>
            </a:graphic>
          </wp:inline>
        </w:drawing>
      </w:r>
    </w:p>
    <w:p>
      <w:pPr>
        <w:pStyle w:val="Caption"/>
        <w:jc w:val="center"/>
      </w:pPr>
      <w:r>
        <w:t>Рисунок 23.3. Feynman-Kac и risk-sensitive semigroup. Собственная схема Тома II.</w:t>
      </w:r>
    </w:p>
    <w:p>
      <w:bookmarkStart w:id="1276" w:name="h_3191"/>
      <w:pPr>
        <w:pStyle w:val="Heading1"/>
      </w:pPr>
      <w:r>
        <w:t>344. Нелинейный генератор risk-sensitive слоя</w:t>
      </w:r>
      <w:bookmarkEnd w:id="1276"/>
    </w:p>
    <w:p>
      <w:pPr/>
      <w:r>
        <w:t>Для гладкого f формальный логарифмический генератор имеет вид</w:t>
      </w:r>
    </w:p>
    <w:p>
      <w:bookmarkStart w:id="2039" w:name="f_23_18"/>
      <w:pPr>
        <w:pStyle w:val="Quote"/>
        <w:jc w:val="center"/>
      </w:pPr>
      <w:r>
        <w:t>H_θ f = θ^{-1}e^{-θf}L(e^{θf})+V.  (23.18)</w:t>
      </w:r>
      <w:bookmarkEnd w:id="2039"/>
    </w:p>
    <w:p>
      <w:pPr/>
      <w:r>
        <w:t>Для диффузионного L получается</w:t>
      </w:r>
    </w:p>
    <w:p>
      <w:bookmarkStart w:id="2040" w:name="f_23_19"/>
      <w:pPr>
        <w:pStyle w:val="Quote"/>
        <w:jc w:val="center"/>
      </w:pPr>
      <w:r>
        <w:t>H_θ f = Lf +(θ/2)||σᵀ∇f||²+V.  (23.19)</w:t>
      </w:r>
      <w:bookmarkEnd w:id="2040"/>
    </w:p>
    <w:p>
      <w:pPr/>
      <w:r>
        <w:t>Квадратичный gradient term кодирует экспоненциальную чувствительность. Формулы (23.18)-(23.19) требуют Dom(e^{θf}) и интегрируемости; формальный расчёт не гарантирует semigroup realization.</w:t>
      </w:r>
    </w:p>
    <w:p>
      <w:bookmarkStart w:id="1277" w:name="h_3197"/>
      <w:pPr>
        <w:pStyle w:val="Heading1"/>
      </w:pPr>
      <w:r>
        <w:t>345. Long-time eigenvalue и multiplicative ergodic limit</w:t>
      </w:r>
      <w:bookmarkEnd w:id="1277"/>
    </w:p>
    <w:p>
      <w:pPr/>
      <w:r>
        <w:t>Risk-sensitive growth rate определяется, когда предел существует:</w:t>
      </w:r>
    </w:p>
    <w:p>
      <w:bookmarkStart w:id="2041" w:name="f_23_20"/>
      <w:pPr>
        <w:pStyle w:val="Quote"/>
        <w:jc w:val="center"/>
      </w:pPr>
      <w:r>
        <w:t>ρ(θ)=lim_{t→∞}(1/t)log E_x exp(θ∫_0^t V(X_s)ds).  (23.20)</w:t>
      </w:r>
      <w:bookmarkEnd w:id="2041"/>
    </w:p>
    <w:p>
      <w:pPr/>
      <w:r>
        <w:t>При подходящих условиях ρ связан с principal eigenvalue L+θV и может не зависеть от x. Он является asymptotic cumulant rate, но не probability. Даже ρ&lt;0 не означает, что событие запрещено.</w:t>
      </w:r>
    </w:p>
    <w:p>
      <w:bookmarkStart w:id="1278" w:name="h_3201"/>
      <w:pPr>
        <w:pStyle w:val="Heading1"/>
      </w:pPr>
      <w:r>
        <w:t>346. Энтропийная вариационная формула</w:t>
      </w:r>
      <w:bookmarkEnd w:id="1278"/>
    </w:p>
    <w:p>
      <w:pPr/>
      <w:r>
        <w:t>Для измеримого F с конечной экспоненциальной нормировкой действует Gibbs-Donsker-Varadhan variational identity</w:t>
      </w:r>
    </w:p>
    <w:p>
      <w:bookmarkStart w:id="2042" w:name="f_23_21"/>
      <w:pPr>
        <w:pStyle w:val="Quote"/>
        <w:jc w:val="center"/>
      </w:pPr>
      <w:r>
        <w:t>log E_P e^F = sup_{Q&lt;&lt;P}{E_Q F-D(Q||P)}.  (23.21)</w:t>
      </w:r>
      <w:bookmarkEnd w:id="2042"/>
    </w:p>
    <w:p>
      <w:pPr/>
      <w:r>
        <w:t>Она связывает exponential tilting и KL-штраф. Оптимальный Q, когда существует, пропорционален e^F P. Эта формула лежит в основе risk-sensitive и KL-robust duality, но не утверждает, что природа выбирает худший Q.</w:t>
      </w:r>
    </w:p>
    <w:p>
      <w:bookmarkStart w:id="1279" w:name="h_3205"/>
      <w:pPr>
        <w:pStyle w:val="Heading1"/>
      </w:pPr>
      <w:r>
        <w:t>347. Risk-sensitive control и HJB eigenproblem</w:t>
      </w:r>
      <w:bookmarkEnd w:id="1279"/>
    </w:p>
    <w:p>
      <w:pPr/>
      <w:r>
        <w:t>Для controlled generator L^a и running cost c(x,a) long-run criterion</w:t>
      </w:r>
    </w:p>
    <w:p>
      <w:bookmarkStart w:id="2043" w:name="f_23_22"/>
      <w:pPr>
        <w:pStyle w:val="Quote"/>
        <w:jc w:val="center"/>
      </w:pPr>
      <w:r>
        <w:t>J_θ(a)=limsup_{T→∞}(1/(θT))log E^a exp(θ∫_0^T c(X_t,a_t)dt)  (23.22)</w:t>
      </w:r>
      <w:bookmarkEnd w:id="2043"/>
    </w:p>
    <w:p>
      <w:pPr/>
      <w:r>
        <w:t>приводит при достаточных условиях к nonlinear HJB/eigenvalue problem</w:t>
      </w:r>
    </w:p>
    <w:p>
      <w:bookmarkStart w:id="2044" w:name="f_23_23"/>
      <w:pPr>
        <w:pStyle w:val="Quote"/>
        <w:jc w:val="center"/>
      </w:pPr>
      <w:r>
        <w:t>ρ+inf_a{L^a v+c(x,a)+(θ/2)||σ_aᵀ∇v||²}=0.  (23.23)</w:t>
      </w:r>
      <w:bookmarkEnd w:id="2044"/>
    </w:p>
    <w:p>
      <w:pPr/>
      <w:r>
        <w:t>Existence of eigenpair, verification theorem и optimal stationary control являются отдельными обязательствами. Risk-sensitive optimum не равен causal optimum без корректной intervention model и utility specification.</w:t>
      </w:r>
    </w:p>
    <w:p>
      <w:bookmarkStart w:id="1280" w:name="h_3211"/>
      <w:pPr>
        <w:pStyle w:val="Heading1"/>
      </w:pPr>
      <w:r>
        <w:t>348. Асимптотический exponent не является finite-n probability</w:t>
      </w:r>
      <w:bookmarkEnd w:id="1280"/>
    </w:p>
    <w:p>
      <w:bookmarkStart w:id="1675" w:name="s_THM_23_2"/>
      <w:pPr/>
      <w:r>
        <w:t>Теорема 23.2 (asymptotic-probability firewall). [THM] Из равенства</w:t>
      </w:r>
      <w:bookmarkEnd w:id="1675"/>
    </w:p>
    <w:p>
      <w:bookmarkStart w:id="2045" w:name="f_23_24"/>
      <w:pPr>
        <w:pStyle w:val="Quote"/>
        <w:jc w:val="center"/>
      </w:pPr>
      <w:r>
        <w:t>lim_n a_n^{-1}log p_n=-c,    c&gt;0  (23.24)</w:t>
      </w:r>
      <w:bookmarkEnd w:id="2045"/>
    </w:p>
    <w:p>
      <w:pPr/>
      <w:r>
        <w:t>не следует универсальная формула p_n=e^{-a_nc} и не следует конкретная верхняя граница при заданном n. Для любого subexponential множителя r_n с log r_n/a_n→0 последовательность p_n=r_ne^{-a_nc} имеет тот же exponent.</w:t>
      </w:r>
    </w:p>
    <w:p>
      <w:pPr/>
      <w:r>
        <w:t>Следствие: LDP без remainder estimate допускает только eventual exponential statement: для каждого δ&gt;0 существует n_0(δ), после которого p_n≤exp[-a_n(c-δ)]. Значение n_0 не известно без дополнительного анализа.</w:t>
      </w:r>
    </w:p>
    <w:p>
      <w:bookmarkStart w:id="1281" w:name="h_3216"/>
      <w:pPr>
        <w:pStyle w:val="Heading1"/>
      </w:pPr>
      <w:r>
        <w:t>349. Importance sampling и unbiased rare-event estimator</w:t>
      </w:r>
      <w:bookmarkEnd w:id="1281"/>
    </w:p>
    <w:p>
      <w:pPr/>
      <w:r>
        <w:t>Для события A и proposal law Q, доминирующего P на A, likelihood ratio L=dP/dQ даёт</w:t>
      </w:r>
    </w:p>
    <w:p>
      <w:bookmarkStart w:id="2046" w:name="f_23_25"/>
      <w:pPr>
        <w:pStyle w:val="Quote"/>
        <w:jc w:val="center"/>
      </w:pPr>
      <w:r>
        <w:t>p=P(A)=E_Q[1_A L].  (23.25)</w:t>
      </w:r>
      <w:bookmarkEnd w:id="2046"/>
    </w:p>
    <w:p>
      <w:pPr/>
      <w:r>
        <w:t>Estimator p_hat_N=N^{-1}Σ1_{A_i}L_i является несмещённым при корректном ratio. Ошибка определяется вторым моментом E_Q[1_A L²], а не только числом попаданий. Proposal, пропускающий часть A, создаёт скрытое смещение.</w:t>
      </w:r>
    </w:p>
    <w:p>
      <w:bookmarkStart w:id="1282" w:name="h_3220"/>
      <w:pPr>
        <w:pStyle w:val="Heading1"/>
      </w:pPr>
      <w:r>
        <w:t>350. Логарифмическая и bounded-relative-error эффективность</w:t>
      </w:r>
      <w:bookmarkEnd w:id="1282"/>
    </w:p>
    <w:p>
      <w:pPr/>
      <w:r>
        <w:t>В rare-event sequence p_n→0 importance scheme называется logarithmically efficient, если второй момент имеет оптимальный exponent; bounded relative error требует sup_n Var(p_hat_n)/p_n²&lt;∞. Эти свойства различны.</w:t>
      </w:r>
    </w:p>
    <w:p>
      <w:pPr/>
      <w:r>
        <w:t>Минимально-действующий путь может подсказывать exponential tilting, но его использование в sampling scheme требует доказать абсолютную непрерывность, weight stability и отсутствие mode collapse между несколькими instantons.</w:t>
      </w:r>
    </w:p>
    <w:p>
      <w:bookmarkStart w:id="1283" w:name="h_3223"/>
      <w:pPr>
        <w:pStyle w:val="Heading1"/>
      </w:pPr>
      <w:r>
        <w:t>351. Splitting и адаптивные уровни</w:t>
      </w:r>
      <w:bookmarkEnd w:id="1283"/>
    </w:p>
    <w:p>
      <w:pPr/>
      <w:r>
        <w:t>Multilevel splitting оценивает редкое попадание через вложенные множества A_0⊃A_1⊃…⊃A_m=A и произведение условных вероятностей. Уровни, resampling и dependence между потомками входят в сертификат. Адаптивный выбор уровней по тем же данным меняет закон estimator и требует собственного доказательства.</w:t>
      </w:r>
    </w:p>
    <w:p>
      <w:pPr/>
      <w:r>
        <w:t>В Reper-режиме уровни могут задаваться δ_truth, obstruction norm и action score, но scalar ordering обязана быть совместима с D/Dom; иначе алгоритм сортирует математически несопоставимые сценарии.</w:t>
      </w:r>
    </w:p>
    <w:p>
      <w:bookmarkStart w:id="1284" w:name="h_3226"/>
      <w:pPr>
        <w:pStyle w:val="Heading1"/>
      </w:pPr>
      <w:r>
        <w:t>352. Ambiguity sets: робастный слой</w:t>
      </w:r>
      <w:bookmarkEnd w:id="1284"/>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Ambiguity set - это множество вероятностных законов, совместимых с данными и выбранной метрикой. Оно не является множеством “всех возможных миров”.</w:t>
            </w:r>
          </w:p>
        </w:tc>
      </w:tr>
      <w:tr>
        <w:trPr>
          <w:cantSplit/>
        </w:trP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Робастная граница истинна только при coverage theorem для включения реального закона в ambiguity set. Радиус без покрытия является параметром осторожности, а не сертификатом.</w:t>
            </w:r>
          </w:p>
        </w:tc>
      </w:tr>
      <w:tr>
        <w:trPr>
          <w:cantSplit/>
        </w:trP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Худший закон концентрирует массу там, где функционал наиболее неблагоприятен, в пределах разрешённой геометрии расстояния.</w:t>
            </w:r>
          </w:p>
        </w:tc>
      </w:tr>
      <w:tr>
        <w:trPr>
          <w:cantSplit/>
        </w:trP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Worst-case risk может быть консервативным, а может быть ложным при misspecified metric, dependence или tail class. Робастность к одному виду сдвига не означает универсальную переносимость.</w:t>
            </w:r>
          </w:p>
        </w:tc>
      </w:tr>
    </w:tbl>
    <w:p>
      <w:pPr/>
      <w:r>
        <w:t>Пусть P_hat_N - empirical law. Ambiguity set имеет общий вид</w:t>
      </w:r>
    </w:p>
    <w:p>
      <w:bookmarkStart w:id="2047" w:name="f_23_26"/>
      <w:pPr>
        <w:pStyle w:val="Quote"/>
        <w:jc w:val="center"/>
      </w:pPr>
      <w:r>
        <w:t>U_N(ρ)={Q: d(Q,P_hat_N)≤ρ, Q∈𝒫_adm}.  (23.26)</w:t>
      </w:r>
      <w:bookmarkEnd w:id="2047"/>
    </w:p>
    <w:p>
      <w:pPr/>
      <w:r>
        <w:t>Предсказательная граница задаётся sup_{Q∈U_N}Q(A) или sup E_Qℓ. Метрика d и класс 𝒫_adm обязаны отражать реально допустимый distribution shift.</w:t>
      </w:r>
    </w:p>
    <w:p>
      <w:bookmarkStart w:id="1285" w:name="h_3230"/>
      <w:pPr>
        <w:pStyle w:val="Heading1"/>
      </w:pPr>
      <w:r>
        <w:t>353. KL и f-divergence ambiguity</w:t>
      </w:r>
      <w:bookmarkEnd w:id="1285"/>
    </w:p>
    <w:p>
      <w:pPr/>
      <w:r>
        <w:t>Для KL-ball D(Q||P_hat)≤ρ энтропийная duality даёт при подходящих условиях</w:t>
      </w:r>
    </w:p>
    <w:p>
      <w:bookmarkStart w:id="2048" w:name="f_23_27"/>
      <w:pPr>
        <w:pStyle w:val="Quote"/>
        <w:jc w:val="center"/>
      </w:pPr>
      <w:r>
        <w:t>sup_{D(Q||P_hat)≤ρ} E_Qℓ ≤ inf_{η&gt;0}{ηρ+η log E_{P_hat} exp(ℓ/η)}.  (23.27)</w:t>
      </w:r>
      <w:bookmarkEnd w:id="2048"/>
    </w:p>
    <w:p>
      <w:pPr/>
      <w:r>
        <w:t>KL-ball не допускает массу вне support P_hat, если divergence ориентирована как D(Q||P_hat). Для редких ещё не наблюдавшихся областей это может быть фатальной слепотой. Обратная ориентация divergence имеет другие свойства и другую duality.</w:t>
      </w:r>
    </w:p>
    <w:p>
      <w:bookmarkStart w:id="1286" w:name="h_3234"/>
      <w:pPr>
        <w:pStyle w:val="Heading1"/>
      </w:pPr>
      <w:r>
        <w:t>354. Wasserstein ambiguity и геометрия новых состояний</w:t>
      </w:r>
      <w:bookmarkEnd w:id="1286"/>
    </w:p>
    <w:p>
      <w:pPr/>
      <w:r>
        <w:t>Wasserstein ball допускает перенос массы в близкие ненаблюдавшиеся состояния. Для transport cost c и достаточно регулярной ℓ типовая dual form имеет вид</w:t>
      </w:r>
    </w:p>
    <w:p>
      <w:bookmarkStart w:id="2049" w:name="f_23_28"/>
      <w:pPr>
        <w:pStyle w:val="Quote"/>
        <w:jc w:val="center"/>
      </w:pPr>
      <w:r>
        <w:t>sup_{W_c(Q,P_hat)≤ρ}E_Qℓ = inf_{η≥0}{ηρ+E_{P_hat}[sup_z(ℓ(z)-ηc(z,ξ))]}.  (23.28)</w:t>
      </w:r>
      <w:bookmarkEnd w:id="2049"/>
    </w:p>
    <w:p>
      <w:pPr/>
      <w:r>
        <w:t>Точное равенство требует lower semicontinuity, growth и duality assumptions. Для indicator 1_A worst-case probability чувствительна к расстоянию наблюдений до A; при нулевом margin оценка может быть резко консервативной.</w:t>
      </w:r>
    </w:p>
    <w:p>
      <w:bookmarkStart w:id="1287" w:name="h_3238"/>
      <w:pPr>
        <w:pStyle w:val="Heading1"/>
      </w:pPr>
      <w:r>
        <w:t>355. Finite-sample coverage ambiguity set</w:t>
      </w:r>
      <w:bookmarkEnd w:id="1287"/>
    </w:p>
    <w:p>
      <w:pPr/>
      <w:r>
        <w:t>Радиус ρ_N(β) выбирается из доказанного concentration theorem так, чтобы</w:t>
      </w:r>
    </w:p>
    <w:p>
      <w:bookmarkStart w:id="2050" w:name="f_23_29"/>
      <w:pPr>
        <w:pStyle w:val="Quote"/>
        <w:jc w:val="center"/>
      </w:pPr>
      <w:r>
        <w:t>P_data(P_*∈U_N(ρ_N(β)))≥1-β.  (23.29)</w:t>
      </w:r>
      <w:bookmarkEnd w:id="2050"/>
    </w:p>
    <w:p>
      <w:pPr/>
      <w:r>
        <w:t>Тогда одновременно с вероятностью не ниже 1-β</w:t>
      </w:r>
    </w:p>
    <w:p>
      <w:bookmarkStart w:id="2051" w:name="f_23_30"/>
      <w:pPr>
        <w:pStyle w:val="Quote"/>
        <w:jc w:val="center"/>
      </w:pPr>
      <w:r>
        <w:t>P_*(A)≤sup_{Q∈U_N}Q(A).  (23.30)</w:t>
      </w:r>
      <w:bookmarkEnd w:id="2051"/>
    </w:p>
    <w:p>
      <w:pPr/>
      <w:r>
        <w:t>Скорость уменьшения ρ_N зависит от размерности, хвостов, метрики и dependence. Универсального dimension-free радиуса для произвольного распределения нет.</w:t>
      </w:r>
    </w:p>
    <w:p>
      <w:bookmarkStart w:id="1288" w:name="h_3244"/>
      <w:pPr>
        <w:pStyle w:val="Heading1"/>
      </w:pPr>
      <w:r>
        <w:t>356. Distributionally robust chance certificate</w:t>
      </w:r>
      <w:bookmarkEnd w:id="1288"/>
    </w:p>
    <w:p>
      <w:bookmarkStart w:id="1676" w:name="s_THM_23_3"/>
      <w:pPr/>
      <w:r>
        <w:t>Теорема 23.3 (coverage-to-risk). [THM] Если (23.29) выполнено и вычислено B_N(A)=sup_{Q∈U_N}Q(A), то</w:t>
      </w:r>
      <w:bookmarkEnd w:id="1676"/>
    </w:p>
    <w:p>
      <w:bookmarkStart w:id="2052" w:name="f_23_31"/>
      <w:pPr>
        <w:pStyle w:val="Quote"/>
        <w:jc w:val="center"/>
      </w:pPr>
      <w:r>
        <w:t>P_data(P_*(A)≤B_N(A))≥1-β.  (23.31)</w:t>
      </w:r>
      <w:bookmarkEnd w:id="2052"/>
    </w:p>
    <w:p>
      <w:pPr/>
      <w:r>
        <w:t>Доказательство следует из включения P_*∈U_N. Этот результат конечновыборочный и не требует LDP. Однако его содержательность зависит от размера B_N и корректности ambiguity geometry.</w:t>
      </w:r>
    </w:p>
    <w:p>
      <w:bookmarkStart w:id="1289" w:name="h_3248"/>
      <w:pPr>
        <w:pStyle w:val="Heading1"/>
      </w:pPr>
      <w:r>
        <w:t>357. Точный биномиальный сертификат редкого события</w:t>
      </w:r>
      <w:bookmarkEnd w:id="1289"/>
    </w:p>
    <w:p>
      <w:pPr/>
      <w:r>
        <w:t>Пусть N независимых испытаний дают K попаданий в A при неизвестной вероятности p. Односторонняя Clopper-Pearson upper bound определяется beta-квантилем. При K=0 она упрощается:</w:t>
      </w:r>
    </w:p>
    <w:p>
      <w:bookmarkStart w:id="2053" w:name="f_23_32"/>
      <w:pPr>
        <w:pStyle w:val="Quote"/>
        <w:jc w:val="center"/>
      </w:pPr>
      <w:r>
        <w:t>p_U=1-α^{1/N},    coverage ≥1-α.  (23.32)</w:t>
      </w:r>
      <w:bookmarkEnd w:id="2053"/>
    </w:p>
    <w:p>
      <w:pPr/>
      <w:r>
        <w:t>Доказательство: P_p(K=0)=(1-p)^N. Для p&gt;p_U эта вероятность меньше α. Поэтому отсутствие попаданий не означает p=0; оно даёт верхнюю границу порядка -log α/N.</w:t>
      </w:r>
    </w:p>
    <w:p>
      <w:pPr/>
      <w:r>
        <w:t>При dependence, adaptive stopping или importance weights биномиальная формула неприменима без ремонта.</w:t>
      </w:r>
    </w:p>
    <w:p>
      <w:bookmarkStart w:id="1290" w:name="h_3253"/>
      <w:pPr>
        <w:pStyle w:val="Heading1"/>
      </w:pPr>
      <w:r>
        <w:t>358. Bounded-loss concentration и empirical risk</w:t>
      </w:r>
      <w:bookmarkEnd w:id="1290"/>
    </w:p>
    <w:p>
      <w:pPr/>
      <w:r>
        <w:t>Для i.i.d. X_i∈[0,1] Hoeffding bound даёт с вероятностью не ниже 1-β</w:t>
      </w:r>
    </w:p>
    <w:p>
      <w:bookmarkStart w:id="2054" w:name="f_23_33"/>
      <w:pPr>
        <w:pStyle w:val="Quote"/>
        <w:jc w:val="center"/>
      </w:pPr>
      <w:r>
        <w:t>E[X]≤X_bar_N+sqrt(log(1/β)/(2N)).  (23.33)</w:t>
      </w:r>
      <w:bookmarkEnd w:id="2054"/>
    </w:p>
    <w:p>
      <w:pPr/>
      <w:r>
        <w:t>Для очень редкого Bernoulli event exact binomial bound обычно информативнее. Variance-adaptive и PAC-Bayes bounds требуют собственных условий и prior/data separation; выбор bound после просмотра результата входит в multiple-selection ledger.</w:t>
      </w:r>
    </w:p>
    <w:p>
      <w:bookmarkStart w:id="1291" w:name="h_3257"/>
      <w:pPr>
        <w:pStyle w:val="Heading1"/>
      </w:pPr>
      <w:r>
        <w:t>359. Anytime-valid и последовательная сертификация</w:t>
      </w:r>
      <w:bookmarkEnd w:id="1291"/>
    </w:p>
    <w:p>
      <w:pPr/>
      <w:r>
        <w:t>Наследуя главу 22, e-process E_t позволяет контролировать ложный вывод при optional stopping. Для rare-event probability строятся confidence sequences [L_t,U_t], валидные одновременно по времени. Но adaptive intervention, changing target A_t и reuse данных могут разрушить supermartingale property.</w:t>
      </w:r>
    </w:p>
    <w:p>
      <w:pPr/>
      <w:r>
        <w:t>Sequential certificate обязан хранить filtration, betting strategy, update rule, alpha-spending/e-value calibration и все моменты изменения цели.</w:t>
      </w:r>
    </w:p>
    <w:p>
      <w:bookmarkStart w:id="1292" w:name="h_3260"/>
      <w:pPr>
        <w:pStyle w:val="Heading1"/>
      </w:pPr>
      <w:r>
        <w:t>360. Слияние asymptotic и finite-sample слоёв</w:t>
      </w:r>
      <w:bookmarkEnd w:id="1292"/>
    </w:p>
    <w:p>
      <w:pPr/>
      <w:r>
        <w:t>Полный сертификат может сочетать</w:t>
      </w:r>
    </w:p>
    <w:p>
      <w:bookmarkStart w:id="2055" w:name="f_23_34"/>
      <w:pPr>
        <w:pStyle w:val="Quote"/>
        <w:jc w:val="center"/>
      </w:pPr>
      <w:r>
        <w:t>p_n(A) ≤ min{B_N^{rob}(A), C_n exp[-a_n(c_A-δ)]},  (23.34)</w:t>
      </w:r>
      <w:bookmarkEnd w:id="2055"/>
    </w:p>
    <w:p>
      <w:pPr/>
      <w:r>
        <w:t>где B_N^{rob} имеет coverage 1-β, а C_n и δ получены из доказанного nonasymptotic remainder. Без C_n или явного n_0 LDP-часть не является конечновыборочной границей.</w:t>
      </w:r>
    </w:p>
    <w:p>
      <w:pPr>
        <w:jc w:val="center"/>
      </w:pPr>
      <w:r>
        <w:drawing>
          <wp:inline xmlns:a="http://schemas.openxmlformats.org/drawingml/2006/main" xmlns:pic="http://schemas.openxmlformats.org/drawingml/2006/picture">
            <wp:extent cx="6126480" cy="3844664"/>
            <wp:docPr id="64" name="Picture 64" descr="Рисунок 23.4. Finite-sample robust certificate редкого риска. Собственная схема Тома II." title="Рисунок 23.4. Finite-sample robust certificate редкого риска. Собственная схема Тома II."/>
            <wp:cNvGraphicFramePr>
              <a:graphicFrameLocks noChangeAspect="1"/>
            </wp:cNvGraphicFramePr>
            <a:graphic>
              <a:graphicData uri="http://schemas.openxmlformats.org/drawingml/2006/picture">
                <pic:pic>
                  <pic:nvPicPr>
                    <pic:cNvPr id="0" name="fig23_4.png" descr="Рисунок 23.4. Finite-sample robust certificate редкого риска. Собственная схема Тома II." title="Рисунок 23.4. Finite-sample robust certificate редкого риска. Собственная схема Тома II."/>
                    <pic:cNvPicPr/>
                  </pic:nvPicPr>
                  <pic:blipFill>
                    <a:blip r:embed="rId101"/>
                    <a:stretch>
                      <a:fillRect/>
                    </a:stretch>
                  </pic:blipFill>
                  <pic:spPr>
                    <a:xfrm>
                      <a:off x="0" y="0"/>
                      <a:ext cx="6126480" cy="3844664"/>
                    </a:xfrm>
                    <a:prstGeom prst="rect"/>
                  </pic:spPr>
                </pic:pic>
              </a:graphicData>
            </a:graphic>
          </wp:inline>
        </w:drawing>
      </w:r>
    </w:p>
    <w:p>
      <w:pPr>
        <w:pStyle w:val="Caption"/>
        <w:jc w:val="center"/>
      </w:pPr>
      <w:r>
        <w:t>Рисунок 23.4. Finite-sample robust certificate редкого риска. Собственная схема Тома II.</w:t>
      </w:r>
    </w:p>
    <w:p>
      <w:bookmarkStart w:id="1293" w:name="h_3266"/>
      <w:pPr>
        <w:pStyle w:val="Heading1"/>
      </w:pPr>
      <w:r>
        <w:t>361. Неидентифицируемость хвоста по конечной выборке</w:t>
      </w:r>
      <w:bookmarkEnd w:id="1293"/>
    </w:p>
    <w:p>
      <w:bookmarkStart w:id="1677" w:name="s_THM_23_4"/>
      <w:pPr/>
      <w:r>
        <w:t>Теорема 23.4 (finite-sample tail no-go). [THM] Для любой конечной выборки, лежащей в ограниченном наблюдённом множестве B, существуют два распределения P_0 и P_1, совпадающие на B с точностью, достаточной для одинакового likelihood наблюдений, но имеющие произвольно разные вероятности далёкого события A.</w:t>
      </w:r>
      <w:bookmarkEnd w:id="1677"/>
    </w:p>
    <w:p>
      <w:pPr/>
      <w:r>
        <w:t>Следовательно, tail risk не идентифицируется без tail class, smoothness, moment, parametric или transport assumptions. Экстраполяция редкого события всегда несёт D-пакет модельных оснований.</w:t>
      </w:r>
    </w:p>
    <w:p>
      <w:bookmarkStart w:id="1294" w:name="h_3269"/>
      <w:pPr>
        <w:pStyle w:val="Heading1"/>
      </w:pPr>
      <w:r>
        <w:t>362. Rate-function estimation и epistemic uncertainty</w:t>
      </w:r>
      <w:bookmarkEnd w:id="1294"/>
    </w:p>
    <w:p>
      <w:pPr/>
      <w:r>
        <w:t>Rate function I может вычисляться аналитически, через control representation, spectral problem или numerical minimum action method. Оценённый I_hat имеет discretization, optimization, parameter и model-selection errors. Реперный объект должен хранить</w:t>
      </w:r>
    </w:p>
    <w:p>
      <w:bookmarkStart w:id="2056" w:name="f_23_35"/>
      <w:pPr>
        <w:pStyle w:val="Quote"/>
        <w:jc w:val="center"/>
      </w:pPr>
      <w:r>
        <w:t>Rep_rate=(I_hat, topology, speed, solver, residuals; D_rate).  (23.35)</w:t>
      </w:r>
      <w:bookmarkEnd w:id="2056"/>
    </w:p>
    <w:p>
      <w:pPr/>
      <w:r>
        <w:t>Confidence interval для параметров не автоматически превращается в uniform confidence band для I. Near bifurcation или nonunique instantons sensitivity может быть неограниченной.</w:t>
      </w:r>
    </w:p>
    <w:p>
      <w:bookmarkStart w:id="1295" w:name="h_3273"/>
      <w:pPr>
        <w:pStyle w:val="Heading1"/>
      </w:pPr>
      <w:r>
        <w:t>363. Robust rare-event Reper certificate</w:t>
      </w:r>
      <w:bookmarkEnd w:id="1295"/>
    </w:p>
    <w:p>
      <w:pPr/>
      <w:r>
        <w:t>Определён сертификат</w:t>
      </w:r>
    </w:p>
    <w:p>
      <w:bookmarkStart w:id="2057" w:name="f_23_36"/>
      <w:pPr>
        <w:pStyle w:val="Quote"/>
        <w:jc w:val="center"/>
      </w:pPr>
      <w:r>
        <w:t>Cert_LD=(𝒳,τ,a_n,P_n,I,A,c_A,R_n,U_N,B_N,IS,λ,D,Dom,src,code,hash).  (23.36)</w:t>
      </w:r>
      <w:bookmarkEnd w:id="2057"/>
    </w:p>
    <w:p>
      <w:pPr>
        <w:pStyle w:val="ListBullet"/>
      </w:pPr>
      <w:r>
        <w:t>𝒳,τ: state/path carrier и topology;</w:t>
      </w:r>
    </w:p>
    <w:p>
      <w:pPr>
        <w:pStyle w:val="ListBullet"/>
      </w:pPr>
      <w:r>
        <w:t>a_n,P_n,I: speed, laws и rate function;</w:t>
      </w:r>
    </w:p>
    <w:p>
      <w:pPr>
        <w:pStyle w:val="ListBullet"/>
      </w:pPr>
      <w:r>
        <w:t>A,c_A: target и action barrier;</w:t>
      </w:r>
    </w:p>
    <w:p>
      <w:pPr>
        <w:pStyle w:val="ListBullet"/>
      </w:pPr>
      <w:r>
        <w:t>R_n: nonasymptotic remainder/effective n_0;</w:t>
      </w:r>
    </w:p>
    <w:p>
      <w:pPr>
        <w:pStyle w:val="ListBullet"/>
      </w:pPr>
      <w:r>
        <w:t>U_N,B_N: ambiguity coverage и robust finite-sample bound;</w:t>
      </w:r>
    </w:p>
    <w:p>
      <w:pPr>
        <w:pStyle w:val="ListBullet"/>
      </w:pPr>
      <w:r>
        <w:t>IS: importance-sampling/splitting certificate, если использован;</w:t>
      </w:r>
    </w:p>
    <w:p>
      <w:pPr>
        <w:pStyle w:val="ListBullet"/>
      </w:pPr>
      <w:r>
        <w:t>λ,D,Dom: projective-harmonic coordinate, sufficient foundation и admissible domain;</w:t>
      </w:r>
    </w:p>
    <w:p>
      <w:pPr>
        <w:pStyle w:val="ListBullet"/>
      </w:pPr>
      <w:r>
        <w:t>src,code,hash: воспроизводимость.</w:t>
      </w:r>
    </w:p>
    <w:p>
      <w:pPr/>
      <w:r>
        <w:t>Verdict допускает пять значений: IMPOSSIBLE-IN-MODEL, FINITE-SAMPLE-RISK-BOUND, EXPONENTIALLY-SUPPRESSED-IN-MODEL, CANDIDATE-RARE-TRANSITION, ABSTAIN.</w:t>
      </w:r>
    </w:p>
    <w:p>
      <w:bookmarkStart w:id="1296" w:name="h_3285"/>
      <w:pPr>
        <w:pStyle w:val="Heading1"/>
      </w:pPr>
      <w:r>
        <w:t>364. Large-deviation и finite-sample горизонты</w:t>
      </w:r>
      <w:bookmarkEnd w:id="1296"/>
    </w:p>
    <w:p>
      <w:pPr/>
      <w:r>
        <w:t>Введены</w:t>
      </w:r>
    </w:p>
    <w:p>
      <w:bookmarkStart w:id="2058" w:name="f_23_37"/>
      <w:pPr>
        <w:pStyle w:val="Quote"/>
        <w:jc w:val="center"/>
      </w:pPr>
      <w:r>
        <w:t>Δ_LD=Δ_speed∪Δ_top∪Δ_tight∪Δ_rate∪Δ_contract∪Δ_pole∪Δ_action∪Δ_inst.  (23.37)</w:t>
      </w:r>
      <w:bookmarkEnd w:id="2058"/>
    </w:p>
    <w:p>
      <w:bookmarkStart w:id="2059" w:name="f_23_38"/>
      <w:pPr>
        <w:pStyle w:val="Quote"/>
        <w:jc w:val="center"/>
      </w:pPr>
      <w:r>
        <w:t>Δ_RS=Δ_FK∪Δ_expint∪Δ_eig∪Δ_HJB∪Δ_tilt∪Δ_IS.  (23.38)</w:t>
      </w:r>
      <w:bookmarkEnd w:id="2059"/>
    </w:p>
    <w:p>
      <w:bookmarkStart w:id="2060" w:name="f_23_39"/>
      <w:pPr>
        <w:pStyle w:val="Quote"/>
        <w:jc w:val="center"/>
      </w:pPr>
      <w:r>
        <w:t>Δ_FS=Δ_iid∪Δ_dep∪Δ_tail∪Δ_amb∪Δ_cov∪Δ_sel∪Δ_stop∪Δ_shift∪Δ_ext.  (23.39)</w:t>
      </w:r>
      <w:bookmarkEnd w:id="2060"/>
    </w:p>
    <w:p>
      <w:bookmarkStart w:id="2061" w:name="f_23_40"/>
      <w:pPr>
        <w:pStyle w:val="Quote"/>
        <w:jc w:val="center"/>
      </w:pPr>
      <w:r>
        <w:t>Δ_safe^{v0.20}=Δ_safe^{v0.19}∪Δ_LD∪Δ_RS∪Δ_FS.  (23.40)</w:t>
      </w:r>
      <w:bookmarkEnd w:id="2061"/>
    </w:p>
    <w:p>
      <w:pPr/>
      <w:r>
        <w:t>Горизонт фиксирует не событие, а потерю класса теоремы или сертификата. Его пересечение требует пересборки, а не оптимистического продолжения вычислений.</w:t>
      </w:r>
    </w:p>
    <w:p>
      <w:bookmarkStart w:id="1297" w:name="h_3292"/>
      <w:pPr>
        <w:pStyle w:val="Heading1"/>
      </w:pPr>
      <w:r>
        <w:t>365. Главная условная теорема v0.20</w:t>
      </w:r>
      <w:bookmarkEnd w:id="1297"/>
    </w:p>
    <w:p>
      <w:bookmarkStart w:id="1678" w:name="s_THM_23_5"/>
      <w:pPr/>
      <w:r>
        <w:t>Теорема 23.5 (rare-event predictive safety theorem). [COND] Пусть H1-H14 выполнены:</w:t>
      </w:r>
      <w:bookmarkEnd w:id="1678"/>
    </w:p>
    <w:p>
      <w:pPr>
        <w:pStyle w:val="ListNumber"/>
      </w:pPr>
      <w:r>
        <w:t>семейство законов и speed определены на фиксированном path carrier;</w:t>
      </w:r>
    </w:p>
    <w:p>
      <w:pPr>
        <w:pStyle w:val="ListNumber"/>
      </w:pPr>
      <w:r>
        <w:t>LDP или Laplace principle доказан с good rate I;</w:t>
      </w:r>
    </w:p>
    <w:p>
      <w:pPr>
        <w:pStyle w:val="ListNumber"/>
      </w:pPr>
      <w:r>
        <w:t>exponential tightness и target measurability закрыты;</w:t>
      </w:r>
    </w:p>
    <w:p>
      <w:pPr>
        <w:pStyle w:val="ListNumber"/>
      </w:pPr>
      <w:r>
        <w:t>contraction maps к Reper/λ непрерывны вне сертифицированного pole set;</w:t>
      </w:r>
    </w:p>
    <w:p>
      <w:pPr>
        <w:pStyle w:val="ListNumber"/>
      </w:pPr>
      <w:r>
        <w:t>action barrier c_A вычислен с certified optimization residual;</w:t>
      </w:r>
    </w:p>
    <w:p>
      <w:pPr>
        <w:pStyle w:val="ListNumber"/>
      </w:pPr>
      <w:r>
        <w:t>для finite-n вывода дан remainder либо отдельный concentration bound;</w:t>
      </w:r>
    </w:p>
    <w:p>
      <w:pPr>
        <w:pStyle w:val="ListNumber"/>
      </w:pPr>
      <w:r>
        <w:t>ambiguity set имеет coverage 1-β;</w:t>
      </w:r>
    </w:p>
    <w:p>
      <w:pPr>
        <w:pStyle w:val="ListNumber"/>
      </w:pPr>
      <w:r>
        <w:t>robust risk B_N вычислен с certified duality gap;</w:t>
      </w:r>
    </w:p>
    <w:p>
      <w:pPr>
        <w:pStyle w:val="ListNumber"/>
      </w:pPr>
      <w:r>
        <w:t>importance-sampling weights корректны и интегрируемы;</w:t>
      </w:r>
    </w:p>
    <w:p>
      <w:pPr>
        <w:pStyle w:val="ListNumber"/>
      </w:pPr>
      <w:r>
        <w:t>D/Dom, provenance и selection ledger валидны;</w:t>
      </w:r>
    </w:p>
    <w:p>
      <w:pPr>
        <w:pStyle w:val="ListNumber"/>
      </w:pPr>
      <w:r>
        <w:t>optional stopping и dependence учтены;</w:t>
      </w:r>
    </w:p>
    <w:p>
      <w:pPr>
        <w:pStyle w:val="ListNumber"/>
      </w:pPr>
      <w:r>
        <w:t>domain shift ограничен заявленным классом;</w:t>
      </w:r>
    </w:p>
    <w:p>
      <w:pPr>
        <w:pStyle w:val="ListNumber"/>
      </w:pPr>
      <w:r>
        <w:t>внешний тест не использован для настройки;</w:t>
      </w:r>
    </w:p>
    <w:p>
      <w:pPr>
        <w:pStyle w:val="ListNumber"/>
      </w:pPr>
      <w:r>
        <w:t>путь параметров не пересекает Δ_safe^{v0.20}.</w:t>
      </w:r>
    </w:p>
    <w:p>
      <w:pPr/>
      <w:r>
        <w:t>Тогда:</w:t>
      </w:r>
    </w:p>
    <w:p>
      <w:pPr>
        <w:pStyle w:val="ListBullet"/>
      </w:pPr>
      <w:r>
        <w:t>если A не пересекает admissible support, P(A)=0 внутри модели и разрешён IMPOSSIBLE-IN-MODEL;</w:t>
      </w:r>
    </w:p>
    <w:p>
      <w:pPr>
        <w:pStyle w:val="ListBullet"/>
      </w:pPr>
      <w:r>
        <w:t>если B_N≤α, то с confidence 1-β разрешён FINITE-SAMPLE-RISK-BOUND α;</w:t>
      </w:r>
    </w:p>
    <w:p>
      <w:pPr>
        <w:pStyle w:val="ListBullet"/>
      </w:pPr>
      <w:r>
        <w:t>если c_A&gt;0, но finite-n remainder отсутствует, разрешён только EXPONENTIALLY-SUPPRESSED-IN-MODEL;</w:t>
      </w:r>
    </w:p>
    <w:p>
      <w:pPr>
        <w:pStyle w:val="ListBullet"/>
      </w:pPr>
      <w:r>
        <w:t>если найден low-action path без upper certificate, разрешён только CANDIDATE-RARE-TRANSITION;</w:t>
      </w:r>
    </w:p>
    <w:p>
      <w:pPr>
        <w:pStyle w:val="ListBullet"/>
      </w:pPr>
      <w:r>
        <w:t>при любом незакрытом H_i выдаётся ABSTAIN.</w:t>
      </w:r>
    </w:p>
    <w:p>
      <w:pPr/>
      <w:r>
        <w:t>Теорема не утверждает наступление события, причинность, физическую реализацию или универсальность NAPG-динамики.</w:t>
      </w:r>
    </w:p>
    <w:p>
      <w:bookmarkStart w:id="1298" w:name="h_3315"/>
      <w:pPr>
        <w:pStyle w:val="Heading1"/>
      </w:pPr>
      <w:r>
        <w:t>366. Контрпримеры и запреты</w:t>
      </w:r>
      <w:bookmarkEnd w:id="1298"/>
    </w:p>
    <w:p>
      <w:pPr>
        <w:pStyle w:val="ListBullet"/>
      </w:pPr>
      <w:r>
        <w:t>Одинаковый LDP exponent допускает разные finite-n probabilities из-за subexponential prefactors.</w:t>
      </w:r>
    </w:p>
    <w:p>
      <w:pPr>
        <w:pStyle w:val="ListBullet"/>
      </w:pPr>
      <w:r>
        <w:t>Положительный quasipotential barrier не делает вероятность нулевой.</w:t>
      </w:r>
    </w:p>
    <w:p>
      <w:pPr>
        <w:pStyle w:val="ListBullet"/>
      </w:pPr>
      <w:r>
        <w:t>Нулевой observed count не означает p=0; точная upper bound дана (23.32).</w:t>
      </w:r>
    </w:p>
    <w:p>
      <w:pPr>
        <w:pStyle w:val="ListBullet"/>
      </w:pPr>
      <w:r>
        <w:t>KL-ball вокруг empirical law может не видеть новый support и дать ложное чувство безопасности.</w:t>
      </w:r>
    </w:p>
    <w:p>
      <w:pPr>
        <w:pStyle w:val="ListBullet"/>
      </w:pPr>
      <w:r>
        <w:t>Wasserstein ball с произвольным радиусом не имеет coverage status.</w:t>
      </w:r>
    </w:p>
    <w:p>
      <w:pPr>
        <w:pStyle w:val="ListBullet"/>
      </w:pPr>
      <w:r>
        <w:t>Недифференцируемая Λ не всегда означает физический phase transition.</w:t>
      </w:r>
    </w:p>
    <w:p>
      <w:pPr>
        <w:pStyle w:val="ListBullet"/>
      </w:pPr>
      <w:r>
        <w:t>Один minimum-action path не покрывает несколько competing instantons.</w:t>
      </w:r>
    </w:p>
    <w:p>
      <w:pPr>
        <w:pStyle w:val="ListBullet"/>
      </w:pPr>
      <w:r>
        <w:t>Importance proposal без absolute continuity даёт смещённый estimator.</w:t>
      </w:r>
    </w:p>
    <w:p>
      <w:pPr>
        <w:pStyle w:val="ListBullet"/>
      </w:pPr>
      <w:r>
        <w:t>Risk-sensitive eigenvalue не является event probability.</w:t>
      </w:r>
    </w:p>
    <w:p>
      <w:pPr>
        <w:pStyle w:val="ListBullet"/>
      </w:pPr>
      <w:r>
        <w:t>λ-проекция через pole set может разрушить contraction principle.</w:t>
      </w:r>
    </w:p>
    <w:p>
      <w:pPr>
        <w:pStyle w:val="ListBullet"/>
      </w:pPr>
      <w:r>
        <w:t>Finite sample не идентифицирует дальний tail без структурного класса.</w:t>
      </w:r>
    </w:p>
    <w:p>
      <w:pPr>
        <w:pStyle w:val="ListBullet"/>
      </w:pPr>
      <w:r>
        <w:t>Asymptotic optimality sampling scheme не гарантирует малую ошибку при данном n.</w:t>
      </w:r>
    </w:p>
    <w:p>
      <w:bookmarkStart w:id="1299" w:name="h_3328"/>
      <w:pPr>
        <w:pStyle w:val="Heading1"/>
      </w:pPr>
      <w:r>
        <w:t>367. Вычислительный сертификат LD-RISK v0.20</w:t>
      </w:r>
      <w:bookmarkEnd w:id="1299"/>
    </w:p>
    <w:p>
      <w:pPr>
        <w:pStyle w:val="ListBullet"/>
      </w:pPr>
      <w:r>
        <w:t>LD-01 state carrier; 02 topology; 03 law family; 04 speed; 05 measurable target; 06 exponential tightness;</w:t>
      </w:r>
    </w:p>
    <w:p>
      <w:pPr>
        <w:pStyle w:val="ListBullet"/>
      </w:pPr>
      <w:r>
        <w:t>07 lower bound; 08 upper bound; 09 good-rate test; 10 contraction map; 11 pole/singularity audit; 12 Laplace principle;</w:t>
      </w:r>
    </w:p>
    <w:p>
      <w:pPr>
        <w:pStyle w:val="ListBullet"/>
      </w:pPr>
      <w:r>
        <w:t>13 SCGF; 14 Legendre-Fenchel transform; 15 Gärtner-Ellis regularity; 16 empirical-measure/Sanov channel;</w:t>
      </w:r>
    </w:p>
    <w:p>
      <w:pPr>
        <w:pStyle w:val="ListBullet"/>
      </w:pPr>
      <w:r>
        <w:t>17 path action; 18 control representation; 19 quasipotential; 20 instanton multiplicity; 21 optimization residual; 22 action sensitivity;</w:t>
      </w:r>
    </w:p>
    <w:p>
      <w:pPr>
        <w:pStyle w:val="ListBullet"/>
      </w:pPr>
      <w:r>
        <w:t>23 Donsker-Varadhan functional; 24 Feynman-Kac semigroup; 25 risk-sensitive transform; 26 eigenvalue/HJB verification;</w:t>
      </w:r>
    </w:p>
    <w:p>
      <w:pPr>
        <w:pStyle w:val="ListBullet"/>
      </w:pPr>
      <w:r>
        <w:t>27 importance proposal; 28 likelihood ratios; 29 second-moment efficiency; 30 splitting dependence; 31 unbiasedness tests;</w:t>
      </w:r>
    </w:p>
    <w:p>
      <w:pPr>
        <w:pStyle w:val="ListBullet"/>
      </w:pPr>
      <w:r>
        <w:t>32 ambiguity metric; 33 radius/coverage theorem; 34 KL duality; 35 Wasserstein duality; 36 robust chance bound;</w:t>
      </w:r>
    </w:p>
    <w:p>
      <w:pPr>
        <w:pStyle w:val="ListBullet"/>
      </w:pPr>
      <w:r>
        <w:t>37 exact binomial bound; 38 bounded-loss concentration; 39 sequential validity; 40 selection/dependence ledger;</w:t>
      </w:r>
    </w:p>
    <w:p>
      <w:pPr>
        <w:pStyle w:val="ListBullet"/>
      </w:pPr>
      <w:r>
        <w:t>41 Reper/λ rare-event target; 42 D/Dom and provenance; 43 blocker-safe verdict; 44 source/code/data/environment hashes.</w:t>
      </w:r>
    </w:p>
    <w:p>
      <w:pPr>
        <w:pStyle w:val="Heading2"/>
      </w:pPr>
      <w:r>
        <w:t>Псевдокод</w:t>
      </w:r>
    </w:p>
    <w:p>
      <w:pPr>
        <w:pStyle w:val="Quote"/>
        <w:jc w:val="center"/>
      </w:pPr>
      <w:r>
        <w:t>INPUT law family P_n/P^ε, speed, topology, target A, Reper map, data, D, Dom</w:t>
        <w:br/>
        <w:t>CHECK LDP/Laplace assumptions, exponential tightness, contraction continuity and pole set</w:t>
        <w:br/>
        <w:t>COMPUTE rate I, action barrier c_A, instantons and certified residuals</w:t>
        <w:br/>
        <w:t>IF finite-n claim requested REQUIRE remainder or concentration/ambiguity coverage</w:t>
        <w:br/>
        <w:t>BUILD robust bound B_N and exact rare-event confidence layer</w:t>
        <w:br/>
        <w:t>AUDIT importance weights, dependence, selection, stopping and domain shift</w:t>
        <w:br/>
        <w:t>IF support(A)=empty THEN IMPOSSIBLE-IN-MODEL</w:t>
        <w:br/>
        <w:t>ELSE IF B_N&lt;=alpha THEN FINITE-SAMPLE-RISK-BOUND</w:t>
        <w:br/>
        <w:t>ELSE IF c_A&gt;0 THEN EXPONENTIALLY-SUPPRESSED-IN-MODEL</w:t>
        <w:br/>
        <w:t>ELSE IF low-action path exists THEN CANDIDATE-RARE-TRANSITION</w:t>
        <w:br/>
        <w:t>ELSE ABSTAIN</w:t>
        <w:br/>
        <w:t>RECORD hashes; truth_layer_promotion=0.</w:t>
      </w:r>
    </w:p>
    <w:p>
      <w:bookmarkStart w:id="1300" w:name="h_3340"/>
      <w:pPr>
        <w:pStyle w:val="Heading1"/>
      </w:pPr>
      <w:r>
        <w:t>368. Доказательные обязательства T2-PO-387-T2-PO-426</w:t>
      </w:r>
      <w:bookmarkEnd w:id="1300"/>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512"/>
            <w:shd w:fill="1f426b"/>
            <w:tcMar>
              <w:top w:w="35" w:type="dxa"/>
              <w:start w:w="65" w:type="dxa"/>
              <w:bottom w:w="35" w:type="dxa"/>
              <w:end w:w="65" w:type="dxa"/>
            </w:tcMar>
          </w:tcPr>
          <w:p>
            <w:pPr>
              <w:spacing w:before="0" w:after="0" w:line="240" w:lineRule="auto"/>
            </w:pPr>
            <w:r>
              <w:rPr>
                <w:b/>
                <w:color w:val="FFFFFF"/>
                <w:sz w:val="15"/>
              </w:rPr>
              <w:t>PO</w:t>
            </w:r>
          </w:p>
        </w:tc>
        <w:tc>
          <w:tcPr>
            <w:tcW w:type="dxa" w:w="5112"/>
            <w:shd w:fill="1f426b"/>
            <w:tcMar>
              <w:top w:w="35" w:type="dxa"/>
              <w:start w:w="65" w:type="dxa"/>
              <w:bottom w:w="35" w:type="dxa"/>
              <w:end w:w="65" w:type="dxa"/>
            </w:tcMar>
          </w:tcPr>
          <w:p>
            <w:pPr>
              <w:spacing w:before="0" w:after="0" w:line="240" w:lineRule="auto"/>
            </w:pPr>
            <w:r>
              <w:rPr>
                <w:b/>
                <w:color w:val="FFFFFF"/>
                <w:sz w:val="15"/>
              </w:rPr>
              <w:t>Обязательство</w:t>
            </w:r>
          </w:p>
        </w:tc>
        <w:tc>
          <w:tcPr>
            <w:tcW w:type="dxa" w:w="1224"/>
            <w:shd w:fill="1f426b"/>
            <w:tcMar>
              <w:top w:w="35" w:type="dxa"/>
              <w:start w:w="65" w:type="dxa"/>
              <w:bottom w:w="35" w:type="dxa"/>
              <w:end w:w="65" w:type="dxa"/>
            </w:tcMar>
          </w:tcPr>
          <w:p>
            <w:pPr>
              <w:spacing w:before="0" w:after="0" w:line="240" w:lineRule="auto"/>
            </w:pPr>
            <w:r>
              <w:rPr>
                <w:b/>
                <w:color w:val="FFFFFF"/>
                <w:sz w:val="15"/>
              </w:rPr>
              <w:t>Статус</w:t>
            </w:r>
          </w:p>
        </w:tc>
        <w:tc>
          <w:tcPr>
            <w:tcW w:type="dxa" w:w="1944"/>
            <w:shd w:fill="1f426b"/>
            <w:tcMar>
              <w:top w:w="35" w:type="dxa"/>
              <w:start w:w="65" w:type="dxa"/>
              <w:bottom w:w="35" w:type="dxa"/>
              <w:end w:w="65" w:type="dxa"/>
            </w:tcMar>
          </w:tcPr>
          <w:p>
            <w:pPr>
              <w:spacing w:before="0" w:after="0" w:line="240" w:lineRule="auto"/>
            </w:pPr>
            <w:r>
              <w:rPr>
                <w:b/>
                <w:color w:val="FFFFFF"/>
                <w:sz w:val="15"/>
              </w:rPr>
              <w:t>Основание / следующий шаг</w:t>
            </w:r>
          </w:p>
        </w:tc>
      </w:tr>
      <w:tr>
        <w:trPr>
          <w:cantSplit/>
        </w:trPr>
        <w:tc>
          <w:tcPr>
            <w:tcW w:type="dxa" w:w="1512"/>
            <w:tcMar>
              <w:top w:w="35" w:type="dxa"/>
              <w:start w:w="65" w:type="dxa"/>
              <w:bottom w:w="35" w:type="dxa"/>
              <w:end w:w="65" w:type="dxa"/>
            </w:tcMar>
            <w:vAlign w:val="center"/>
          </w:tcPr>
          <w:p>
            <w:bookmarkStart w:id="2483" w:name="po_387"/>
            <w:pPr>
              <w:spacing w:before="0" w:after="0" w:line="240" w:lineRule="auto"/>
            </w:pPr>
            <w:r>
              <w:rPr>
                <w:sz w:val="15"/>
              </w:rPr>
              <w:t>T2-PO-387</w:t>
            </w:r>
            <w:bookmarkEnd w:id="2483"/>
          </w:p>
        </w:tc>
        <w:tc>
          <w:tcPr>
            <w:tcW w:type="dxa" w:w="5112"/>
            <w:tcMar>
              <w:top w:w="35" w:type="dxa"/>
              <w:start w:w="65" w:type="dxa"/>
              <w:bottom w:w="35" w:type="dxa"/>
              <w:end w:w="65" w:type="dxa"/>
            </w:tcMar>
            <w:vAlign w:val="center"/>
          </w:tcPr>
          <w:p>
            <w:pPr>
              <w:spacing w:before="0" w:after="0" w:line="240" w:lineRule="auto"/>
            </w:pPr>
            <w:r>
              <w:rPr>
                <w:sz w:val="15"/>
              </w:rPr>
              <w:t>State/path carrier and topology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Domain-specific</w:t>
            </w:r>
          </w:p>
        </w:tc>
      </w:tr>
      <w:tr>
        <w:trPr>
          <w:cantSplit/>
        </w:trPr>
        <w:tc>
          <w:tcPr>
            <w:tcW w:type="dxa" w:w="1512"/>
            <w:tcMar>
              <w:top w:w="35" w:type="dxa"/>
              <w:start w:w="65" w:type="dxa"/>
              <w:bottom w:w="35" w:type="dxa"/>
              <w:end w:w="65" w:type="dxa"/>
            </w:tcMar>
            <w:vAlign w:val="center"/>
          </w:tcPr>
          <w:p>
            <w:bookmarkStart w:id="2484" w:name="po_388"/>
            <w:pPr>
              <w:spacing w:before="0" w:after="0" w:line="240" w:lineRule="auto"/>
            </w:pPr>
            <w:r>
              <w:rPr>
                <w:sz w:val="15"/>
              </w:rPr>
              <w:t>T2-PO-388</w:t>
            </w:r>
            <w:bookmarkEnd w:id="2484"/>
          </w:p>
        </w:tc>
        <w:tc>
          <w:tcPr>
            <w:tcW w:type="dxa" w:w="5112"/>
            <w:tcMar>
              <w:top w:w="35" w:type="dxa"/>
              <w:start w:w="65" w:type="dxa"/>
              <w:bottom w:w="35" w:type="dxa"/>
              <w:end w:w="65" w:type="dxa"/>
            </w:tcMar>
            <w:vAlign w:val="center"/>
          </w:tcPr>
          <w:p>
            <w:pPr>
              <w:spacing w:before="0" w:after="0" w:line="240" w:lineRule="auto"/>
            </w:pPr>
            <w:r>
              <w:rPr>
                <w:sz w:val="15"/>
              </w:rPr>
              <w:t>Speed a_n and law family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Model-specific</w:t>
            </w:r>
          </w:p>
        </w:tc>
      </w:tr>
      <w:tr>
        <w:trPr>
          <w:cantSplit/>
        </w:trPr>
        <w:tc>
          <w:tcPr>
            <w:tcW w:type="dxa" w:w="1512"/>
            <w:tcMar>
              <w:top w:w="35" w:type="dxa"/>
              <w:start w:w="65" w:type="dxa"/>
              <w:bottom w:w="35" w:type="dxa"/>
              <w:end w:w="65" w:type="dxa"/>
            </w:tcMar>
            <w:vAlign w:val="center"/>
          </w:tcPr>
          <w:p>
            <w:bookmarkStart w:id="2485" w:name="po_389"/>
            <w:pPr>
              <w:spacing w:before="0" w:after="0" w:line="240" w:lineRule="auto"/>
            </w:pPr>
            <w:r>
              <w:rPr>
                <w:sz w:val="15"/>
              </w:rPr>
              <w:t>T2-PO-389</w:t>
            </w:r>
            <w:bookmarkEnd w:id="2485"/>
          </w:p>
        </w:tc>
        <w:tc>
          <w:tcPr>
            <w:tcW w:type="dxa" w:w="5112"/>
            <w:tcMar>
              <w:top w:w="35" w:type="dxa"/>
              <w:start w:w="65" w:type="dxa"/>
              <w:bottom w:w="35" w:type="dxa"/>
              <w:end w:w="65" w:type="dxa"/>
            </w:tcMar>
            <w:vAlign w:val="center"/>
          </w:tcPr>
          <w:p>
            <w:pPr>
              <w:spacing w:before="0" w:after="0" w:line="240" w:lineRule="auto"/>
            </w:pPr>
            <w:r>
              <w:rPr>
                <w:sz w:val="15"/>
              </w:rPr>
              <w:t>LDP lower bound</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Concrete family</w:t>
            </w:r>
          </w:p>
        </w:tc>
      </w:tr>
      <w:tr>
        <w:trPr>
          <w:cantSplit/>
        </w:trPr>
        <w:tc>
          <w:tcPr>
            <w:tcW w:type="dxa" w:w="1512"/>
            <w:tcMar>
              <w:top w:w="35" w:type="dxa"/>
              <w:start w:w="65" w:type="dxa"/>
              <w:bottom w:w="35" w:type="dxa"/>
              <w:end w:w="65" w:type="dxa"/>
            </w:tcMar>
            <w:vAlign w:val="center"/>
          </w:tcPr>
          <w:p>
            <w:bookmarkStart w:id="2486" w:name="po_390"/>
            <w:pPr>
              <w:spacing w:before="0" w:after="0" w:line="240" w:lineRule="auto"/>
            </w:pPr>
            <w:r>
              <w:rPr>
                <w:sz w:val="15"/>
              </w:rPr>
              <w:t>T2-PO-390</w:t>
            </w:r>
            <w:bookmarkEnd w:id="2486"/>
          </w:p>
        </w:tc>
        <w:tc>
          <w:tcPr>
            <w:tcW w:type="dxa" w:w="5112"/>
            <w:tcMar>
              <w:top w:w="35" w:type="dxa"/>
              <w:start w:w="65" w:type="dxa"/>
              <w:bottom w:w="35" w:type="dxa"/>
              <w:end w:w="65" w:type="dxa"/>
            </w:tcMar>
            <w:vAlign w:val="center"/>
          </w:tcPr>
          <w:p>
            <w:pPr>
              <w:spacing w:before="0" w:after="0" w:line="240" w:lineRule="auto"/>
            </w:pPr>
            <w:r>
              <w:rPr>
                <w:sz w:val="15"/>
              </w:rPr>
              <w:t>LDP upper bound</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Concrete family</w:t>
            </w:r>
          </w:p>
        </w:tc>
      </w:tr>
      <w:tr>
        <w:trPr>
          <w:cantSplit/>
        </w:trPr>
        <w:tc>
          <w:tcPr>
            <w:tcW w:type="dxa" w:w="1512"/>
            <w:tcMar>
              <w:top w:w="35" w:type="dxa"/>
              <w:start w:w="65" w:type="dxa"/>
              <w:bottom w:w="35" w:type="dxa"/>
              <w:end w:w="65" w:type="dxa"/>
            </w:tcMar>
            <w:vAlign w:val="center"/>
          </w:tcPr>
          <w:p>
            <w:bookmarkStart w:id="2487" w:name="po_391"/>
            <w:pPr>
              <w:spacing w:before="0" w:after="0" w:line="240" w:lineRule="auto"/>
            </w:pPr>
            <w:r>
              <w:rPr>
                <w:sz w:val="15"/>
              </w:rPr>
              <w:t>T2-PO-391</w:t>
            </w:r>
            <w:bookmarkEnd w:id="2487"/>
          </w:p>
        </w:tc>
        <w:tc>
          <w:tcPr>
            <w:tcW w:type="dxa" w:w="5112"/>
            <w:tcMar>
              <w:top w:w="35" w:type="dxa"/>
              <w:start w:w="65" w:type="dxa"/>
              <w:bottom w:w="35" w:type="dxa"/>
              <w:end w:w="65" w:type="dxa"/>
            </w:tcMar>
            <w:vAlign w:val="center"/>
          </w:tcPr>
          <w:p>
            <w:pPr>
              <w:spacing w:before="0" w:after="0" w:line="240" w:lineRule="auto"/>
            </w:pPr>
            <w:r>
              <w:rPr>
                <w:sz w:val="15"/>
              </w:rPr>
              <w:t>Exponential tightness</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Path-space compactness</w:t>
            </w:r>
          </w:p>
        </w:tc>
      </w:tr>
      <w:tr>
        <w:trPr>
          <w:cantSplit/>
        </w:trPr>
        <w:tc>
          <w:tcPr>
            <w:tcW w:type="dxa" w:w="1512"/>
            <w:tcMar>
              <w:top w:w="35" w:type="dxa"/>
              <w:start w:w="65" w:type="dxa"/>
              <w:bottom w:w="35" w:type="dxa"/>
              <w:end w:w="65" w:type="dxa"/>
            </w:tcMar>
            <w:vAlign w:val="center"/>
          </w:tcPr>
          <w:p>
            <w:bookmarkStart w:id="2488" w:name="po_392"/>
            <w:pPr>
              <w:spacing w:before="0" w:after="0" w:line="240" w:lineRule="auto"/>
            </w:pPr>
            <w:r>
              <w:rPr>
                <w:sz w:val="15"/>
              </w:rPr>
              <w:t>T2-PO-392</w:t>
            </w:r>
            <w:bookmarkEnd w:id="2488"/>
          </w:p>
        </w:tc>
        <w:tc>
          <w:tcPr>
            <w:tcW w:type="dxa" w:w="5112"/>
            <w:tcMar>
              <w:top w:w="35" w:type="dxa"/>
              <w:start w:w="65" w:type="dxa"/>
              <w:bottom w:w="35" w:type="dxa"/>
              <w:end w:w="65" w:type="dxa"/>
            </w:tcMar>
            <w:vAlign w:val="center"/>
          </w:tcPr>
          <w:p>
            <w:pPr>
              <w:spacing w:before="0" w:after="0" w:line="240" w:lineRule="auto"/>
            </w:pPr>
            <w:r>
              <w:rPr>
                <w:sz w:val="15"/>
              </w:rPr>
              <w:t>Good rate function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Level-set compactness</w:t>
            </w:r>
          </w:p>
        </w:tc>
      </w:tr>
      <w:tr>
        <w:trPr>
          <w:cantSplit/>
        </w:trPr>
        <w:tc>
          <w:tcPr>
            <w:tcW w:type="dxa" w:w="1512"/>
            <w:tcMar>
              <w:top w:w="35" w:type="dxa"/>
              <w:start w:w="65" w:type="dxa"/>
              <w:bottom w:w="35" w:type="dxa"/>
              <w:end w:w="65" w:type="dxa"/>
            </w:tcMar>
            <w:vAlign w:val="center"/>
          </w:tcPr>
          <w:p>
            <w:bookmarkStart w:id="2489" w:name="po_393"/>
            <w:pPr>
              <w:spacing w:before="0" w:after="0" w:line="240" w:lineRule="auto"/>
            </w:pPr>
            <w:r>
              <w:rPr>
                <w:sz w:val="15"/>
              </w:rPr>
              <w:t>T2-PO-393</w:t>
            </w:r>
            <w:bookmarkEnd w:id="2489"/>
          </w:p>
        </w:tc>
        <w:tc>
          <w:tcPr>
            <w:tcW w:type="dxa" w:w="5112"/>
            <w:tcMar>
              <w:top w:w="35" w:type="dxa"/>
              <w:start w:w="65" w:type="dxa"/>
              <w:bottom w:w="35" w:type="dxa"/>
              <w:end w:w="65" w:type="dxa"/>
            </w:tcMar>
            <w:vAlign w:val="center"/>
          </w:tcPr>
          <w:p>
            <w:pPr>
              <w:spacing w:before="0" w:after="0" w:line="240" w:lineRule="auto"/>
            </w:pPr>
            <w:r>
              <w:rPr>
                <w:sz w:val="15"/>
              </w:rPr>
              <w:t>Contraction map continuity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Away from poles</w:t>
            </w:r>
          </w:p>
        </w:tc>
      </w:tr>
      <w:tr>
        <w:trPr>
          <w:cantSplit/>
        </w:trPr>
        <w:tc>
          <w:tcPr>
            <w:tcW w:type="dxa" w:w="1512"/>
            <w:tcMar>
              <w:top w:w="35" w:type="dxa"/>
              <w:start w:w="65" w:type="dxa"/>
              <w:bottom w:w="35" w:type="dxa"/>
              <w:end w:w="65" w:type="dxa"/>
            </w:tcMar>
            <w:vAlign w:val="center"/>
          </w:tcPr>
          <w:p>
            <w:bookmarkStart w:id="2490" w:name="po_394"/>
            <w:pPr>
              <w:spacing w:before="0" w:after="0" w:line="240" w:lineRule="auto"/>
            </w:pPr>
            <w:r>
              <w:rPr>
                <w:sz w:val="15"/>
              </w:rPr>
              <w:t>T2-PO-394</w:t>
            </w:r>
            <w:bookmarkEnd w:id="2490"/>
          </w:p>
        </w:tc>
        <w:tc>
          <w:tcPr>
            <w:tcW w:type="dxa" w:w="5112"/>
            <w:tcMar>
              <w:top w:w="35" w:type="dxa"/>
              <w:start w:w="65" w:type="dxa"/>
              <w:bottom w:w="35" w:type="dxa"/>
              <w:end w:w="65" w:type="dxa"/>
            </w:tcMar>
            <w:vAlign w:val="center"/>
          </w:tcPr>
          <w:p>
            <w:pPr>
              <w:spacing w:before="0" w:after="0" w:line="240" w:lineRule="auto"/>
            </w:pPr>
            <w:r>
              <w:rPr>
                <w:sz w:val="15"/>
              </w:rPr>
              <w:t>λ pole-set repair</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Projective graph/exponential negligibility</w:t>
            </w:r>
          </w:p>
        </w:tc>
      </w:tr>
      <w:tr>
        <w:trPr>
          <w:cantSplit/>
        </w:trPr>
        <w:tc>
          <w:tcPr>
            <w:tcW w:type="dxa" w:w="1512"/>
            <w:tcMar>
              <w:top w:w="35" w:type="dxa"/>
              <w:start w:w="65" w:type="dxa"/>
              <w:bottom w:w="35" w:type="dxa"/>
              <w:end w:w="65" w:type="dxa"/>
            </w:tcMar>
            <w:vAlign w:val="center"/>
          </w:tcPr>
          <w:p>
            <w:bookmarkStart w:id="2491" w:name="po_395"/>
            <w:pPr>
              <w:spacing w:before="0" w:after="0" w:line="240" w:lineRule="auto"/>
            </w:pPr>
            <w:r>
              <w:rPr>
                <w:sz w:val="15"/>
              </w:rPr>
              <w:t>T2-PO-395</w:t>
            </w:r>
            <w:bookmarkEnd w:id="2491"/>
          </w:p>
        </w:tc>
        <w:tc>
          <w:tcPr>
            <w:tcW w:type="dxa" w:w="5112"/>
            <w:tcMar>
              <w:top w:w="35" w:type="dxa"/>
              <w:start w:w="65" w:type="dxa"/>
              <w:bottom w:w="35" w:type="dxa"/>
              <w:end w:w="65" w:type="dxa"/>
            </w:tcMar>
            <w:vAlign w:val="center"/>
          </w:tcPr>
          <w:p>
            <w:pPr>
              <w:spacing w:before="0" w:after="0" w:line="240" w:lineRule="auto"/>
            </w:pPr>
            <w:r>
              <w:rPr>
                <w:sz w:val="15"/>
              </w:rPr>
              <w:t>Laplace principle equivalence</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Polish-space package</w:t>
            </w:r>
          </w:p>
        </w:tc>
      </w:tr>
      <w:tr>
        <w:trPr>
          <w:cantSplit/>
        </w:trPr>
        <w:tc>
          <w:tcPr>
            <w:tcW w:type="dxa" w:w="1512"/>
            <w:tcMar>
              <w:top w:w="35" w:type="dxa"/>
              <w:start w:w="65" w:type="dxa"/>
              <w:bottom w:w="35" w:type="dxa"/>
              <w:end w:w="65" w:type="dxa"/>
            </w:tcMar>
            <w:vAlign w:val="center"/>
          </w:tcPr>
          <w:p>
            <w:bookmarkStart w:id="2492" w:name="po_396"/>
            <w:pPr>
              <w:spacing w:before="0" w:after="0" w:line="240" w:lineRule="auto"/>
            </w:pPr>
            <w:r>
              <w:rPr>
                <w:sz w:val="15"/>
              </w:rPr>
              <w:t>T2-PO-396</w:t>
            </w:r>
            <w:bookmarkEnd w:id="2492"/>
          </w:p>
        </w:tc>
        <w:tc>
          <w:tcPr>
            <w:tcW w:type="dxa" w:w="5112"/>
            <w:tcMar>
              <w:top w:w="35" w:type="dxa"/>
              <w:start w:w="65" w:type="dxa"/>
              <w:bottom w:w="35" w:type="dxa"/>
              <w:end w:w="65" w:type="dxa"/>
            </w:tcMar>
            <w:vAlign w:val="center"/>
          </w:tcPr>
          <w:p>
            <w:pPr>
              <w:spacing w:before="0" w:after="0" w:line="240" w:lineRule="auto"/>
            </w:pPr>
            <w:r>
              <w:rPr>
                <w:sz w:val="15"/>
              </w:rPr>
              <w:t>Gärtner-Ellis differentiability/steepness</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SCGF-specific</w:t>
            </w:r>
          </w:p>
        </w:tc>
      </w:tr>
      <w:tr>
        <w:trPr>
          <w:cantSplit/>
        </w:trPr>
        <w:tc>
          <w:tcPr>
            <w:tcW w:type="dxa" w:w="1512"/>
            <w:tcMar>
              <w:top w:w="35" w:type="dxa"/>
              <w:start w:w="65" w:type="dxa"/>
              <w:bottom w:w="35" w:type="dxa"/>
              <w:end w:w="65" w:type="dxa"/>
            </w:tcMar>
            <w:vAlign w:val="center"/>
          </w:tcPr>
          <w:p>
            <w:bookmarkStart w:id="2493" w:name="po_397"/>
            <w:pPr>
              <w:spacing w:before="0" w:after="0" w:line="240" w:lineRule="auto"/>
            </w:pPr>
            <w:r>
              <w:rPr>
                <w:sz w:val="15"/>
              </w:rPr>
              <w:t>T2-PO-397</w:t>
            </w:r>
            <w:bookmarkEnd w:id="2493"/>
          </w:p>
        </w:tc>
        <w:tc>
          <w:tcPr>
            <w:tcW w:type="dxa" w:w="5112"/>
            <w:tcMar>
              <w:top w:w="35" w:type="dxa"/>
              <w:start w:w="65" w:type="dxa"/>
              <w:bottom w:w="35" w:type="dxa"/>
              <w:end w:w="65" w:type="dxa"/>
            </w:tcMar>
            <w:vAlign w:val="center"/>
          </w:tcPr>
          <w:p>
            <w:pPr>
              <w:spacing w:before="0" w:after="0" w:line="240" w:lineRule="auto"/>
            </w:pPr>
            <w:r>
              <w:rPr>
                <w:sz w:val="15"/>
              </w:rPr>
              <w:t>Sanov empirical-measure layer</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IID sector</w:t>
            </w:r>
          </w:p>
        </w:tc>
      </w:tr>
      <w:tr>
        <w:trPr>
          <w:cantSplit/>
        </w:trPr>
        <w:tc>
          <w:tcPr>
            <w:tcW w:type="dxa" w:w="1512"/>
            <w:tcMar>
              <w:top w:w="35" w:type="dxa"/>
              <w:start w:w="65" w:type="dxa"/>
              <w:bottom w:w="35" w:type="dxa"/>
              <w:end w:w="65" w:type="dxa"/>
            </w:tcMar>
            <w:vAlign w:val="center"/>
          </w:tcPr>
          <w:p>
            <w:bookmarkStart w:id="2494" w:name="po_398"/>
            <w:pPr>
              <w:spacing w:before="0" w:after="0" w:line="240" w:lineRule="auto"/>
            </w:pPr>
            <w:r>
              <w:rPr>
                <w:sz w:val="15"/>
              </w:rPr>
              <w:t>T2-PO-398</w:t>
            </w:r>
            <w:bookmarkEnd w:id="2494"/>
          </w:p>
        </w:tc>
        <w:tc>
          <w:tcPr>
            <w:tcW w:type="dxa" w:w="5112"/>
            <w:tcMar>
              <w:top w:w="35" w:type="dxa"/>
              <w:start w:w="65" w:type="dxa"/>
              <w:bottom w:w="35" w:type="dxa"/>
              <w:end w:w="65" w:type="dxa"/>
            </w:tcMar>
            <w:vAlign w:val="center"/>
          </w:tcPr>
          <w:p>
            <w:pPr>
              <w:spacing w:before="0" w:after="0" w:line="240" w:lineRule="auto"/>
            </w:pPr>
            <w:r>
              <w:rPr>
                <w:sz w:val="15"/>
              </w:rPr>
              <w:t>Freidlin-Wentzell action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Concrete diffusion</w:t>
            </w:r>
          </w:p>
        </w:tc>
      </w:tr>
      <w:tr>
        <w:trPr>
          <w:cantSplit/>
        </w:trPr>
        <w:tc>
          <w:tcPr>
            <w:tcW w:type="dxa" w:w="1512"/>
            <w:tcMar>
              <w:top w:w="35" w:type="dxa"/>
              <w:start w:w="65" w:type="dxa"/>
              <w:bottom w:w="35" w:type="dxa"/>
              <w:end w:w="65" w:type="dxa"/>
            </w:tcMar>
            <w:vAlign w:val="center"/>
          </w:tcPr>
          <w:p>
            <w:bookmarkStart w:id="2495" w:name="po_399"/>
            <w:pPr>
              <w:spacing w:before="0" w:after="0" w:line="240" w:lineRule="auto"/>
            </w:pPr>
            <w:r>
              <w:rPr>
                <w:sz w:val="15"/>
              </w:rPr>
              <w:t>T2-PO-399</w:t>
            </w:r>
            <w:bookmarkEnd w:id="2495"/>
          </w:p>
        </w:tc>
        <w:tc>
          <w:tcPr>
            <w:tcW w:type="dxa" w:w="5112"/>
            <w:tcMar>
              <w:top w:w="35" w:type="dxa"/>
              <w:start w:w="65" w:type="dxa"/>
              <w:bottom w:w="35" w:type="dxa"/>
              <w:end w:w="65" w:type="dxa"/>
            </w:tcMar>
            <w:vAlign w:val="center"/>
          </w:tcPr>
          <w:p>
            <w:pPr>
              <w:spacing w:before="0" w:after="0" w:line="240" w:lineRule="auto"/>
            </w:pPr>
            <w:r>
              <w:rPr>
                <w:sz w:val="15"/>
              </w:rPr>
              <w:t>Degenerate action/control representation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Controllability</w:t>
            </w:r>
          </w:p>
        </w:tc>
      </w:tr>
      <w:tr>
        <w:trPr>
          <w:cantSplit/>
        </w:trPr>
        <w:tc>
          <w:tcPr>
            <w:tcW w:type="dxa" w:w="1512"/>
            <w:tcMar>
              <w:top w:w="35" w:type="dxa"/>
              <w:start w:w="65" w:type="dxa"/>
              <w:bottom w:w="35" w:type="dxa"/>
              <w:end w:w="65" w:type="dxa"/>
            </w:tcMar>
            <w:vAlign w:val="center"/>
          </w:tcPr>
          <w:p>
            <w:bookmarkStart w:id="2496" w:name="po_400"/>
            <w:pPr>
              <w:spacing w:before="0" w:after="0" w:line="240" w:lineRule="auto"/>
            </w:pPr>
            <w:r>
              <w:rPr>
                <w:sz w:val="15"/>
              </w:rPr>
              <w:t>T2-PO-400</w:t>
            </w:r>
            <w:bookmarkEnd w:id="2496"/>
          </w:p>
        </w:tc>
        <w:tc>
          <w:tcPr>
            <w:tcW w:type="dxa" w:w="5112"/>
            <w:tcMar>
              <w:top w:w="35" w:type="dxa"/>
              <w:start w:w="65" w:type="dxa"/>
              <w:bottom w:w="35" w:type="dxa"/>
              <w:end w:w="65" w:type="dxa"/>
            </w:tcMar>
            <w:vAlign w:val="center"/>
          </w:tcPr>
          <w:p>
            <w:pPr>
              <w:spacing w:before="0" w:after="0" w:line="240" w:lineRule="auto"/>
            </w:pPr>
            <w:r>
              <w:rPr>
                <w:sz w:val="15"/>
              </w:rPr>
              <w:t>Quasipotential existence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Compactness/minimizer</w:t>
            </w:r>
          </w:p>
        </w:tc>
      </w:tr>
      <w:tr>
        <w:trPr>
          <w:cantSplit/>
        </w:trPr>
        <w:tc>
          <w:tcPr>
            <w:tcW w:type="dxa" w:w="1512"/>
            <w:tcMar>
              <w:top w:w="35" w:type="dxa"/>
              <w:start w:w="65" w:type="dxa"/>
              <w:bottom w:w="35" w:type="dxa"/>
              <w:end w:w="65" w:type="dxa"/>
            </w:tcMar>
            <w:vAlign w:val="center"/>
          </w:tcPr>
          <w:p>
            <w:bookmarkStart w:id="2497" w:name="po_401"/>
            <w:pPr>
              <w:spacing w:before="0" w:after="0" w:line="240" w:lineRule="auto"/>
            </w:pPr>
            <w:r>
              <w:rPr>
                <w:sz w:val="15"/>
              </w:rPr>
              <w:t>T2-PO-401</w:t>
            </w:r>
            <w:bookmarkEnd w:id="2497"/>
          </w:p>
        </w:tc>
        <w:tc>
          <w:tcPr>
            <w:tcW w:type="dxa" w:w="5112"/>
            <w:tcMar>
              <w:top w:w="35" w:type="dxa"/>
              <w:start w:w="65" w:type="dxa"/>
              <w:bottom w:w="35" w:type="dxa"/>
              <w:end w:w="65" w:type="dxa"/>
            </w:tcMar>
            <w:vAlign w:val="center"/>
          </w:tcPr>
          <w:p>
            <w:pPr>
              <w:spacing w:before="0" w:after="0" w:line="240" w:lineRule="auto"/>
            </w:pPr>
            <w:r>
              <w:rPr>
                <w:sz w:val="15"/>
              </w:rPr>
              <w:t>Instanton uniqueness or multiplicity ledger</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Numerical/analytic</w:t>
            </w:r>
          </w:p>
        </w:tc>
      </w:tr>
      <w:tr>
        <w:trPr>
          <w:cantSplit/>
        </w:trPr>
        <w:tc>
          <w:tcPr>
            <w:tcW w:type="dxa" w:w="1512"/>
            <w:tcMar>
              <w:top w:w="35" w:type="dxa"/>
              <w:start w:w="65" w:type="dxa"/>
              <w:bottom w:w="35" w:type="dxa"/>
              <w:end w:w="65" w:type="dxa"/>
            </w:tcMar>
            <w:vAlign w:val="center"/>
          </w:tcPr>
          <w:p>
            <w:bookmarkStart w:id="2498" w:name="po_402"/>
            <w:pPr>
              <w:spacing w:before="0" w:after="0" w:line="240" w:lineRule="auto"/>
            </w:pPr>
            <w:r>
              <w:rPr>
                <w:sz w:val="15"/>
              </w:rPr>
              <w:t>T2-PO-402</w:t>
            </w:r>
            <w:bookmarkEnd w:id="2498"/>
          </w:p>
        </w:tc>
        <w:tc>
          <w:tcPr>
            <w:tcW w:type="dxa" w:w="5112"/>
            <w:tcMar>
              <w:top w:w="35" w:type="dxa"/>
              <w:start w:w="65" w:type="dxa"/>
              <w:bottom w:w="35" w:type="dxa"/>
              <w:end w:w="65" w:type="dxa"/>
            </w:tcMar>
            <w:vAlign w:val="center"/>
          </w:tcPr>
          <w:p>
            <w:pPr>
              <w:spacing w:before="0" w:after="0" w:line="240" w:lineRule="auto"/>
            </w:pPr>
            <w:r>
              <w:rPr>
                <w:sz w:val="15"/>
              </w:rPr>
              <w:t>Donsker-Varadhan functional</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Ergodic Markov model</w:t>
            </w:r>
          </w:p>
        </w:tc>
      </w:tr>
      <w:tr>
        <w:trPr>
          <w:cantSplit/>
        </w:trPr>
        <w:tc>
          <w:tcPr>
            <w:tcW w:type="dxa" w:w="1512"/>
            <w:tcMar>
              <w:top w:w="35" w:type="dxa"/>
              <w:start w:w="65" w:type="dxa"/>
              <w:bottom w:w="35" w:type="dxa"/>
              <w:end w:w="65" w:type="dxa"/>
            </w:tcMar>
            <w:vAlign w:val="center"/>
          </w:tcPr>
          <w:p>
            <w:bookmarkStart w:id="2499" w:name="po_403"/>
            <w:pPr>
              <w:spacing w:before="0" w:after="0" w:line="240" w:lineRule="auto"/>
            </w:pPr>
            <w:r>
              <w:rPr>
                <w:sz w:val="15"/>
              </w:rPr>
              <w:t>T2-PO-403</w:t>
            </w:r>
            <w:bookmarkEnd w:id="2499"/>
          </w:p>
        </w:tc>
        <w:tc>
          <w:tcPr>
            <w:tcW w:type="dxa" w:w="5112"/>
            <w:tcMar>
              <w:top w:w="35" w:type="dxa"/>
              <w:start w:w="65" w:type="dxa"/>
              <w:bottom w:w="35" w:type="dxa"/>
              <w:end w:w="65" w:type="dxa"/>
            </w:tcMar>
            <w:vAlign w:val="center"/>
          </w:tcPr>
          <w:p>
            <w:pPr>
              <w:spacing w:before="0" w:after="0" w:line="240" w:lineRule="auto"/>
            </w:pPr>
            <w:r>
              <w:rPr>
                <w:sz w:val="15"/>
              </w:rPr>
              <w:t>Feynman-Kac semigroup realization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Exponential integrability</w:t>
            </w:r>
          </w:p>
        </w:tc>
      </w:tr>
      <w:tr>
        <w:trPr>
          <w:cantSplit/>
        </w:trPr>
        <w:tc>
          <w:tcPr>
            <w:tcW w:type="dxa" w:w="1512"/>
            <w:tcMar>
              <w:top w:w="35" w:type="dxa"/>
              <w:start w:w="65" w:type="dxa"/>
              <w:bottom w:w="35" w:type="dxa"/>
              <w:end w:w="65" w:type="dxa"/>
            </w:tcMar>
            <w:vAlign w:val="center"/>
          </w:tcPr>
          <w:p>
            <w:bookmarkStart w:id="2500" w:name="po_404"/>
            <w:pPr>
              <w:spacing w:before="0" w:after="0" w:line="240" w:lineRule="auto"/>
            </w:pPr>
            <w:r>
              <w:rPr>
                <w:sz w:val="15"/>
              </w:rPr>
              <w:t>T2-PO-404</w:t>
            </w:r>
            <w:bookmarkEnd w:id="2500"/>
          </w:p>
        </w:tc>
        <w:tc>
          <w:tcPr>
            <w:tcW w:type="dxa" w:w="5112"/>
            <w:tcMar>
              <w:top w:w="35" w:type="dxa"/>
              <w:start w:w="65" w:type="dxa"/>
              <w:bottom w:w="35" w:type="dxa"/>
              <w:end w:w="65" w:type="dxa"/>
            </w:tcMar>
            <w:vAlign w:val="center"/>
          </w:tcPr>
          <w:p>
            <w:pPr>
              <w:spacing w:before="0" w:after="0" w:line="240" w:lineRule="auto"/>
            </w:pPr>
            <w:r>
              <w:rPr>
                <w:sz w:val="15"/>
              </w:rPr>
              <w:t>Risk-sensitive nonlinear generator</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Domain of exponential transform</w:t>
            </w:r>
          </w:p>
        </w:tc>
      </w:tr>
      <w:tr>
        <w:trPr>
          <w:cantSplit/>
        </w:trPr>
        <w:tc>
          <w:tcPr>
            <w:tcW w:type="dxa" w:w="1512"/>
            <w:tcMar>
              <w:top w:w="35" w:type="dxa"/>
              <w:start w:w="65" w:type="dxa"/>
              <w:bottom w:w="35" w:type="dxa"/>
              <w:end w:w="65" w:type="dxa"/>
            </w:tcMar>
            <w:vAlign w:val="center"/>
          </w:tcPr>
          <w:p>
            <w:bookmarkStart w:id="2501" w:name="po_405"/>
            <w:pPr>
              <w:spacing w:before="0" w:after="0" w:line="240" w:lineRule="auto"/>
            </w:pPr>
            <w:r>
              <w:rPr>
                <w:sz w:val="15"/>
              </w:rPr>
              <w:t>T2-PO-405</w:t>
            </w:r>
            <w:bookmarkEnd w:id="2501"/>
          </w:p>
        </w:tc>
        <w:tc>
          <w:tcPr>
            <w:tcW w:type="dxa" w:w="5112"/>
            <w:tcMar>
              <w:top w:w="35" w:type="dxa"/>
              <w:start w:w="65" w:type="dxa"/>
              <w:bottom w:w="35" w:type="dxa"/>
              <w:end w:w="65" w:type="dxa"/>
            </w:tcMar>
            <w:vAlign w:val="center"/>
          </w:tcPr>
          <w:p>
            <w:pPr>
              <w:spacing w:before="0" w:after="0" w:line="240" w:lineRule="auto"/>
            </w:pPr>
            <w:r>
              <w:rPr>
                <w:sz w:val="15"/>
              </w:rPr>
              <w:t>Principal eigenvalue limit</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Spectral/ergodic package</w:t>
            </w:r>
          </w:p>
        </w:tc>
      </w:tr>
      <w:tr>
        <w:trPr>
          <w:cantSplit/>
        </w:trPr>
        <w:tc>
          <w:tcPr>
            <w:tcW w:type="dxa" w:w="1512"/>
            <w:tcMar>
              <w:top w:w="35" w:type="dxa"/>
              <w:start w:w="65" w:type="dxa"/>
              <w:bottom w:w="35" w:type="dxa"/>
              <w:end w:w="65" w:type="dxa"/>
            </w:tcMar>
            <w:vAlign w:val="center"/>
          </w:tcPr>
          <w:p>
            <w:bookmarkStart w:id="2502" w:name="po_406"/>
            <w:pPr>
              <w:spacing w:before="0" w:after="0" w:line="240" w:lineRule="auto"/>
            </w:pPr>
            <w:r>
              <w:rPr>
                <w:sz w:val="15"/>
              </w:rPr>
              <w:t>T2-PO-406</w:t>
            </w:r>
            <w:bookmarkEnd w:id="2502"/>
          </w:p>
        </w:tc>
        <w:tc>
          <w:tcPr>
            <w:tcW w:type="dxa" w:w="5112"/>
            <w:tcMar>
              <w:top w:w="35" w:type="dxa"/>
              <w:start w:w="65" w:type="dxa"/>
              <w:bottom w:w="35" w:type="dxa"/>
              <w:end w:w="65" w:type="dxa"/>
            </w:tcMar>
            <w:vAlign w:val="center"/>
          </w:tcPr>
          <w:p>
            <w:pPr>
              <w:spacing w:before="0" w:after="0" w:line="240" w:lineRule="auto"/>
            </w:pPr>
            <w:r>
              <w:rPr>
                <w:sz w:val="15"/>
              </w:rPr>
              <w:t>Risk-sensitive HJB verification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Controlled model</w:t>
            </w:r>
          </w:p>
        </w:tc>
      </w:tr>
      <w:tr>
        <w:trPr>
          <w:cantSplit/>
        </w:trPr>
        <w:tc>
          <w:tcPr>
            <w:tcW w:type="dxa" w:w="1512"/>
            <w:tcMar>
              <w:top w:w="35" w:type="dxa"/>
              <w:start w:w="65" w:type="dxa"/>
              <w:bottom w:w="35" w:type="dxa"/>
              <w:end w:w="65" w:type="dxa"/>
            </w:tcMar>
            <w:vAlign w:val="center"/>
          </w:tcPr>
          <w:p>
            <w:bookmarkStart w:id="2503" w:name="po_407"/>
            <w:pPr>
              <w:spacing w:before="0" w:after="0" w:line="240" w:lineRule="auto"/>
            </w:pPr>
            <w:r>
              <w:rPr>
                <w:sz w:val="15"/>
              </w:rPr>
              <w:t>T2-PO-407</w:t>
            </w:r>
            <w:bookmarkEnd w:id="2503"/>
          </w:p>
        </w:tc>
        <w:tc>
          <w:tcPr>
            <w:tcW w:type="dxa" w:w="5112"/>
            <w:tcMar>
              <w:top w:w="35" w:type="dxa"/>
              <w:start w:w="65" w:type="dxa"/>
              <w:bottom w:w="35" w:type="dxa"/>
              <w:end w:w="65" w:type="dxa"/>
            </w:tcMar>
            <w:vAlign w:val="center"/>
          </w:tcPr>
          <w:p>
            <w:pPr>
              <w:spacing w:before="0" w:after="0" w:line="240" w:lineRule="auto"/>
            </w:pPr>
            <w:r>
              <w:rPr>
                <w:sz w:val="15"/>
              </w:rPr>
              <w:t>Asymptotic-probability firewall</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Theorem 23.2</w:t>
            </w:r>
          </w:p>
        </w:tc>
      </w:tr>
      <w:tr>
        <w:trPr>
          <w:cantSplit/>
        </w:trPr>
        <w:tc>
          <w:tcPr>
            <w:tcW w:type="dxa" w:w="1512"/>
            <w:tcMar>
              <w:top w:w="35" w:type="dxa"/>
              <w:start w:w="65" w:type="dxa"/>
              <w:bottom w:w="35" w:type="dxa"/>
              <w:end w:w="65" w:type="dxa"/>
            </w:tcMar>
            <w:vAlign w:val="center"/>
          </w:tcPr>
          <w:p>
            <w:bookmarkStart w:id="2504" w:name="po_408"/>
            <w:pPr>
              <w:spacing w:before="0" w:after="0" w:line="240" w:lineRule="auto"/>
            </w:pPr>
            <w:r>
              <w:rPr>
                <w:sz w:val="15"/>
              </w:rPr>
              <w:t>T2-PO-408</w:t>
            </w:r>
            <w:bookmarkEnd w:id="2504"/>
          </w:p>
        </w:tc>
        <w:tc>
          <w:tcPr>
            <w:tcW w:type="dxa" w:w="5112"/>
            <w:tcMar>
              <w:top w:w="35" w:type="dxa"/>
              <w:start w:w="65" w:type="dxa"/>
              <w:bottom w:w="35" w:type="dxa"/>
              <w:end w:w="65" w:type="dxa"/>
            </w:tcMar>
            <w:vAlign w:val="center"/>
          </w:tcPr>
          <w:p>
            <w:pPr>
              <w:spacing w:before="0" w:after="0" w:line="240" w:lineRule="auto"/>
            </w:pPr>
            <w:r>
              <w:rPr>
                <w:sz w:val="15"/>
              </w:rPr>
              <w:t>Importance-sampling unbiasedness</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Proposal and likelihood ratio</w:t>
            </w:r>
          </w:p>
        </w:tc>
      </w:tr>
      <w:tr>
        <w:trPr>
          <w:cantSplit/>
        </w:trPr>
        <w:tc>
          <w:tcPr>
            <w:tcW w:type="dxa" w:w="1512"/>
            <w:tcMar>
              <w:top w:w="35" w:type="dxa"/>
              <w:start w:w="65" w:type="dxa"/>
              <w:bottom w:w="35" w:type="dxa"/>
              <w:end w:w="65" w:type="dxa"/>
            </w:tcMar>
            <w:vAlign w:val="center"/>
          </w:tcPr>
          <w:p>
            <w:bookmarkStart w:id="2505" w:name="po_409"/>
            <w:pPr>
              <w:spacing w:before="0" w:after="0" w:line="240" w:lineRule="auto"/>
            </w:pPr>
            <w:r>
              <w:rPr>
                <w:sz w:val="15"/>
              </w:rPr>
              <w:t>T2-PO-409</w:t>
            </w:r>
            <w:bookmarkEnd w:id="2505"/>
          </w:p>
        </w:tc>
        <w:tc>
          <w:tcPr>
            <w:tcW w:type="dxa" w:w="5112"/>
            <w:tcMar>
              <w:top w:w="35" w:type="dxa"/>
              <w:start w:w="65" w:type="dxa"/>
              <w:bottom w:w="35" w:type="dxa"/>
              <w:end w:w="65" w:type="dxa"/>
            </w:tcMar>
            <w:vAlign w:val="center"/>
          </w:tcPr>
          <w:p>
            <w:pPr>
              <w:spacing w:before="0" w:after="0" w:line="240" w:lineRule="auto"/>
            </w:pPr>
            <w:r>
              <w:rPr>
                <w:sz w:val="15"/>
              </w:rPr>
              <w:t>Importance-sampling efficiency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Second-moment bound</w:t>
            </w:r>
          </w:p>
        </w:tc>
      </w:tr>
      <w:tr>
        <w:trPr>
          <w:cantSplit/>
        </w:trPr>
        <w:tc>
          <w:tcPr>
            <w:tcW w:type="dxa" w:w="1512"/>
            <w:tcMar>
              <w:top w:w="35" w:type="dxa"/>
              <w:start w:w="65" w:type="dxa"/>
              <w:bottom w:w="35" w:type="dxa"/>
              <w:end w:w="65" w:type="dxa"/>
            </w:tcMar>
            <w:vAlign w:val="center"/>
          </w:tcPr>
          <w:p>
            <w:bookmarkStart w:id="2506" w:name="po_410"/>
            <w:pPr>
              <w:spacing w:before="0" w:after="0" w:line="240" w:lineRule="auto"/>
            </w:pPr>
            <w:r>
              <w:rPr>
                <w:sz w:val="15"/>
              </w:rPr>
              <w:t>T2-PO-410</w:t>
            </w:r>
            <w:bookmarkEnd w:id="2506"/>
          </w:p>
        </w:tc>
        <w:tc>
          <w:tcPr>
            <w:tcW w:type="dxa" w:w="5112"/>
            <w:tcMar>
              <w:top w:w="35" w:type="dxa"/>
              <w:start w:w="65" w:type="dxa"/>
              <w:bottom w:w="35" w:type="dxa"/>
              <w:end w:w="65" w:type="dxa"/>
            </w:tcMar>
            <w:vAlign w:val="center"/>
          </w:tcPr>
          <w:p>
            <w:pPr>
              <w:spacing w:before="0" w:after="0" w:line="240" w:lineRule="auto"/>
            </w:pPr>
            <w:r>
              <w:rPr>
                <w:sz w:val="15"/>
              </w:rPr>
              <w:t>Splitting estimator validity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Level/adaptation model</w:t>
            </w:r>
          </w:p>
        </w:tc>
      </w:tr>
      <w:tr>
        <w:trPr>
          <w:cantSplit/>
        </w:trPr>
        <w:tc>
          <w:tcPr>
            <w:tcW w:type="dxa" w:w="1512"/>
            <w:tcMar>
              <w:top w:w="35" w:type="dxa"/>
              <w:start w:w="65" w:type="dxa"/>
              <w:bottom w:w="35" w:type="dxa"/>
              <w:end w:w="65" w:type="dxa"/>
            </w:tcMar>
            <w:vAlign w:val="center"/>
          </w:tcPr>
          <w:p>
            <w:bookmarkStart w:id="2507" w:name="po_411"/>
            <w:pPr>
              <w:spacing w:before="0" w:after="0" w:line="240" w:lineRule="auto"/>
            </w:pPr>
            <w:r>
              <w:rPr>
                <w:sz w:val="15"/>
              </w:rPr>
              <w:t>T2-PO-411</w:t>
            </w:r>
            <w:bookmarkEnd w:id="2507"/>
          </w:p>
        </w:tc>
        <w:tc>
          <w:tcPr>
            <w:tcW w:type="dxa" w:w="5112"/>
            <w:tcMar>
              <w:top w:w="35" w:type="dxa"/>
              <w:start w:w="65" w:type="dxa"/>
              <w:bottom w:w="35" w:type="dxa"/>
              <w:end w:w="65" w:type="dxa"/>
            </w:tcMar>
            <w:vAlign w:val="center"/>
          </w:tcPr>
          <w:p>
            <w:pPr>
              <w:spacing w:before="0" w:after="0" w:line="240" w:lineRule="auto"/>
            </w:pPr>
            <w:r>
              <w:rPr>
                <w:sz w:val="15"/>
              </w:rPr>
              <w:t>KL ambiguity duality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Orientation/support assumptions</w:t>
            </w:r>
          </w:p>
        </w:tc>
      </w:tr>
      <w:tr>
        <w:trPr>
          <w:cantSplit/>
        </w:trPr>
        <w:tc>
          <w:tcPr>
            <w:tcW w:type="dxa" w:w="1512"/>
            <w:tcMar>
              <w:top w:w="35" w:type="dxa"/>
              <w:start w:w="65" w:type="dxa"/>
              <w:bottom w:w="35" w:type="dxa"/>
              <w:end w:w="65" w:type="dxa"/>
            </w:tcMar>
            <w:vAlign w:val="center"/>
          </w:tcPr>
          <w:p>
            <w:bookmarkStart w:id="2508" w:name="po_412"/>
            <w:pPr>
              <w:spacing w:before="0" w:after="0" w:line="240" w:lineRule="auto"/>
            </w:pPr>
            <w:r>
              <w:rPr>
                <w:sz w:val="15"/>
              </w:rPr>
              <w:t>T2-PO-412</w:t>
            </w:r>
            <w:bookmarkEnd w:id="2508"/>
          </w:p>
        </w:tc>
        <w:tc>
          <w:tcPr>
            <w:tcW w:type="dxa" w:w="5112"/>
            <w:tcMar>
              <w:top w:w="35" w:type="dxa"/>
              <w:start w:w="65" w:type="dxa"/>
              <w:bottom w:w="35" w:type="dxa"/>
              <w:end w:w="65" w:type="dxa"/>
            </w:tcMar>
            <w:vAlign w:val="center"/>
          </w:tcPr>
          <w:p>
            <w:pPr>
              <w:spacing w:before="0" w:after="0" w:line="240" w:lineRule="auto"/>
            </w:pPr>
            <w:r>
              <w:rPr>
                <w:sz w:val="15"/>
              </w:rPr>
              <w:t>Wasserstein ambiguity duality</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Growth/duality assumptions</w:t>
            </w:r>
          </w:p>
        </w:tc>
      </w:tr>
      <w:tr>
        <w:trPr>
          <w:cantSplit/>
        </w:trPr>
        <w:tc>
          <w:tcPr>
            <w:tcW w:type="dxa" w:w="1512"/>
            <w:tcMar>
              <w:top w:w="35" w:type="dxa"/>
              <w:start w:w="65" w:type="dxa"/>
              <w:bottom w:w="35" w:type="dxa"/>
              <w:end w:w="65" w:type="dxa"/>
            </w:tcMar>
            <w:vAlign w:val="center"/>
          </w:tcPr>
          <w:p>
            <w:bookmarkStart w:id="2509" w:name="po_413"/>
            <w:pPr>
              <w:spacing w:before="0" w:after="0" w:line="240" w:lineRule="auto"/>
            </w:pPr>
            <w:r>
              <w:rPr>
                <w:sz w:val="15"/>
              </w:rPr>
              <w:t>T2-PO-413</w:t>
            </w:r>
            <w:bookmarkEnd w:id="2509"/>
          </w:p>
        </w:tc>
        <w:tc>
          <w:tcPr>
            <w:tcW w:type="dxa" w:w="5112"/>
            <w:tcMar>
              <w:top w:w="35" w:type="dxa"/>
              <w:start w:w="65" w:type="dxa"/>
              <w:bottom w:w="35" w:type="dxa"/>
              <w:end w:w="65" w:type="dxa"/>
            </w:tcMar>
            <w:vAlign w:val="center"/>
          </w:tcPr>
          <w:p>
            <w:pPr>
              <w:spacing w:before="0" w:after="0" w:line="240" w:lineRule="auto"/>
            </w:pPr>
            <w:r>
              <w:rPr>
                <w:sz w:val="15"/>
              </w:rPr>
              <w:t>Finite-sample ambiguity coverage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Concentration theorem</w:t>
            </w:r>
          </w:p>
        </w:tc>
      </w:tr>
      <w:tr>
        <w:trPr>
          <w:cantSplit/>
        </w:trPr>
        <w:tc>
          <w:tcPr>
            <w:tcW w:type="dxa" w:w="1512"/>
            <w:tcMar>
              <w:top w:w="35" w:type="dxa"/>
              <w:start w:w="65" w:type="dxa"/>
              <w:bottom w:w="35" w:type="dxa"/>
              <w:end w:w="65" w:type="dxa"/>
            </w:tcMar>
            <w:vAlign w:val="center"/>
          </w:tcPr>
          <w:p>
            <w:bookmarkStart w:id="2510" w:name="po_414"/>
            <w:pPr>
              <w:spacing w:before="0" w:after="0" w:line="240" w:lineRule="auto"/>
            </w:pPr>
            <w:r>
              <w:rPr>
                <w:sz w:val="15"/>
              </w:rPr>
              <w:t>T2-PO-414</w:t>
            </w:r>
            <w:bookmarkEnd w:id="2510"/>
          </w:p>
        </w:tc>
        <w:tc>
          <w:tcPr>
            <w:tcW w:type="dxa" w:w="5112"/>
            <w:tcMar>
              <w:top w:w="35" w:type="dxa"/>
              <w:start w:w="65" w:type="dxa"/>
              <w:bottom w:w="35" w:type="dxa"/>
              <w:end w:w="65" w:type="dxa"/>
            </w:tcMar>
            <w:vAlign w:val="center"/>
          </w:tcPr>
          <w:p>
            <w:pPr>
              <w:spacing w:before="0" w:after="0" w:line="240" w:lineRule="auto"/>
            </w:pPr>
            <w:r>
              <w:rPr>
                <w:sz w:val="15"/>
              </w:rPr>
              <w:t>Coverage-to-risk theorem</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Theorem 23.3</w:t>
            </w:r>
          </w:p>
        </w:tc>
      </w:tr>
      <w:tr>
        <w:trPr>
          <w:cantSplit/>
        </w:trPr>
        <w:tc>
          <w:tcPr>
            <w:tcW w:type="dxa" w:w="1512"/>
            <w:tcMar>
              <w:top w:w="35" w:type="dxa"/>
              <w:start w:w="65" w:type="dxa"/>
              <w:bottom w:w="35" w:type="dxa"/>
              <w:end w:w="65" w:type="dxa"/>
            </w:tcMar>
            <w:vAlign w:val="center"/>
          </w:tcPr>
          <w:p>
            <w:bookmarkStart w:id="2511" w:name="po_415"/>
            <w:pPr>
              <w:spacing w:before="0" w:after="0" w:line="240" w:lineRule="auto"/>
            </w:pPr>
            <w:r>
              <w:rPr>
                <w:sz w:val="15"/>
              </w:rPr>
              <w:t>T2-PO-415</w:t>
            </w:r>
            <w:bookmarkEnd w:id="2511"/>
          </w:p>
        </w:tc>
        <w:tc>
          <w:tcPr>
            <w:tcW w:type="dxa" w:w="5112"/>
            <w:tcMar>
              <w:top w:w="35" w:type="dxa"/>
              <w:start w:w="65" w:type="dxa"/>
              <w:bottom w:w="35" w:type="dxa"/>
              <w:end w:w="65" w:type="dxa"/>
            </w:tcMar>
            <w:vAlign w:val="center"/>
          </w:tcPr>
          <w:p>
            <w:pPr>
              <w:spacing w:before="0" w:after="0" w:line="240" w:lineRule="auto"/>
            </w:pPr>
            <w:r>
              <w:rPr>
                <w:sz w:val="15"/>
              </w:rPr>
              <w:t>Exact zero-count binomial bound</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Formula (23.32)</w:t>
            </w:r>
          </w:p>
        </w:tc>
      </w:tr>
      <w:tr>
        <w:trPr>
          <w:cantSplit/>
        </w:trPr>
        <w:tc>
          <w:tcPr>
            <w:tcW w:type="dxa" w:w="1512"/>
            <w:tcMar>
              <w:top w:w="35" w:type="dxa"/>
              <w:start w:w="65" w:type="dxa"/>
              <w:bottom w:w="35" w:type="dxa"/>
              <w:end w:w="65" w:type="dxa"/>
            </w:tcMar>
            <w:vAlign w:val="center"/>
          </w:tcPr>
          <w:p>
            <w:bookmarkStart w:id="2512" w:name="po_416"/>
            <w:pPr>
              <w:spacing w:before="0" w:after="0" w:line="240" w:lineRule="auto"/>
            </w:pPr>
            <w:r>
              <w:rPr>
                <w:sz w:val="15"/>
              </w:rPr>
              <w:t>T2-PO-416</w:t>
            </w:r>
            <w:bookmarkEnd w:id="2512"/>
          </w:p>
        </w:tc>
        <w:tc>
          <w:tcPr>
            <w:tcW w:type="dxa" w:w="5112"/>
            <w:tcMar>
              <w:top w:w="35" w:type="dxa"/>
              <w:start w:w="65" w:type="dxa"/>
              <w:bottom w:w="35" w:type="dxa"/>
              <w:end w:w="65" w:type="dxa"/>
            </w:tcMar>
            <w:vAlign w:val="center"/>
          </w:tcPr>
          <w:p>
            <w:pPr>
              <w:spacing w:before="0" w:after="0" w:line="240" w:lineRule="auto"/>
            </w:pPr>
            <w:r>
              <w:rPr>
                <w:sz w:val="15"/>
              </w:rPr>
              <w:t>Dependence correction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Cluster/mixing/effective sample size</w:t>
            </w:r>
          </w:p>
        </w:tc>
      </w:tr>
      <w:tr>
        <w:trPr>
          <w:cantSplit/>
        </w:trPr>
        <w:tc>
          <w:tcPr>
            <w:tcW w:type="dxa" w:w="1512"/>
            <w:tcMar>
              <w:top w:w="35" w:type="dxa"/>
              <w:start w:w="65" w:type="dxa"/>
              <w:bottom w:w="35" w:type="dxa"/>
              <w:end w:w="65" w:type="dxa"/>
            </w:tcMar>
            <w:vAlign w:val="center"/>
          </w:tcPr>
          <w:p>
            <w:bookmarkStart w:id="2513" w:name="po_417"/>
            <w:pPr>
              <w:spacing w:before="0" w:after="0" w:line="240" w:lineRule="auto"/>
            </w:pPr>
            <w:r>
              <w:rPr>
                <w:sz w:val="15"/>
              </w:rPr>
              <w:t>T2-PO-417</w:t>
            </w:r>
            <w:bookmarkEnd w:id="2513"/>
          </w:p>
        </w:tc>
        <w:tc>
          <w:tcPr>
            <w:tcW w:type="dxa" w:w="5112"/>
            <w:tcMar>
              <w:top w:w="35" w:type="dxa"/>
              <w:start w:w="65" w:type="dxa"/>
              <w:bottom w:w="35" w:type="dxa"/>
              <w:end w:w="65" w:type="dxa"/>
            </w:tcMar>
            <w:vAlign w:val="center"/>
          </w:tcPr>
          <w:p>
            <w:pPr>
              <w:spacing w:before="0" w:after="0" w:line="240" w:lineRule="auto"/>
            </w:pPr>
            <w:r>
              <w:rPr>
                <w:sz w:val="15"/>
              </w:rPr>
              <w:t>Sequential rare-event validity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E-process/confidence sequence</w:t>
            </w:r>
          </w:p>
        </w:tc>
      </w:tr>
      <w:tr>
        <w:trPr>
          <w:cantSplit/>
        </w:trPr>
        <w:tc>
          <w:tcPr>
            <w:tcW w:type="dxa" w:w="1512"/>
            <w:tcMar>
              <w:top w:w="35" w:type="dxa"/>
              <w:start w:w="65" w:type="dxa"/>
              <w:bottom w:w="35" w:type="dxa"/>
              <w:end w:w="65" w:type="dxa"/>
            </w:tcMar>
            <w:vAlign w:val="center"/>
          </w:tcPr>
          <w:p>
            <w:bookmarkStart w:id="2514" w:name="po_418"/>
            <w:pPr>
              <w:spacing w:before="0" w:after="0" w:line="240" w:lineRule="auto"/>
            </w:pPr>
            <w:r>
              <w:rPr>
                <w:sz w:val="15"/>
              </w:rPr>
              <w:t>T2-PO-418</w:t>
            </w:r>
            <w:bookmarkEnd w:id="2514"/>
          </w:p>
        </w:tc>
        <w:tc>
          <w:tcPr>
            <w:tcW w:type="dxa" w:w="5112"/>
            <w:tcMar>
              <w:top w:w="35" w:type="dxa"/>
              <w:start w:w="65" w:type="dxa"/>
              <w:bottom w:w="35" w:type="dxa"/>
              <w:end w:w="65" w:type="dxa"/>
            </w:tcMar>
            <w:vAlign w:val="center"/>
          </w:tcPr>
          <w:p>
            <w:pPr>
              <w:spacing w:before="0" w:after="0" w:line="240" w:lineRule="auto"/>
            </w:pPr>
            <w:r>
              <w:rPr>
                <w:sz w:val="15"/>
              </w:rPr>
              <w:t>Finite-n LDP remainder</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Model-specific sharp asymptotics</w:t>
            </w:r>
          </w:p>
        </w:tc>
      </w:tr>
      <w:tr>
        <w:trPr>
          <w:cantSplit/>
        </w:trPr>
        <w:tc>
          <w:tcPr>
            <w:tcW w:type="dxa" w:w="1512"/>
            <w:tcMar>
              <w:top w:w="35" w:type="dxa"/>
              <w:start w:w="65" w:type="dxa"/>
              <w:bottom w:w="35" w:type="dxa"/>
              <w:end w:w="65" w:type="dxa"/>
            </w:tcMar>
            <w:vAlign w:val="center"/>
          </w:tcPr>
          <w:p>
            <w:bookmarkStart w:id="2515" w:name="po_419"/>
            <w:pPr>
              <w:spacing w:before="0" w:after="0" w:line="240" w:lineRule="auto"/>
            </w:pPr>
            <w:r>
              <w:rPr>
                <w:sz w:val="15"/>
              </w:rPr>
              <w:t>T2-PO-419</w:t>
            </w:r>
            <w:bookmarkEnd w:id="2515"/>
          </w:p>
        </w:tc>
        <w:tc>
          <w:tcPr>
            <w:tcW w:type="dxa" w:w="5112"/>
            <w:tcMar>
              <w:top w:w="35" w:type="dxa"/>
              <w:start w:w="65" w:type="dxa"/>
              <w:bottom w:w="35" w:type="dxa"/>
              <w:end w:w="65" w:type="dxa"/>
            </w:tcMar>
            <w:vAlign w:val="center"/>
          </w:tcPr>
          <w:p>
            <w:pPr>
              <w:spacing w:before="0" w:after="0" w:line="240" w:lineRule="auto"/>
            </w:pPr>
            <w:r>
              <w:rPr>
                <w:sz w:val="15"/>
              </w:rPr>
              <w:t>Tail non-identifiability theorem</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Theorem 23.4</w:t>
            </w:r>
          </w:p>
        </w:tc>
      </w:tr>
      <w:tr>
        <w:trPr>
          <w:cantSplit/>
        </w:trPr>
        <w:tc>
          <w:tcPr>
            <w:tcW w:type="dxa" w:w="1512"/>
            <w:tcMar>
              <w:top w:w="35" w:type="dxa"/>
              <w:start w:w="65" w:type="dxa"/>
              <w:bottom w:w="35" w:type="dxa"/>
              <w:end w:w="65" w:type="dxa"/>
            </w:tcMar>
            <w:vAlign w:val="center"/>
          </w:tcPr>
          <w:p>
            <w:bookmarkStart w:id="2516" w:name="po_420"/>
            <w:pPr>
              <w:spacing w:before="0" w:after="0" w:line="240" w:lineRule="auto"/>
            </w:pPr>
            <w:r>
              <w:rPr>
                <w:sz w:val="15"/>
              </w:rPr>
              <w:t>T2-PO-420</w:t>
            </w:r>
            <w:bookmarkEnd w:id="2516"/>
          </w:p>
        </w:tc>
        <w:tc>
          <w:tcPr>
            <w:tcW w:type="dxa" w:w="5112"/>
            <w:tcMar>
              <w:top w:w="35" w:type="dxa"/>
              <w:start w:w="65" w:type="dxa"/>
              <w:bottom w:w="35" w:type="dxa"/>
              <w:end w:w="65" w:type="dxa"/>
            </w:tcMar>
            <w:vAlign w:val="center"/>
          </w:tcPr>
          <w:p>
            <w:pPr>
              <w:spacing w:before="0" w:after="0" w:line="240" w:lineRule="auto"/>
            </w:pPr>
            <w:r>
              <w:rPr>
                <w:sz w:val="15"/>
              </w:rPr>
              <w:t>Rate-function numerical certificate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Interval/optimization solver</w:t>
            </w:r>
          </w:p>
        </w:tc>
      </w:tr>
      <w:tr>
        <w:trPr>
          <w:cantSplit/>
        </w:trPr>
        <w:tc>
          <w:tcPr>
            <w:tcW w:type="dxa" w:w="1512"/>
            <w:tcMar>
              <w:top w:w="35" w:type="dxa"/>
              <w:start w:w="65" w:type="dxa"/>
              <w:bottom w:w="35" w:type="dxa"/>
              <w:end w:w="65" w:type="dxa"/>
            </w:tcMar>
            <w:vAlign w:val="center"/>
          </w:tcPr>
          <w:p>
            <w:bookmarkStart w:id="2517" w:name="po_421"/>
            <w:pPr>
              <w:spacing w:before="0" w:after="0" w:line="240" w:lineRule="auto"/>
            </w:pPr>
            <w:r>
              <w:rPr>
                <w:sz w:val="15"/>
              </w:rPr>
              <w:t>T2-PO-421</w:t>
            </w:r>
            <w:bookmarkEnd w:id="2517"/>
          </w:p>
        </w:tc>
        <w:tc>
          <w:tcPr>
            <w:tcW w:type="dxa" w:w="5112"/>
            <w:tcMar>
              <w:top w:w="35" w:type="dxa"/>
              <w:start w:w="65" w:type="dxa"/>
              <w:bottom w:w="35" w:type="dxa"/>
              <w:end w:w="65" w:type="dxa"/>
            </w:tcMar>
            <w:vAlign w:val="center"/>
          </w:tcPr>
          <w:p>
            <w:pPr>
              <w:spacing w:before="0" w:after="0" w:line="240" w:lineRule="auto"/>
            </w:pPr>
            <w:r>
              <w:rPr>
                <w:sz w:val="15"/>
              </w:rPr>
              <w:t>Robust rare-event Reper certificate</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Cert_LD schema</w:t>
            </w:r>
          </w:p>
        </w:tc>
      </w:tr>
      <w:tr>
        <w:trPr>
          <w:cantSplit/>
        </w:trPr>
        <w:tc>
          <w:tcPr>
            <w:tcW w:type="dxa" w:w="1512"/>
            <w:tcMar>
              <w:top w:w="35" w:type="dxa"/>
              <w:start w:w="65" w:type="dxa"/>
              <w:bottom w:w="35" w:type="dxa"/>
              <w:end w:w="65" w:type="dxa"/>
            </w:tcMar>
            <w:vAlign w:val="center"/>
          </w:tcPr>
          <w:p>
            <w:bookmarkStart w:id="2518" w:name="po_422"/>
            <w:pPr>
              <w:spacing w:before="0" w:after="0" w:line="240" w:lineRule="auto"/>
            </w:pPr>
            <w:r>
              <w:rPr>
                <w:sz w:val="15"/>
              </w:rPr>
              <w:t>T2-PO-422</w:t>
            </w:r>
            <w:bookmarkEnd w:id="2518"/>
          </w:p>
        </w:tc>
        <w:tc>
          <w:tcPr>
            <w:tcW w:type="dxa" w:w="5112"/>
            <w:tcMar>
              <w:top w:w="35" w:type="dxa"/>
              <w:start w:w="65" w:type="dxa"/>
              <w:bottom w:w="35" w:type="dxa"/>
              <w:end w:w="65" w:type="dxa"/>
            </w:tcMar>
            <w:vAlign w:val="center"/>
          </w:tcPr>
          <w:p>
            <w:pPr>
              <w:spacing w:before="0" w:after="0" w:line="240" w:lineRule="auto"/>
            </w:pPr>
            <w:r>
              <w:rPr>
                <w:sz w:val="15"/>
              </w:rPr>
              <w:t>Large-deviation horizons</w:t>
            </w:r>
          </w:p>
        </w:tc>
        <w:tc>
          <w:tcPr>
            <w:tcW w:type="dxa" w:w="1224"/>
            <w:tcMar>
              <w:top w:w="35" w:type="dxa"/>
              <w:start w:w="65" w:type="dxa"/>
              <w:bottom w:w="35" w:type="dxa"/>
              <w:end w:w="65" w:type="dxa"/>
            </w:tcMar>
            <w:vAlign w:val="center"/>
            <w:shd w:fill="dff0e5"/>
          </w:tcPr>
          <w:p>
            <w:pPr>
              <w:spacing w:before="0" w:after="0" w:line="240" w:lineRule="auto"/>
            </w:pPr>
            <w:r>
              <w:rPr>
                <w:sz w:val="15"/>
              </w:rPr>
              <w:t>CLOSED</w:t>
            </w:r>
          </w:p>
        </w:tc>
        <w:tc>
          <w:tcPr>
            <w:tcW w:type="dxa" w:w="1944"/>
            <w:tcMar>
              <w:top w:w="35" w:type="dxa"/>
              <w:start w:w="65" w:type="dxa"/>
              <w:bottom w:w="35" w:type="dxa"/>
              <w:end w:w="65" w:type="dxa"/>
            </w:tcMar>
            <w:vAlign w:val="center"/>
          </w:tcPr>
          <w:p>
            <w:pPr>
              <w:spacing w:before="0" w:after="0" w:line="240" w:lineRule="auto"/>
            </w:pPr>
            <w:r>
              <w:rPr>
                <w:sz w:val="15"/>
              </w:rPr>
              <w:t>Definitions (23.37)-(23.40)</w:t>
            </w:r>
          </w:p>
        </w:tc>
      </w:tr>
      <w:tr>
        <w:trPr>
          <w:cantSplit/>
        </w:trPr>
        <w:tc>
          <w:tcPr>
            <w:tcW w:type="dxa" w:w="1512"/>
            <w:tcMar>
              <w:top w:w="35" w:type="dxa"/>
              <w:start w:w="65" w:type="dxa"/>
              <w:bottom w:w="35" w:type="dxa"/>
              <w:end w:w="65" w:type="dxa"/>
            </w:tcMar>
            <w:vAlign w:val="center"/>
          </w:tcPr>
          <w:p>
            <w:bookmarkStart w:id="2519" w:name="po_423"/>
            <w:pPr>
              <w:spacing w:before="0" w:after="0" w:line="240" w:lineRule="auto"/>
            </w:pPr>
            <w:r>
              <w:rPr>
                <w:sz w:val="15"/>
              </w:rPr>
              <w:t>T2-PO-423</w:t>
            </w:r>
            <w:bookmarkEnd w:id="2519"/>
          </w:p>
        </w:tc>
        <w:tc>
          <w:tcPr>
            <w:tcW w:type="dxa" w:w="5112"/>
            <w:tcMar>
              <w:top w:w="35" w:type="dxa"/>
              <w:start w:w="65" w:type="dxa"/>
              <w:bottom w:w="35" w:type="dxa"/>
              <w:end w:w="65" w:type="dxa"/>
            </w:tcMar>
            <w:vAlign w:val="center"/>
          </w:tcPr>
          <w:p>
            <w:pPr>
              <w:spacing w:before="0" w:after="0" w:line="240" w:lineRule="auto"/>
            </w:pPr>
            <w:r>
              <w:rPr>
                <w:sz w:val="15"/>
              </w:rPr>
              <w:t>Main safety theorem v0.20</w:t>
            </w:r>
          </w:p>
        </w:tc>
        <w:tc>
          <w:tcPr>
            <w:tcW w:type="dxa" w:w="1224"/>
            <w:tcMar>
              <w:top w:w="35" w:type="dxa"/>
              <w:start w:w="65" w:type="dxa"/>
              <w:bottom w:w="35" w:type="dxa"/>
              <w:end w:w="65" w:type="dxa"/>
            </w:tcMar>
            <w:vAlign w:val="center"/>
            <w:shd w:fill="fff1cc"/>
          </w:tcPr>
          <w:p>
            <w:pPr>
              <w:spacing w:before="0" w:after="0" w:line="240" w:lineRule="auto"/>
            </w:pPr>
            <w:r>
              <w:rPr>
                <w:sz w:val="15"/>
              </w:rPr>
              <w:t>COND</w:t>
            </w:r>
          </w:p>
        </w:tc>
        <w:tc>
          <w:tcPr>
            <w:tcW w:type="dxa" w:w="1944"/>
            <w:tcMar>
              <w:top w:w="35" w:type="dxa"/>
              <w:start w:w="65" w:type="dxa"/>
              <w:bottom w:w="35" w:type="dxa"/>
              <w:end w:w="65" w:type="dxa"/>
            </w:tcMar>
            <w:vAlign w:val="center"/>
          </w:tcPr>
          <w:p>
            <w:pPr>
              <w:spacing w:before="0" w:after="0" w:line="240" w:lineRule="auto"/>
            </w:pPr>
            <w:r>
              <w:rPr>
                <w:sz w:val="15"/>
              </w:rPr>
              <w:t>H1-H14</w:t>
            </w:r>
          </w:p>
        </w:tc>
      </w:tr>
      <w:tr>
        <w:trPr>
          <w:cantSplit/>
        </w:trPr>
        <w:tc>
          <w:tcPr>
            <w:tcW w:type="dxa" w:w="1512"/>
            <w:tcMar>
              <w:top w:w="35" w:type="dxa"/>
              <w:start w:w="65" w:type="dxa"/>
              <w:bottom w:w="35" w:type="dxa"/>
              <w:end w:w="65" w:type="dxa"/>
            </w:tcMar>
            <w:vAlign w:val="center"/>
          </w:tcPr>
          <w:p>
            <w:bookmarkStart w:id="2520" w:name="po_424"/>
            <w:pPr>
              <w:spacing w:before="0" w:after="0" w:line="240" w:lineRule="auto"/>
            </w:pPr>
            <w:r>
              <w:rPr>
                <w:sz w:val="15"/>
              </w:rPr>
              <w:t>T2-PO-424</w:t>
            </w:r>
            <w:bookmarkEnd w:id="2520"/>
          </w:p>
        </w:tc>
        <w:tc>
          <w:tcPr>
            <w:tcW w:type="dxa" w:w="5112"/>
            <w:tcMar>
              <w:top w:w="35" w:type="dxa"/>
              <w:start w:w="65" w:type="dxa"/>
              <w:bottom w:w="35" w:type="dxa"/>
              <w:end w:w="65" w:type="dxa"/>
            </w:tcMar>
            <w:vAlign w:val="center"/>
          </w:tcPr>
          <w:p>
            <w:pPr>
              <w:spacing w:before="0" w:after="0" w:line="240" w:lineRule="auto"/>
            </w:pPr>
            <w:r>
              <w:rPr>
                <w:sz w:val="15"/>
              </w:rPr>
              <w:t>Physical interpretation bridge</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Separate reduction</w:t>
            </w:r>
          </w:p>
        </w:tc>
      </w:tr>
      <w:tr>
        <w:trPr>
          <w:cantSplit/>
        </w:trPr>
        <w:tc>
          <w:tcPr>
            <w:tcW w:type="dxa" w:w="1512"/>
            <w:tcMar>
              <w:top w:w="35" w:type="dxa"/>
              <w:start w:w="65" w:type="dxa"/>
              <w:bottom w:w="35" w:type="dxa"/>
              <w:end w:w="65" w:type="dxa"/>
            </w:tcMar>
            <w:vAlign w:val="center"/>
          </w:tcPr>
          <w:p>
            <w:bookmarkStart w:id="2521" w:name="po_425"/>
            <w:pPr>
              <w:spacing w:before="0" w:after="0" w:line="240" w:lineRule="auto"/>
            </w:pPr>
            <w:r>
              <w:rPr>
                <w:sz w:val="15"/>
              </w:rPr>
              <w:t>T2-PO-425</w:t>
            </w:r>
            <w:bookmarkEnd w:id="2521"/>
          </w:p>
        </w:tc>
        <w:tc>
          <w:tcPr>
            <w:tcW w:type="dxa" w:w="5112"/>
            <w:tcMar>
              <w:top w:w="35" w:type="dxa"/>
              <w:start w:w="65" w:type="dxa"/>
              <w:bottom w:w="35" w:type="dxa"/>
              <w:end w:w="65" w:type="dxa"/>
            </w:tcMar>
            <w:vAlign w:val="center"/>
          </w:tcPr>
          <w:p>
            <w:pPr>
              <w:spacing w:before="0" w:after="0" w:line="240" w:lineRule="auto"/>
            </w:pPr>
            <w:r>
              <w:rPr>
                <w:sz w:val="15"/>
              </w:rPr>
              <w:t>Independent rare-event EXT-RUN</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Preregistered external data</w:t>
            </w:r>
          </w:p>
        </w:tc>
      </w:tr>
      <w:tr>
        <w:trPr>
          <w:cantSplit/>
        </w:trPr>
        <w:tc>
          <w:tcPr>
            <w:tcW w:type="dxa" w:w="1512"/>
            <w:tcMar>
              <w:top w:w="35" w:type="dxa"/>
              <w:start w:w="65" w:type="dxa"/>
              <w:bottom w:w="35" w:type="dxa"/>
              <w:end w:w="65" w:type="dxa"/>
            </w:tcMar>
            <w:vAlign w:val="center"/>
          </w:tcPr>
          <w:p>
            <w:bookmarkStart w:id="2522" w:name="po_426"/>
            <w:pPr>
              <w:spacing w:before="0" w:after="0" w:line="240" w:lineRule="auto"/>
            </w:pPr>
            <w:r>
              <w:rPr>
                <w:sz w:val="15"/>
              </w:rPr>
              <w:t>T2-PO-426</w:t>
            </w:r>
            <w:bookmarkEnd w:id="2522"/>
          </w:p>
        </w:tc>
        <w:tc>
          <w:tcPr>
            <w:tcW w:type="dxa" w:w="5112"/>
            <w:tcMar>
              <w:top w:w="35" w:type="dxa"/>
              <w:start w:w="65" w:type="dxa"/>
              <w:bottom w:w="35" w:type="dxa"/>
              <w:end w:w="65" w:type="dxa"/>
            </w:tcMar>
            <w:vAlign w:val="center"/>
          </w:tcPr>
          <w:p>
            <w:pPr>
              <w:spacing w:before="0" w:after="0" w:line="240" w:lineRule="auto"/>
            </w:pPr>
            <w:r>
              <w:rPr>
                <w:sz w:val="15"/>
              </w:rPr>
              <w:t>Cross-domain transportability</w:t>
            </w:r>
          </w:p>
        </w:tc>
        <w:tc>
          <w:tcPr>
            <w:tcW w:type="dxa" w:w="1224"/>
            <w:tcMar>
              <w:top w:w="35" w:type="dxa"/>
              <w:start w:w="65" w:type="dxa"/>
              <w:bottom w:w="35" w:type="dxa"/>
              <w:end w:w="65" w:type="dxa"/>
            </w:tcMar>
            <w:vAlign w:val="center"/>
            <w:shd w:fill="fde6e0"/>
          </w:tcPr>
          <w:p>
            <w:pPr>
              <w:spacing w:before="0" w:after="0" w:line="240" w:lineRule="auto"/>
            </w:pPr>
            <w:r>
              <w:rPr>
                <w:sz w:val="15"/>
              </w:rPr>
              <w:t>OPEN</w:t>
            </w:r>
          </w:p>
        </w:tc>
        <w:tc>
          <w:tcPr>
            <w:tcW w:type="dxa" w:w="1944"/>
            <w:tcMar>
              <w:top w:w="35" w:type="dxa"/>
              <w:start w:w="65" w:type="dxa"/>
              <w:bottom w:w="35" w:type="dxa"/>
              <w:end w:w="65" w:type="dxa"/>
            </w:tcMar>
            <w:vAlign w:val="center"/>
          </w:tcPr>
          <w:p>
            <w:pPr>
              <w:spacing w:before="0" w:after="0" w:line="240" w:lineRule="auto"/>
            </w:pPr>
            <w:r>
              <w:rPr>
                <w:sz w:val="15"/>
              </w:rPr>
              <w:t>Domain adapters and evidence</w:t>
            </w:r>
          </w:p>
        </w:tc>
      </w:tr>
    </w:tbl>
    <w:p>
      <w:bookmarkStart w:id="1301" w:name="h_3341"/>
      <w:pPr>
        <w:pStyle w:val="Heading1"/>
      </w:pPr>
      <w:r>
        <w:t>369. Prior art и граница авторского вклада</w:t>
      </w:r>
      <w:bookmarkEnd w:id="1301"/>
    </w:p>
    <w:p>
      <w:pPr/>
      <w:r>
        <w:t>Классический prior art главы включает Cramér-Sanov large deviations, Varadhan/Laplace principle, Donsker-Varadhan theory, Gärtner-Ellis convex duality, Freidlin-Wentzell action geometry, weak-convergence method Dupuis-Ellis, Feynman-Kac semigroups, risk-sensitive control, importance sampling и distributionally robust optimization. Авторский слой Тома II состоит в их типизированной интеграции с NAPG/KLT-RBD, Reper-path, λ/D/Dom, obstruction carriers, transition horizons, finite-sample firewall и пятизначным verdict.</w:t>
      </w:r>
    </w:p>
    <w:p>
      <w:pPr/>
      <w:r>
        <w:t>[V0.20-1] Sanov, I. N. On the probability of large deviations of random magnitudes. Mat. Sb. (N.S.) 42(84):1 (1957), 11-44. [первичный источник]</w:t>
      </w:r>
    </w:p>
    <w:p>
      <w:pPr/>
      <w:r>
        <w:t>[V0.20-2] Varadhan, S. R. S. Asymptotic probabilities and differential equations. Comm. Pure Appl. Math. 19 (1966), 261-286. DOI 10.1002/cpa.3160190303. [первичный источник]</w:t>
      </w:r>
    </w:p>
    <w:p>
      <w:pPr/>
      <w:r>
        <w:t>[V0.20-3] Donsker, M. D.; Varadhan, S. R. S. Asymptotic evaluation of certain Markov process expectations for large time I-IV. Comm. Pure Appl. Math. 28-36 (1975-1983). [первичный цикл]</w:t>
      </w:r>
    </w:p>
    <w:p>
      <w:pPr/>
      <w:r>
        <w:t>[V0.20-4] Gärtner, J. On large deviations from the invariant measure. Theory Probab. Appl. 22 (1977), 24-39. DOI 10.1137/1122003. [первичный источник]</w:t>
      </w:r>
    </w:p>
    <w:p>
      <w:pPr>
        <w:widowControl/>
      </w:pPr>
      <w:r>
        <w:t>[V0.20-5] Ellis, R. S. Large deviations for a general class of random vectors. Ann. Probab. 12 (1984), 1-12. DOI 10.1214/aop/1176993370. [первичный источник]</w:t>
      </w:r>
    </w:p>
    <w:p>
      <w:pPr>
        <w:widowControl/>
      </w:pPr>
      <w:r>
        <w:t>[V0.20-6] Freidlin, M. I.; Wentzell, A. D. Random Perturbations of Dynamical Systems. Springer, 1984/1998/2012. [основная монография]</w:t>
      </w:r>
    </w:p>
    <w:p>
      <w:pPr>
        <w:widowControl/>
      </w:pPr>
      <w:r>
        <w:t>[V0.20-7] Dupuis, P.; Ellis, R. S. A Weak Convergence Approach to the Theory of Large Deviations. Wiley, 1997. DOI 10.1002/9781118165904.</w:t>
      </w:r>
    </w:p>
    <w:p>
      <w:pPr>
        <w:widowControl/>
      </w:pPr>
      <w:r>
        <w:t>[V0.20-8] Fleming, W. H.; Sheu, S. J. Risk-Sensitive Control and an Optimal Investment Model. Mathematical Finance 10 (2000), 197-213. DOI 10.1111/1467-9965.00089.</w:t>
      </w:r>
    </w:p>
    <w:p>
      <w:pPr>
        <w:widowControl/>
      </w:pPr>
      <w:r>
        <w:t>[V0.20-9] Mohajerin Esfahani, P.; Kuhn, D. Data-driven distributionally robust optimization using the Wasserstein metric. Math. Programming 171 (2018), 115-166; arXiv:1505.05116.</w:t>
      </w:r>
    </w:p>
    <w:p>
      <w:pPr>
        <w:widowControl/>
      </w:pPr>
      <w:r>
        <w:t>[V0.20-10] Kurpishev, I. B. Том I v197 RU; Том II T2-RP-v0.1-v0.19. [внутренний авторский корпус]</w:t>
      </w:r>
    </w:p>
    <w:p>
      <w:pPr>
        <w:pStyle w:val="Small"/>
        <w:widowControl/>
      </w:pPr>
      <w:r>
        <w:t>Замороженный Том I v197 RU фиксирует blocker-safe прогнозные коридоры, e-processes, finite-sample power и causal-limit discipline. Настоящая глава добавляет large-deviation action, risk-sensitive и robust rare-event carriers без изменения статуса ПН.2 или F-1-F-14.</w:t>
      </w:r>
    </w:p>
    <w:p>
      <w:bookmarkStart w:id="1302" w:name="h_3354"/>
      <w:pPr>
        <w:pStyle w:val="Heading1"/>
        <w:widowControl/>
      </w:pPr>
      <w:r>
        <w:t>370. Контрольная точка и граница вывода</w:t>
      </w:r>
      <w:bookmarkEnd w:id="1302"/>
    </w:p>
    <w:p>
      <w:bookmarkStart w:id="2062" w:name="f_23_41"/>
      <w:pPr>
        <w:pStyle w:val="Quote"/>
        <w:widowControl/>
        <w:jc w:val="center"/>
      </w:pPr>
      <w:r>
        <w:t>truth_layer_promotion=0; checkpoint=T2-RP-v0.20; next=T2-RP-v0.21.  (23.41)</w:t>
      </w:r>
      <w:bookmarkEnd w:id="2062"/>
    </w:p>
    <w:p>
      <w:pPr>
        <w:widowControl/>
      </w:pPr>
      <w:r>
        <w:t>Глава 23 построила строгий интерфейс редких событий: LDP задаёт экспоненциальную геометрию, Freidlin-Wentzell action и quasipotential локализуют минимально-действующие пути, Donsker-Varadhan/Feynman-Kac и risk-sensitive semigroups задают спектрально-вариационный слой, а ambiguity sets и точные confidence bounds превращают часть выводов в конечновыборочные сертификаты.</w:t>
      </w:r>
    </w:p>
    <w:p>
      <w:pPr>
        <w:pStyle w:val="Lead"/>
        <w:widowControl/>
      </w:pPr>
      <w:r>
        <w:t>Ключевой итог: “экспоненциально подавлено”, “вероятность не выше α с confidence 1-β”, “невозможно внутри support” и “событие наступило” являются четырьмя разными утверждениями. Тому II запрещено превращать первое во второе, второе в третье, а третье в физический закон без дополнительных мостов.</w:t>
      </w:r>
    </w:p>
    <w:p>
      <w:pPr>
        <w:pStyle w:val="Small"/>
        <w:widowControl/>
      </w:pPr>
      <w:r>
        <w:t>Следующая сборка tom2_v0_21 развивает главу 24: синтез всех слоёв в end-to-end предсказательный оператор KLT-RBD, полную композицию бюджетов ошибок, общий theorem schema, алгоритмический контракт и итоговую матрицу фальсифицируемости Тома II.</w:t>
      </w:r>
    </w:p>
    <w:p>
      <w:pPr>
        <w:pStyle w:val="Small"/>
        <w:widowControl/>
      </w:pPr>
      <w:r>
        <w:t>checkpoint=T2-RP-v0.20; source=T2-RP-v0.19; truth_layer_promotion=0; next=T2-RP-v0.21.</w:t>
      </w:r>
    </w:p>
    <w:p>
      <w:pPr>
        <w:widowControl/>
      </w:pPr>
      <w:r>
        <w:br/>
      </w:r>
    </w:p>
    <w:p>
      <w:pPr>
        <w:widowControl/>
      </w:pPr>
      <w:r>
        <w:br w:type="page"/>
      </w:r>
    </w:p>
    <w:p>
      <w:bookmarkStart w:id="1303" w:name="h_3362"/>
      <w:pPr>
        <w:pStyle w:val="Heading1"/>
        <w:widowControl/>
      </w:pPr>
      <w:r>
        <w:t>Глава 24. End-to-end предсказательный оператор KLT-RBD, композиция бюджетов и итоговая фальсифицируемость</w:t>
      </w:r>
      <w:bookmarkEnd w:id="1303"/>
    </w:p>
    <w:p>
      <w:pPr>
        <w:pStyle w:val="Lead"/>
        <w:widowControl/>
      </w:pPr>
      <w:r>
        <w:rPr>
          <w:i w:val="0"/>
        </w:rPr>
        <w:t>Статус главы: theorem/conditional/computational synthesis package. Глава замыкает master-skeleton Тома II, не повышая статусы физических мостов и не превращая вычислительный конвейер в оракул будущего.</w:t>
      </w:r>
    </w:p>
    <w:p>
      <w:bookmarkStart w:id="2063" w:name="f_24_1"/>
      <w:pPr>
        <w:pStyle w:val="Quote"/>
        <w:widowControl/>
        <w:jc w:val="center"/>
      </w:pPr>
      <w:r>
        <w:t>truth_layer_promotion=0; source=T2-RP-v0.20; checkpoint=T2-RP-v0.21.  (24.1)</w:t>
      </w:r>
      <w:bookmarkEnd w:id="2063"/>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4876"/>
        <w:gridCol w:w="4876"/>
      </w:tblGrid>
      <w:tr>
        <w:trPr>
          <w:tblHeader w:val="true"/>
          <w:cantSplit/>
        </w:trPr>
        <w:tc>
          <w:tcPr>
            <w:tcW w:type="dxa" w:w="2232"/>
            <w:shd w:fill="173B67"/>
            <w:tcMar>
              <w:top w:w="130" w:type="dxa"/>
              <w:start w:w="150" w:type="dxa"/>
              <w:bottom w:w="130" w:type="dxa"/>
              <w:end w:w="150" w:type="dxa"/>
            </w:tcMar>
            <w:vAlign w:val="center"/>
          </w:tcPr>
          <w:p>
            <w:r>
              <w:rPr>
                <w:rFonts w:ascii="Aptos" w:hAnsi="Aptos" w:eastAsia="Aptos"/>
                <w:b/>
                <w:color w:val="FFFFFF"/>
                <w:sz w:val="21"/>
              </w:rPr>
              <w:t>ОНТОЛОГИЯ</w:t>
            </w:r>
          </w:p>
        </w:tc>
        <w:tc>
          <w:tcPr>
            <w:tcW w:type="dxa" w:w="7200"/>
            <w:shd w:fill="DCE8F5"/>
            <w:tcMar>
              <w:top w:w="130" w:type="dxa"/>
              <w:start w:w="150" w:type="dxa"/>
              <w:bottom w:w="130" w:type="dxa"/>
              <w:end w:w="150" w:type="dxa"/>
            </w:tcMar>
            <w:vAlign w:val="center"/>
          </w:tcPr>
          <w:p>
            <w:r>
              <w:rPr>
                <w:rFonts w:ascii="Aptos" w:hAnsi="Aptos" w:eastAsia="Aptos"/>
                <w:sz w:val="20"/>
              </w:rPr>
              <w:t>Предсказательный оператор существует не как мистическая функция «данные → будущее», а как композиция частичных математических преобразований, каждое из которых имеет носитель, область определения, доказательную политику и право отказа.</w:t>
            </w:r>
          </w:p>
        </w:tc>
      </w:tr>
      <w:tr>
        <w:trPr>
          <w:cantSplit/>
        </w:trPr>
        <w:tc>
          <w:tcPr>
            <w:tcW w:type="dxa" w:w="2232"/>
            <w:shd w:fill="173B67"/>
            <w:tcMar>
              <w:top w:w="130" w:type="dxa"/>
              <w:start w:w="150" w:type="dxa"/>
              <w:bottom w:w="130" w:type="dxa"/>
              <w:end w:w="150" w:type="dxa"/>
            </w:tcMar>
            <w:vAlign w:val="center"/>
          </w:tcPr>
          <w:p>
            <w:r>
              <w:rPr>
                <w:rFonts w:ascii="Aptos" w:hAnsi="Aptos" w:eastAsia="Aptos"/>
                <w:b/>
                <w:color w:val="FFFFFF"/>
                <w:sz w:val="21"/>
              </w:rPr>
              <w:t>ГНОСЕОЛОГИЯ</w:t>
            </w:r>
          </w:p>
        </w:tc>
        <w:tc>
          <w:tcPr>
            <w:tcW w:type="dxa" w:w="7200"/>
            <w:shd w:fill="DCE8F5"/>
            <w:tcMar>
              <w:top w:w="130" w:type="dxa"/>
              <w:start w:w="150" w:type="dxa"/>
              <w:bottom w:w="130" w:type="dxa"/>
              <w:end w:w="150" w:type="dxa"/>
            </w:tcMar>
            <w:vAlign w:val="center"/>
          </w:tcPr>
          <w:p>
            <w:r>
              <w:rPr>
                <w:rFonts w:ascii="Aptos" w:hAnsi="Aptos" w:eastAsia="Aptos"/>
                <w:sz w:val="20"/>
              </w:rPr>
              <w:t>Знание возникает только тогда, когда маршрут от источника до вывода восстановим: типы согласованы, гипотезы перечислены, локальные сертификаты проверены, ошибки перенесены и внешняя проверка отделена от настройки.</w:t>
            </w:r>
          </w:p>
        </w:tc>
      </w:tr>
      <w:tr>
        <w:trPr>
          <w:cantSplit/>
        </w:trPr>
        <w:tc>
          <w:tcPr>
            <w:tcW w:type="dxa" w:w="2232"/>
            <w:shd w:fill="173B67"/>
            <w:tcMar>
              <w:top w:w="130" w:type="dxa"/>
              <w:start w:w="150" w:type="dxa"/>
              <w:bottom w:w="130" w:type="dxa"/>
              <w:end w:w="150" w:type="dxa"/>
            </w:tcMar>
            <w:vAlign w:val="center"/>
          </w:tcPr>
          <w:p>
            <w:r>
              <w:rPr>
                <w:rFonts w:ascii="Aptos" w:hAnsi="Aptos" w:eastAsia="Aptos"/>
                <w:b/>
                <w:color w:val="FFFFFF"/>
                <w:sz w:val="21"/>
              </w:rPr>
              <w:t>ФЕНОМЕНОЛОГИЯ</w:t>
            </w:r>
          </w:p>
        </w:tc>
        <w:tc>
          <w:tcPr>
            <w:tcW w:type="dxa" w:w="7200"/>
            <w:shd w:fill="DCE8F5"/>
            <w:tcMar>
              <w:top w:w="130" w:type="dxa"/>
              <w:start w:w="150" w:type="dxa"/>
              <w:bottom w:w="130" w:type="dxa"/>
              <w:end w:w="150" w:type="dxa"/>
            </w:tcMar>
            <w:vAlign w:val="center"/>
          </w:tcPr>
          <w:p>
            <w:r>
              <w:rPr>
                <w:rFonts w:ascii="Aptos" w:hAnsi="Aptos" w:eastAsia="Aptos"/>
                <w:sz w:val="20"/>
              </w:rPr>
              <w:t>На практике оператор проявляется как цепь переходов между документом, Reper-узлом, алгеброй, геометрией, пространством препятствий, модульным носителем, динамикой, законом наблюдений и итоговым вердиктом. Разрыв любого перехода виден как blocker, а не маскируется усреднением.</w:t>
            </w:r>
          </w:p>
        </w:tc>
      </w:tr>
      <w:tr>
        <w:trPr>
          <w:cantSplit/>
        </w:trPr>
        <w:tc>
          <w:tcPr>
            <w:tcW w:type="dxa" w:w="2232"/>
            <w:shd w:fill="A87512"/>
            <w:tcMar>
              <w:top w:w="130" w:type="dxa"/>
              <w:start w:w="150" w:type="dxa"/>
              <w:bottom w:w="130" w:type="dxa"/>
              <w:end w:w="150" w:type="dxa"/>
            </w:tcMar>
            <w:vAlign w:val="center"/>
          </w:tcPr>
          <w:p>
            <w:r>
              <w:rPr>
                <w:rFonts w:ascii="Aptos" w:hAnsi="Aptos" w:eastAsia="Aptos"/>
                <w:b/>
                <w:color w:val="FFFFFF"/>
                <w:sz w:val="21"/>
              </w:rPr>
              <w:t>ГРАНИЦА</w:t>
            </w:r>
          </w:p>
        </w:tc>
        <w:tc>
          <w:tcPr>
            <w:tcW w:type="dxa" w:w="7200"/>
            <w:shd w:fill="F7EED4"/>
            <w:tcMar>
              <w:top w:w="130" w:type="dxa"/>
              <w:start w:w="150" w:type="dxa"/>
              <w:bottom w:w="130" w:type="dxa"/>
              <w:end w:w="150" w:type="dxa"/>
            </w:tcMar>
            <w:vAlign w:val="center"/>
          </w:tcPr>
          <w:p>
            <w:r>
              <w:rPr>
                <w:rFonts w:ascii="Aptos" w:hAnsi="Aptos" w:eastAsia="Aptos"/>
                <w:sz w:val="20"/>
              </w:rPr>
              <w:t>Глава не доказывает универсальную предсказуемость мира. Она доказывает правила корректной композиции уже определённых слоёв и задаёт условия, при которых вывод ограниченно действителен внутри модели, данных и бюджета.</w:t>
            </w:r>
          </w:p>
        </w:tc>
      </w:tr>
    </w:tbl>
    <w:p>
      <w:bookmarkStart w:id="1304" w:name="h_3365"/>
      <w:pPr>
        <w:pStyle w:val="Heading1"/>
        <w:widowControl/>
      </w:pPr>
      <w:r>
        <w:t>371. Четыре несовместимых смысла слова «предсказание»</w:t>
      </w:r>
      <w:bookmarkEnd w:id="1304"/>
    </w:p>
    <w:p>
      <w:pPr>
        <w:widowControl/>
      </w:pPr>
      <w:r>
        <w:rPr>
          <w:i w:val="0"/>
        </w:rPr>
        <w:t>Том II фиксирует четыре разных объекта, которые в бытовом языке удобно, но математически губительно называют одним словом.</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2438"/>
        <w:gridCol w:w="2438"/>
        <w:gridCol w:w="2438"/>
        <w:gridCol w:w="2438"/>
      </w:tblGrid>
      <w:tr>
        <w:trPr>
          <w:tblHeader w:val="true"/>
          <w:cantSplit/>
        </w:trPr>
        <w:tc>
          <w:tcPr>
            <w:tcW w:type="dxa" w:w="1440"/>
            <w:shd w:fill="173B67"/>
            <w:tcMar>
              <w:top w:w="110" w:type="dxa"/>
              <w:start w:w="110" w:type="dxa"/>
              <w:bottom w:w="110" w:type="dxa"/>
              <w:end w:w="110" w:type="dxa"/>
            </w:tcMar>
            <w:vAlign w:val="center"/>
          </w:tcPr>
          <w:p>
            <w:pPr>
              <w:jc w:val="center"/>
            </w:pPr>
            <w:r>
              <w:rPr>
                <w:rFonts w:ascii="Aptos" w:hAnsi="Aptos" w:eastAsia="Aptos"/>
                <w:b/>
                <w:color w:val="FFFFFF"/>
                <w:sz w:val="16"/>
              </w:rPr>
              <w:t>Уровень</w:t>
            </w:r>
          </w:p>
        </w:tc>
        <w:tc>
          <w:tcPr>
            <w:tcW w:type="dxa" w:w="3024"/>
            <w:shd w:fill="173B67"/>
            <w:tcMar>
              <w:top w:w="110" w:type="dxa"/>
              <w:start w:w="110" w:type="dxa"/>
              <w:bottom w:w="110" w:type="dxa"/>
              <w:end w:w="110" w:type="dxa"/>
            </w:tcMar>
            <w:vAlign w:val="center"/>
          </w:tcPr>
          <w:p>
            <w:pPr>
              <w:jc w:val="center"/>
            </w:pPr>
            <w:r>
              <w:rPr>
                <w:rFonts w:ascii="Aptos" w:hAnsi="Aptos" w:eastAsia="Aptos"/>
                <w:b/>
                <w:color w:val="FFFFFF"/>
                <w:sz w:val="16"/>
              </w:rPr>
              <w:t>Формальный объект</w:t>
            </w:r>
          </w:p>
        </w:tc>
        <w:tc>
          <w:tcPr>
            <w:tcW w:type="dxa" w:w="3024"/>
            <w:shd w:fill="173B67"/>
            <w:tcMar>
              <w:top w:w="110" w:type="dxa"/>
              <w:start w:w="110" w:type="dxa"/>
              <w:bottom w:w="110" w:type="dxa"/>
              <w:end w:w="110" w:type="dxa"/>
            </w:tcMar>
            <w:vAlign w:val="center"/>
          </w:tcPr>
          <w:p>
            <w:pPr>
              <w:jc w:val="center"/>
            </w:pPr>
            <w:r>
              <w:rPr>
                <w:rFonts w:ascii="Aptos" w:hAnsi="Aptos" w:eastAsia="Aptos"/>
                <w:b/>
                <w:color w:val="FFFFFF"/>
                <w:sz w:val="16"/>
              </w:rPr>
              <w:t>Что можно утверждать</w:t>
            </w:r>
          </w:p>
        </w:tc>
        <w:tc>
          <w:tcPr>
            <w:tcW w:type="dxa" w:w="2304"/>
            <w:shd w:fill="173B67"/>
            <w:tcMar>
              <w:top w:w="110" w:type="dxa"/>
              <w:start w:w="110" w:type="dxa"/>
              <w:bottom w:w="110" w:type="dxa"/>
              <w:end w:w="110" w:type="dxa"/>
            </w:tcMar>
            <w:vAlign w:val="center"/>
          </w:tcPr>
          <w:p>
            <w:pPr>
              <w:jc w:val="center"/>
            </w:pPr>
            <w:r>
              <w:rPr>
                <w:rFonts w:ascii="Aptos" w:hAnsi="Aptos" w:eastAsia="Aptos"/>
                <w:b/>
                <w:color w:val="FFFFFF"/>
                <w:sz w:val="16"/>
              </w:rPr>
              <w:t>Что запрещено</w:t>
            </w:r>
          </w:p>
        </w:tc>
      </w:tr>
      <w:tr>
        <w:trPr>
          <w:cantSplit/>
        </w:trPr>
        <w:tc>
          <w:tcPr>
            <w:tcW w:type="dxa" w:w="1440"/>
            <w:tcMar>
              <w:top w:w="90" w:type="dxa"/>
              <w:start w:w="100" w:type="dxa"/>
              <w:bottom w:w="90" w:type="dxa"/>
              <w:end w:w="100" w:type="dxa"/>
            </w:tcMar>
            <w:vAlign w:val="center"/>
          </w:tcPr>
          <w:p>
            <w:pPr>
              <w:spacing w:after="0"/>
            </w:pPr>
            <w:r>
              <w:rPr>
                <w:rFonts w:ascii="Aptos" w:hAnsi="Aptos" w:eastAsia="Aptos"/>
                <w:sz w:val="16"/>
              </w:rPr>
              <w:t>P0: структурный</w:t>
            </w:r>
          </w:p>
        </w:tc>
        <w:tc>
          <w:tcPr>
            <w:tcW w:type="dxa" w:w="3024"/>
            <w:tcMar>
              <w:top w:w="90" w:type="dxa"/>
              <w:start w:w="100" w:type="dxa"/>
              <w:bottom w:w="90" w:type="dxa"/>
              <w:end w:w="100" w:type="dxa"/>
            </w:tcMar>
            <w:vAlign w:val="center"/>
          </w:tcPr>
          <w:p>
            <w:pPr>
              <w:spacing w:after="0"/>
            </w:pPr>
            <w:r>
              <w:rPr>
                <w:rFonts w:ascii="Aptos" w:hAnsi="Aptos" w:eastAsia="Aptos"/>
                <w:sz w:val="16"/>
              </w:rPr>
              <w:t>множество допустимых продолжений / пересечение горизонта</w:t>
            </w:r>
          </w:p>
        </w:tc>
        <w:tc>
          <w:tcPr>
            <w:tcW w:type="dxa" w:w="3024"/>
            <w:tcMar>
              <w:top w:w="90" w:type="dxa"/>
              <w:start w:w="100" w:type="dxa"/>
              <w:bottom w:w="90" w:type="dxa"/>
              <w:end w:w="100" w:type="dxa"/>
            </w:tcMar>
            <w:vAlign w:val="center"/>
          </w:tcPr>
          <w:p>
            <w:pPr>
              <w:spacing w:after="0"/>
            </w:pPr>
            <w:r>
              <w:rPr>
                <w:rFonts w:ascii="Aptos" w:hAnsi="Aptos" w:eastAsia="Aptos"/>
                <w:sz w:val="16"/>
              </w:rPr>
              <w:t>NO-STRUCTURAL-TRANSITION-IN-MODEL или CANDIDATE</w:t>
            </w:r>
          </w:p>
        </w:tc>
        <w:tc>
          <w:tcPr>
            <w:tcW w:type="dxa" w:w="2304"/>
            <w:tcMar>
              <w:top w:w="90" w:type="dxa"/>
              <w:start w:w="100" w:type="dxa"/>
              <w:bottom w:w="90" w:type="dxa"/>
              <w:end w:w="100" w:type="dxa"/>
            </w:tcMar>
            <w:vAlign w:val="center"/>
          </w:tcPr>
          <w:p>
            <w:pPr>
              <w:spacing w:after="0"/>
            </w:pPr>
            <w:r>
              <w:rPr>
                <w:rFonts w:ascii="Aptos" w:hAnsi="Aptos" w:eastAsia="Aptos"/>
                <w:sz w:val="16"/>
              </w:rPr>
              <w:t>вероятность и время наступления</w:t>
            </w:r>
          </w:p>
        </w:tc>
      </w:tr>
      <w:tr>
        <w:trPr>
          <w:cantSplit/>
        </w:trPr>
        <w:tc>
          <w:tcPr>
            <w:tcW w:type="dxa" w:w="1440"/>
            <w:tcMar>
              <w:top w:w="90" w:type="dxa"/>
              <w:start w:w="100" w:type="dxa"/>
              <w:bottom w:w="90" w:type="dxa"/>
              <w:end w:w="100" w:type="dxa"/>
            </w:tcMar>
            <w:vAlign w:val="center"/>
            <w:shd w:fill="F5F7F9"/>
          </w:tcPr>
          <w:p>
            <w:pPr>
              <w:spacing w:after="0"/>
            </w:pPr>
            <w:r>
              <w:rPr>
                <w:rFonts w:ascii="Aptos" w:hAnsi="Aptos" w:eastAsia="Aptos"/>
                <w:sz w:val="16"/>
              </w:rPr>
              <w:t>P1: динамический</w:t>
            </w:r>
          </w:p>
        </w:tc>
        <w:tc>
          <w:tcPr>
            <w:tcW w:type="dxa" w:w="3024"/>
            <w:tcMar>
              <w:top w:w="90" w:type="dxa"/>
              <w:start w:w="100" w:type="dxa"/>
              <w:bottom w:w="90" w:type="dxa"/>
              <w:end w:w="100" w:type="dxa"/>
            </w:tcMar>
            <w:vAlign w:val="center"/>
            <w:shd w:fill="F5F7F9"/>
          </w:tcPr>
          <w:p>
            <w:pPr>
              <w:spacing w:after="0"/>
            </w:pPr>
            <w:r>
              <w:rPr>
                <w:rFonts w:ascii="Aptos" w:hAnsi="Aptos" w:eastAsia="Aptos"/>
                <w:sz w:val="16"/>
              </w:rPr>
              <w:t>evolution family, path carrier, hitting functional</w:t>
            </w:r>
          </w:p>
        </w:tc>
        <w:tc>
          <w:tcPr>
            <w:tcW w:type="dxa" w:w="3024"/>
            <w:tcMar>
              <w:top w:w="90" w:type="dxa"/>
              <w:start w:w="100" w:type="dxa"/>
              <w:bottom w:w="90" w:type="dxa"/>
              <w:end w:w="100" w:type="dxa"/>
            </w:tcMar>
            <w:vAlign w:val="center"/>
            <w:shd w:fill="F5F7F9"/>
          </w:tcPr>
          <w:p>
            <w:pPr>
              <w:spacing w:after="0"/>
            </w:pPr>
            <w:r>
              <w:rPr>
                <w:rFonts w:ascii="Aptos" w:hAnsi="Aptos" w:eastAsia="Aptos"/>
                <w:sz w:val="16"/>
              </w:rPr>
              <w:t>достижимость, барьер, временной коридор</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причинный эффект без intervention bridge</w:t>
            </w:r>
          </w:p>
        </w:tc>
      </w:tr>
      <w:tr>
        <w:trPr>
          <w:cantSplit/>
        </w:trPr>
        <w:tc>
          <w:tcPr>
            <w:tcW w:type="dxa" w:w="1440"/>
            <w:tcMar>
              <w:top w:w="90" w:type="dxa"/>
              <w:start w:w="100" w:type="dxa"/>
              <w:bottom w:w="90" w:type="dxa"/>
              <w:end w:w="100" w:type="dxa"/>
            </w:tcMar>
            <w:vAlign w:val="center"/>
          </w:tcPr>
          <w:p>
            <w:pPr>
              <w:spacing w:after="0"/>
            </w:pPr>
            <w:r>
              <w:rPr>
                <w:rFonts w:ascii="Aptos" w:hAnsi="Aptos" w:eastAsia="Aptos"/>
                <w:sz w:val="16"/>
              </w:rPr>
              <w:t>P2: вероятностный</w:t>
            </w:r>
          </w:p>
        </w:tc>
        <w:tc>
          <w:tcPr>
            <w:tcW w:type="dxa" w:w="3024"/>
            <w:tcMar>
              <w:top w:w="90" w:type="dxa"/>
              <w:start w:w="100" w:type="dxa"/>
              <w:bottom w:w="90" w:type="dxa"/>
              <w:end w:w="100" w:type="dxa"/>
            </w:tcMar>
            <w:vAlign w:val="center"/>
          </w:tcPr>
          <w:p>
            <w:pPr>
              <w:spacing w:after="0"/>
            </w:pPr>
            <w:r>
              <w:rPr>
                <w:rFonts w:ascii="Aptos" w:hAnsi="Aptos" w:eastAsia="Aptos"/>
                <w:sz w:val="16"/>
              </w:rPr>
              <w:t>law, calibration, confidence/ambiguity certificate</w:t>
            </w:r>
          </w:p>
        </w:tc>
        <w:tc>
          <w:tcPr>
            <w:tcW w:type="dxa" w:w="3024"/>
            <w:tcMar>
              <w:top w:w="90" w:type="dxa"/>
              <w:start w:w="100" w:type="dxa"/>
              <w:bottom w:w="90" w:type="dxa"/>
              <w:end w:w="100" w:type="dxa"/>
            </w:tcMar>
            <w:vAlign w:val="center"/>
          </w:tcPr>
          <w:p>
            <w:pPr>
              <w:spacing w:after="0"/>
            </w:pPr>
            <w:r>
              <w:rPr>
                <w:rFonts w:ascii="Aptos" w:hAnsi="Aptos" w:eastAsia="Aptos"/>
                <w:sz w:val="16"/>
              </w:rPr>
              <w:t>риск, coverage, finite-sample bound</w:t>
            </w:r>
          </w:p>
        </w:tc>
        <w:tc>
          <w:tcPr>
            <w:tcW w:type="dxa" w:w="2304"/>
            <w:tcMar>
              <w:top w:w="90" w:type="dxa"/>
              <w:start w:w="100" w:type="dxa"/>
              <w:bottom w:w="90" w:type="dxa"/>
              <w:end w:w="100" w:type="dxa"/>
            </w:tcMar>
            <w:vAlign w:val="center"/>
          </w:tcPr>
          <w:p>
            <w:pPr>
              <w:spacing w:after="0"/>
            </w:pPr>
            <w:r>
              <w:rPr>
                <w:rFonts w:ascii="Aptos" w:hAnsi="Aptos" w:eastAsia="Aptos"/>
                <w:sz w:val="16"/>
              </w:rPr>
              <w:t>невозможность по малому риску</w:t>
            </w:r>
          </w:p>
        </w:tc>
      </w:tr>
      <w:tr>
        <w:trPr>
          <w:cantSplit/>
        </w:trPr>
        <w:tc>
          <w:tcPr>
            <w:tcW w:type="dxa" w:w="1440"/>
            <w:tcMar>
              <w:top w:w="90" w:type="dxa"/>
              <w:start w:w="100" w:type="dxa"/>
              <w:bottom w:w="90" w:type="dxa"/>
              <w:end w:w="100" w:type="dxa"/>
            </w:tcMar>
            <w:vAlign w:val="center"/>
            <w:shd w:fill="F5F7F9"/>
          </w:tcPr>
          <w:p>
            <w:pPr>
              <w:spacing w:after="0"/>
            </w:pPr>
            <w:r>
              <w:rPr>
                <w:rFonts w:ascii="Aptos" w:hAnsi="Aptos" w:eastAsia="Aptos"/>
                <w:sz w:val="16"/>
              </w:rPr>
              <w:t>P3: физический</w:t>
            </w:r>
          </w:p>
        </w:tc>
        <w:tc>
          <w:tcPr>
            <w:tcW w:type="dxa" w:w="3024"/>
            <w:tcMar>
              <w:top w:w="90" w:type="dxa"/>
              <w:start w:w="100" w:type="dxa"/>
              <w:bottom w:w="90" w:type="dxa"/>
              <w:end w:w="100" w:type="dxa"/>
            </w:tcMar>
            <w:vAlign w:val="center"/>
            <w:shd w:fill="F5F7F9"/>
          </w:tcPr>
          <w:p>
            <w:pPr>
              <w:spacing w:after="0"/>
            </w:pPr>
            <w:r>
              <w:rPr>
                <w:rFonts w:ascii="Aptos" w:hAnsi="Aptos" w:eastAsia="Aptos"/>
                <w:sz w:val="16"/>
              </w:rPr>
              <w:t>операционализированная величина + независимый EXT-RUN</w:t>
            </w:r>
          </w:p>
        </w:tc>
        <w:tc>
          <w:tcPr>
            <w:tcW w:type="dxa" w:w="3024"/>
            <w:tcMar>
              <w:top w:w="90" w:type="dxa"/>
              <w:start w:w="100" w:type="dxa"/>
              <w:bottom w:w="90" w:type="dxa"/>
              <w:end w:w="100" w:type="dxa"/>
            </w:tcMar>
            <w:vAlign w:val="center"/>
            <w:shd w:fill="F5F7F9"/>
          </w:tcPr>
          <w:p>
            <w:pPr>
              <w:spacing w:after="0"/>
            </w:pPr>
            <w:r>
              <w:rPr>
                <w:rFonts w:ascii="Aptos" w:hAnsi="Aptos" w:eastAsia="Aptos"/>
                <w:sz w:val="16"/>
              </w:rPr>
              <w:t>эмпирическое подтверждение/опровержение в протоколе</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универсальный закон природы из внутреннего вычисления</w:t>
            </w:r>
          </w:p>
        </w:tc>
      </w:tr>
    </w:tbl>
    <w:tbl>
      <w:tblPr>
        <w:tblStyle w:val="TableGrid"/>
        <w:tblW w:type="auto" w:w="0"/>
        <w:jc w:val="center"/>
        <w:tblLook w:firstColumn="1" w:firstRow="1" w:lastColumn="0" w:lastRow="0" w:noHBand="0" w:noVBand="1" w:val="04A0"/>
        <w:tblBorders>
          <w:top w:val="single" w:sz="10" w:color="B21F24"/>
          <w:left w:val="single" w:sz="10" w:color="B21F24"/>
          <w:bottom w:val="single" w:sz="10" w:color="B21F24"/>
          <w:right w:val="single" w:sz="10" w:color="B21F24"/>
          <w:insideH w:val="single" w:sz="10" w:color="B21F24"/>
          <w:insideV w:val="single" w:sz="10" w:color="B21F24"/>
        </w:tblBorders>
      </w:tblPr>
      <w:tblGrid>
        <w:gridCol w:w="9752"/>
      </w:tblGrid>
      <w:tr>
        <w:trPr>
          <w:tblHeader w:val="true"/>
          <w:cantSplit/>
        </w:trPr>
        <w:tc>
          <w:tcPr>
            <w:tcW w:type="dxa" w:w="9752"/>
            <w:shd w:fill="FBE8E4"/>
            <w:tcMar>
              <w:top w:w="150" w:type="dxa"/>
              <w:start w:w="180" w:type="dxa"/>
              <w:bottom w:w="150" w:type="dxa"/>
              <w:end w:w="180" w:type="dxa"/>
            </w:tcMar>
          </w:tcPr>
          <w:p>
            <w:r>
              <w:rPr>
                <w:rFonts w:ascii="Aptos" w:hAnsi="Aptos" w:eastAsia="Aptos"/>
                <w:b/>
                <w:color w:val="B21F24"/>
                <w:sz w:val="24"/>
              </w:rPr>
              <w:t>ОГРАНИЧИТЕЛЬНЫЙ БЛОК</w:t>
              <w:br/>
            </w:r>
            <w:r>
              <w:rPr>
                <w:rFonts w:ascii="Aptos" w:hAnsi="Aptos" w:eastAsia="Aptos"/>
                <w:sz w:val="21"/>
              </w:rPr>
              <w:t>End-to-end означает полноту проверяемого маршрута, а не полноту знания. Конвейер может быть end-to-end и закончиться ABSTAIN. Это не дефект, а доказательная честность, редкий природный ресурс.</w:t>
            </w:r>
          </w:p>
        </w:tc>
      </w:tr>
    </w:tbl>
    <w:p>
      <w:bookmarkStart w:id="1305" w:name="h_3367"/>
      <w:pPr>
        <w:pStyle w:val="Heading1"/>
        <w:widowControl/>
      </w:pPr>
      <w:r>
        <w:t>372. Предсказательный запрос как типизированный объект</w:t>
      </w:r>
      <w:bookmarkEnd w:id="1305"/>
    </w:p>
    <w:p>
      <w:bookmarkStart w:id="1679" w:name="s_DEF_24_1"/>
      <w:pPr>
        <w:widowControl/>
      </w:pPr>
      <w:r>
        <w:rPr>
          <w:i w:val="0"/>
        </w:rPr>
        <w:t>Определение 24.1 (predictive query). Предсказательный запрос есть кортеж</w:t>
      </w:r>
      <w:bookmarkEnd w:id="1679"/>
    </w:p>
    <w:p>
      <w:bookmarkStart w:id="2064" w:name="f_24_2"/>
      <w:pPr>
        <w:pStyle w:val="Quote"/>
        <w:widowControl/>
        <w:jc w:val="center"/>
      </w:pPr>
      <w:r>
        <w:t>Q = (S_src, Ω, T, Y, A, Loss, Mode, α, β, L, D, Dom, Split, Policy).  (24.2)</w:t>
      </w:r>
      <w:bookmarkEnd w:id="2064"/>
    </w:p>
    <w:p>
      <w:pPr>
        <w:pStyle w:val="ListBullet"/>
        <w:widowControl/>
      </w:pPr>
      <w:r>
        <w:t>S_src: источники, данные и provenance ledger;</w:t>
      </w:r>
    </w:p>
    <w:p>
      <w:pPr>
        <w:pStyle w:val="ListBullet"/>
        <w:widowControl/>
      </w:pPr>
      <w:r>
        <w:t>Ω: пространство состояний или пакетных объектов;</w:t>
      </w:r>
    </w:p>
    <w:p>
      <w:pPr>
        <w:pStyle w:val="ListBullet"/>
        <w:widowControl/>
      </w:pPr>
      <w:r>
        <w:t>T: временной или деформационный параметр;</w:t>
      </w:r>
    </w:p>
    <w:p>
      <w:pPr>
        <w:pStyle w:val="ListBullet"/>
        <w:widowControl/>
      </w:pPr>
      <w:r>
        <w:t>Y и A: наблюдаемая и целевое событие/множество;</w:t>
      </w:r>
    </w:p>
    <w:p>
      <w:pPr>
        <w:pStyle w:val="ListBullet"/>
        <w:widowControl/>
      </w:pPr>
      <w:r>
        <w:t>Loss: функция потерь либо set-valued criterion;</w:t>
      </w:r>
    </w:p>
    <w:p>
      <w:pPr>
        <w:pStyle w:val="ListBullet"/>
        <w:widowControl/>
      </w:pPr>
      <w:r>
        <w:t>Mode ∈ {STRUCTURAL, DYNAMIC, PROBABILISTIC, CAUSAL, PHYSICAL};</w:t>
      </w:r>
    </w:p>
    <w:p>
      <w:pPr>
        <w:pStyle w:val="ListBullet"/>
        <w:widowControl/>
      </w:pPr>
      <w:r>
        <w:t>α, β: заранее распределённые вероятностные бюджеты;</w:t>
      </w:r>
    </w:p>
    <w:p>
      <w:pPr>
        <w:pStyle w:val="ListBullet"/>
        <w:widowControl/>
      </w:pPr>
      <w:r>
        <w:t>L: система пределов и horizon constraints;</w:t>
      </w:r>
    </w:p>
    <w:p>
      <w:pPr>
        <w:pStyle w:val="ListBullet"/>
        <w:widowControl/>
      </w:pPr>
      <w:r>
        <w:t>D, Dom: sufficient foundation и область применимости;</w:t>
      </w:r>
    </w:p>
    <w:p>
      <w:pPr>
        <w:pStyle w:val="ListBullet"/>
        <w:widowControl/>
      </w:pPr>
      <w:r>
        <w:t>Split: train/calibration/validation/external partition;</w:t>
      </w:r>
    </w:p>
    <w:p>
      <w:pPr>
        <w:pStyle w:val="ListBullet"/>
        <w:widowControl/>
      </w:pPr>
      <w:r>
        <w:t>Policy: правило управления, если запрашивается controlled law.</w:t>
      </w:r>
    </w:p>
    <w:p>
      <w:pPr>
        <w:widowControl/>
      </w:pPr>
      <w:r>
        <w:rPr>
          <w:i w:val="0"/>
        </w:rPr>
        <w:t>Запрос без Mode неоднозначен: одна и та же формула может быть структурным индикатором, статистической оценкой или физической гипотезой. Оператор не обязан угадывать, какой смысл пользователь мысленно имел в виду. Он и так вынужден терпеть достаточно человеческой неоднозначности.</w:t>
      </w:r>
    </w:p>
    <w:p>
      <w:bookmarkStart w:id="1306" w:name="h_3382"/>
      <w:pPr>
        <w:pStyle w:val="Heading1"/>
        <w:widowControl/>
      </w:pPr>
      <w:r>
        <w:t>373. Сертифицированное состояние вычисления</w:t>
      </w:r>
      <w:bookmarkEnd w:id="1306"/>
    </w:p>
    <w:p>
      <w:bookmarkStart w:id="1680" w:name="s_DEF_24_2"/>
      <w:pPr>
        <w:widowControl/>
      </w:pPr>
      <w:r>
        <w:rPr>
          <w:i w:val="0"/>
        </w:rPr>
        <w:t>Определение 24.2. Сертифицированное состояние на шаге j есть</w:t>
      </w:r>
      <w:bookmarkEnd w:id="1680"/>
    </w:p>
    <w:p>
      <w:bookmarkStart w:id="2065" w:name="f_24_3"/>
      <w:pPr>
        <w:pStyle w:val="Quote"/>
        <w:widowControl/>
        <w:jc w:val="center"/>
      </w:pPr>
      <w:r>
        <w:t>Z_j = (X_j, P_j, B_j, C_j, G_j, H_j, V_j),  (24.3)</w:t>
      </w:r>
      <w:bookmarkEnd w:id="2065"/>
    </w:p>
    <w:p>
      <w:pPr>
        <w:pStyle w:val="ListBullet"/>
        <w:widowControl/>
      </w:pPr>
      <w:r>
        <w:t>X_j — текущий носитель данных/структур;</w:t>
      </w:r>
    </w:p>
    <w:p>
      <w:pPr>
        <w:pStyle w:val="ListBullet"/>
        <w:widowControl/>
      </w:pPr>
      <w:r>
        <w:t>P_j — проверенные предикаты и инварианты;</w:t>
      </w:r>
    </w:p>
    <w:p>
      <w:pPr>
        <w:pStyle w:val="ListBullet"/>
        <w:widowControl/>
      </w:pPr>
      <w:r>
        <w:t>B_j — вектор бюджета неопределённости;</w:t>
      </w:r>
    </w:p>
    <w:p>
      <w:pPr>
        <w:pStyle w:val="ListBullet"/>
        <w:widowControl/>
      </w:pPr>
      <w:r>
        <w:t>C_j — proof objects, тесты и вычислительные сертификаты;</w:t>
      </w:r>
    </w:p>
    <w:p>
      <w:pPr>
        <w:pStyle w:val="ListBullet"/>
        <w:widowControl/>
      </w:pPr>
      <w:r>
        <w:t>G_j — blockers и незакрытые доказательные обязательства;</w:t>
      </w:r>
    </w:p>
    <w:p>
      <w:pPr>
        <w:pStyle w:val="ListBullet"/>
        <w:widowControl/>
      </w:pPr>
      <w:r>
        <w:t>H_j — provenance/hash chain;</w:t>
      </w:r>
    </w:p>
    <w:p>
      <w:pPr>
        <w:pStyle w:val="ListBullet"/>
        <w:widowControl/>
      </w:pPr>
      <w:r>
        <w:t>V_j — локальный вердикт и его доказательный статус.</w:t>
      </w:r>
    </w:p>
    <w:p>
      <w:pPr>
        <w:widowControl/>
      </w:pPr>
      <w:r>
        <w:rPr>
          <w:i w:val="0"/>
        </w:rPr>
        <w:t>Состояние является достаточным для продолжения только при совместимости интерфейса следующего модуля. Исторический журнал не отделяется от результата: без него один и тот же массив чисел может означать вычисление, симуляцию, пример или красиво оформленную ошибку.</w:t>
      </w:r>
    </w:p>
    <w:p>
      <w:bookmarkStart w:id="1307" w:name="h_3393"/>
      <w:pPr>
        <w:pStyle w:val="Heading1"/>
        <w:widowControl/>
      </w:pPr>
      <w:r>
        <w:t>374. Однородная Reper-координата без искусственного полюса</w:t>
      </w:r>
      <w:bookmarkEnd w:id="1307"/>
    </w:p>
    <w:p>
      <w:pPr>
        <w:widowControl/>
      </w:pPr>
      <w:r>
        <w:rPr>
          <w:i w:val="0"/>
        </w:rPr>
        <w:t>Для Reper-четвёрки (R,I,U;D) определим однородную проективную координату</w:t>
      </w:r>
    </w:p>
    <w:p>
      <w:bookmarkStart w:id="2066" w:name="f_24_4"/>
      <w:pPr>
        <w:pStyle w:val="Quote"/>
        <w:widowControl/>
        <w:jc w:val="center"/>
      </w:pPr>
      <w:r>
        <w:t>Λ_Rep = [N:Q] = [(U-R)(I-D) : (U-D)(I-R)] ∈ P¹,  (24.4)</w:t>
      </w:r>
      <w:bookmarkEnd w:id="2066"/>
    </w:p>
    <w:p>
      <w:pPr>
        <w:widowControl/>
      </w:pPr>
      <w:r>
        <w:rPr>
          <w:i w:val="0"/>
        </w:rPr>
        <w:t>когда (N,Q)≠(0,0). Скаляр λ=N/Q используется только на карте Q≠0. Гармонический locus задаётся инвариантно уравнением N+Q=0 при ненулевой паре [N:Q].</w:t>
      </w:r>
    </w:p>
    <w:p>
      <w:bookmarkStart w:id="1681" w:name="s_LEM_24_1"/>
      <w:pPr>
        <w:widowControl/>
      </w:pPr>
      <w:r>
        <w:rPr>
          <w:i w:val="0"/>
        </w:rPr>
        <w:t>Лемма 24.1. Однородная координата Λ_Rep не требует деления на Q и потому сохраняет смысл на точках Q=0, кроме общей неопределённости N=Q=0. Переход к числу λ является локальной картой, а не глобальным определением.</w:t>
      </w:r>
      <w:bookmarkEnd w:id="1681"/>
    </w:p>
    <w:p>
      <w:pPr>
        <w:widowControl/>
      </w:pPr>
      <w:r>
        <w:rPr>
          <w:i w:val="0"/>
        </w:rPr>
        <w:t>Доказательство. Проективная точка определяется ненулевой парой с точностью до общего множителя. Деление требуется только для выбора аффинной карты. При N=Q=0 проективная точка не существует, что фиксируется как BLOCK-REPER-UNDEFINED. □</w:t>
      </w:r>
    </w:p>
    <w:tbl>
      <w:tblPr>
        <w:tblStyle w:val="TableGrid"/>
        <w:tblW w:type="auto" w:w="0"/>
        <w:jc w:val="center"/>
        <w:tblLook w:firstColumn="1" w:firstRow="1" w:lastColumn="0" w:lastRow="0" w:noHBand="0" w:noVBand="1" w:val="04A0"/>
        <w:tblBorders>
          <w:top w:val="single" w:sz="10" w:color="B21F24"/>
          <w:left w:val="single" w:sz="10" w:color="B21F24"/>
          <w:bottom w:val="single" w:sz="10" w:color="B21F24"/>
          <w:right w:val="single" w:sz="10" w:color="B21F24"/>
          <w:insideH w:val="single" w:sz="10" w:color="B21F24"/>
          <w:insideV w:val="single" w:sz="10" w:color="B21F24"/>
        </w:tblBorders>
      </w:tblPr>
      <w:tblGrid>
        <w:gridCol w:w="9752"/>
      </w:tblGrid>
      <w:tr>
        <w:trPr>
          <w:tblHeader w:val="true"/>
          <w:cantSplit/>
        </w:trPr>
        <w:tc>
          <w:tcPr>
            <w:tcW w:type="dxa" w:w="9752"/>
            <w:shd w:fill="FBE8E4"/>
            <w:tcMar>
              <w:top w:w="150" w:type="dxa"/>
              <w:start w:w="180" w:type="dxa"/>
              <w:bottom w:w="150" w:type="dxa"/>
              <w:end w:w="180" w:type="dxa"/>
            </w:tcMar>
          </w:tcPr>
          <w:p>
            <w:r>
              <w:rPr>
                <w:rFonts w:ascii="Aptos" w:hAnsi="Aptos" w:eastAsia="Aptos"/>
                <w:b/>
                <w:color w:val="B21F24"/>
                <w:sz w:val="24"/>
              </w:rPr>
              <w:t>СМЫСЛ ТРУДНОГО ПЕРЕХОДА</w:t>
              <w:br/>
            </w:r>
            <w:r>
              <w:rPr>
                <w:rFonts w:ascii="Aptos" w:hAnsi="Aptos" w:eastAsia="Aptos"/>
                <w:sz w:val="21"/>
              </w:rPr>
              <w:t>Предыдущие главы уже выявили pole set скалярного кросс-соотношения. Финальный оператор поэтому не должен хранить λ как единственную истину. Он хранит однородную пару [N:Q], карту, в которой выполнялось вычисление, и расстояние до вырожденного множества. Это не косметическая замена записи, а устранение ложной непрерывности.</w:t>
            </w:r>
          </w:p>
        </w:tc>
      </w:tr>
    </w:tbl>
    <w:p>
      <w:bookmarkStart w:id="1308" w:name="h_3399"/>
      <w:pPr>
        <w:pStyle w:val="Heading1"/>
        <w:widowControl/>
      </w:pPr>
      <w:r>
        <w:t>375. Результатный тип: OK, ABSTAIN и FAIL</w:t>
      </w:r>
      <w:bookmarkEnd w:id="1308"/>
    </w:p>
    <w:p>
      <w:pPr>
        <w:widowControl/>
      </w:pPr>
      <w:r>
        <w:rPr>
          <w:i w:val="0"/>
        </w:rPr>
        <w:t>Для носителя Y определим результатный объект</w:t>
      </w:r>
    </w:p>
    <w:p>
      <w:bookmarkStart w:id="2067" w:name="f_24_5"/>
      <w:pPr>
        <w:pStyle w:val="Quote"/>
        <w:widowControl/>
        <w:jc w:val="center"/>
      </w:pPr>
      <w:r>
        <w:t>Result(Y)=OK(Y,Cert,B) ⊔ ABSTAIN(Block) ⊔ FAIL(Witness).  (24.5)</w:t>
      </w:r>
      <w:bookmarkEnd w:id="2067"/>
    </w:p>
    <w:p>
      <w:pPr>
        <w:pStyle w:val="ListBullet"/>
        <w:widowControl/>
      </w:pPr>
      <w:r>
        <w:t>OK означает, что постусловие доказано или сертифицировано в заявленной области и бюджете;</w:t>
      </w:r>
    </w:p>
    <w:p>
      <w:pPr>
        <w:pStyle w:val="ListBullet"/>
        <w:widowControl/>
      </w:pPr>
      <w:r>
        <w:t>ABSTAIN означает отсутствие права на вывод при потенциально исправимом недостатке;</w:t>
      </w:r>
    </w:p>
    <w:p>
      <w:pPr>
        <w:pStyle w:val="ListBullet"/>
        <w:widowControl/>
      </w:pPr>
      <w:r>
        <w:t>FAIL означает найденный отрицательный свидетель: контрпример, нарушение теста, несогласованность хеша или опровержение постусловия.</w:t>
      </w:r>
    </w:p>
    <w:p>
      <w:pPr>
        <w:widowControl/>
      </w:pPr>
      <w:r>
        <w:rPr>
          <w:i w:val="0"/>
        </w:rPr>
        <w:t>ABSTAIN не тождественен FAIL. Отказ сообщает «не установлено при текущих основаниях»; FAIL сообщает «заявленное условие нарушено». Смешение этих ветвей превращает незнание в отрицательное знание и обратно.</w:t>
      </w:r>
    </w:p>
    <w:p>
      <w:bookmarkStart w:id="1309" w:name="h_3406"/>
      <w:pPr>
        <w:pStyle w:val="Heading1"/>
        <w:widowControl/>
      </w:pPr>
      <w:r>
        <w:t>376. Категория сертифицированных частичных операторов</w:t>
      </w:r>
      <w:bookmarkEnd w:id="1309"/>
    </w:p>
    <w:p>
      <w:bookmarkStart w:id="1682" w:name="s_DEF_24_3"/>
      <w:pPr>
        <w:widowControl/>
      </w:pPr>
      <w:r>
        <w:rPr>
          <w:i w:val="0"/>
        </w:rPr>
        <w:t>Определение 24.3. Объектами категории CertKLT являются типизированные носители (X,Inv_X). Морфизм F:X⇀Y задаётся шестёркой</w:t>
      </w:r>
      <w:bookmarkEnd w:id="1682"/>
    </w:p>
    <w:p>
      <w:bookmarkStart w:id="2068" w:name="f_24_6"/>
      <w:pPr>
        <w:pStyle w:val="Quote"/>
        <w:widowControl/>
        <w:jc w:val="center"/>
      </w:pPr>
      <w:r>
        <w:t>F=(f, Pre_F, Post_F, T_F, E_F, Audit_F),  (24.6)</w:t>
      </w:r>
      <w:bookmarkEnd w:id="2068"/>
    </w:p>
    <w:p>
      <w:pPr>
        <w:pStyle w:val="ListBullet"/>
        <w:widowControl/>
      </w:pPr>
      <w:r>
        <w:t>f:X→Result(Y) — частичное вычисление;</w:t>
      </w:r>
    </w:p>
    <w:p>
      <w:pPr>
        <w:pStyle w:val="ListBullet"/>
        <w:widowControl/>
      </w:pPr>
      <w:r>
        <w:t>Pre_F — предусловие и admissible domain;</w:t>
      </w:r>
    </w:p>
    <w:p>
      <w:pPr>
        <w:pStyle w:val="ListBullet"/>
        <w:widowControl/>
      </w:pPr>
      <w:r>
        <w:t>Post_F — гарантируемый предикат при ветви OK;</w:t>
      </w:r>
    </w:p>
    <w:p>
      <w:pPr>
        <w:pStyle w:val="ListBullet"/>
        <w:widowControl/>
      </w:pPr>
      <w:r>
        <w:t>T_F — оператор переноса бюджета;</w:t>
      </w:r>
    </w:p>
    <w:p>
      <w:pPr>
        <w:pStyle w:val="ListBullet"/>
        <w:widowControl/>
      </w:pPr>
      <w:r>
        <w:t>E_F — локальный добавочный бюджет;</w:t>
      </w:r>
    </w:p>
    <w:p>
      <w:pPr>
        <w:pStyle w:val="ListBullet"/>
        <w:widowControl/>
      </w:pPr>
      <w:r>
        <w:t>Audit_F — алгоритм проверки сертификата и блокеров.</w:t>
      </w:r>
    </w:p>
    <w:p>
      <w:pPr>
        <w:widowControl/>
      </w:pPr>
      <w:r>
        <w:rPr>
          <w:i w:val="0"/>
        </w:rPr>
        <w:t>Эта конструкция близка к категориям частичных отображений, но дополнена доказательным и бюджетным слоями. Наличие слова «категория» не освобождает от доказательства ассоциативности композиции; математика, к счастью, пока ещё требует больше, чем удачный логотип.</w:t>
      </w:r>
    </w:p>
    <w:p>
      <w:bookmarkStart w:id="1310" w:name="h_3416"/>
      <w:pPr>
        <w:pStyle w:val="Heading1"/>
        <w:widowControl/>
      </w:pPr>
      <w:r>
        <w:t>377. Композиция операторов и поглощающие ветви</w:t>
      </w:r>
      <w:bookmarkEnd w:id="1310"/>
    </w:p>
    <w:p>
      <w:pPr>
        <w:widowControl/>
      </w:pPr>
      <w:r>
        <w:rPr>
          <w:i w:val="0"/>
        </w:rPr>
        <w:t>Пусть F:X⇀Y и G:Y⇀Z. Композиция G⊙F запускает G только на ветви OK от F:</w:t>
      </w:r>
    </w:p>
    <w:p>
      <w:bookmarkStart w:id="2069" w:name="f_24_7"/>
      <w:pPr>
        <w:pStyle w:val="Quote"/>
        <w:widowControl/>
        <w:jc w:val="center"/>
      </w:pPr>
      <w:r>
        <w:t>(G⊙F)(x)= G(y), если F(x)=OK(y,C_F,B_F); иначе возвращается та же ветвь ABSTAIN или FAIL.  (24.7)</w:t>
      </w:r>
      <w:bookmarkEnd w:id="2069"/>
    </w:p>
    <w:p>
      <w:pPr>
        <w:widowControl/>
      </w:pPr>
      <w:r>
        <w:rPr>
          <w:i w:val="0"/>
        </w:rPr>
        <w:t>Блокеры объединяются множественным объединением, proof objects конкатенируются с проверкой интерфейсных утверждений, а бюджет переносится формулой</w:t>
      </w:r>
    </w:p>
    <w:p>
      <w:bookmarkStart w:id="2070" w:name="f_24_8"/>
      <w:pPr>
        <w:pStyle w:val="Quote"/>
        <w:widowControl/>
        <w:jc w:val="center"/>
      </w:pPr>
      <w:r>
        <w:t>B_{G⊙F}=T_G(T_F(B_in) ⊕ E_F) ⊕ E_G.  (24.8)</w:t>
      </w:r>
      <w:bookmarkEnd w:id="2070"/>
    </w:p>
    <w:p>
      <w:pPr>
        <w:widowControl/>
      </w:pPr>
      <w:r>
        <w:rPr>
          <w:i w:val="0"/>
        </w:rPr>
        <w:t>Здесь ⊕ является покоординатной операцией соответствующего типа бюджета; она не обязана быть обычным сложением.</w:t>
      </w:r>
    </w:p>
    <w:p>
      <w:bookmarkStart w:id="1311" w:name="h_3422"/>
      <w:pPr>
        <w:pStyle w:val="Heading1"/>
        <w:widowControl/>
      </w:pPr>
      <w:r>
        <w:t>378. Теорема о корректности категории CertKLT</w:t>
      </w:r>
      <w:bookmarkEnd w:id="1311"/>
    </w:p>
    <w:p>
      <w:bookmarkStart w:id="1683" w:name="s_THM_24_1"/>
      <w:pPr>
        <w:widowControl/>
      </w:pPr>
      <w:r>
        <w:rPr>
          <w:i w:val="0"/>
        </w:rPr>
        <w:t>Теорема 24.1. Если для каждого типа бюджета операции переноса и локального сложения образуют ассоциативную систему, объединение blockers ассоциативно, а proof-chain concatenation сохраняет порядок интерфейсов, то CertKLT является категорией с тождественными морфизмами Id_X.</w:t>
      </w:r>
      <w:bookmarkEnd w:id="1683"/>
    </w:p>
    <w:p>
      <w:pPr>
        <w:widowControl/>
      </w:pPr>
      <w:r>
        <w:rPr>
          <w:i w:val="0"/>
        </w:rPr>
        <w:t>Доказательство. Тождественный морфизм возвращает OK(x,IdCert,B) и имеет T=Id, E=0. Для трёх операторов H,G,F результатная ветвь определяется первым не-OK результатом, независимо от расстановки скобок. На OK-ветви бюджет равен композиции операторов переноса; ассоциативность следует из ассоциативности композиции T и ⊕. Blocker union и ordered proof concatenation также ассоциативны. Следовательно, H⊙(G⊙F)=(H⊙G)⊙F. □</w:t>
      </w:r>
    </w:p>
    <w:p>
      <w:pPr>
        <w:widowControl/>
      </w:pPr>
      <w:r>
        <w:rPr>
          <w:i w:val="0"/>
        </w:rPr>
        <w:t>Контрпример. Если локальный модуль самовольно скаляризует вектор бюджета разными весами в разных расстановках скобок, композиция может перестать быть ассоциативной. Поэтому weights являются частью интерфейсного контракта, а не настройкой интерфейса пользователя.</w:t>
      </w:r>
    </w:p>
    <w:p>
      <w:pPr>
        <w:widowControl/>
        <w:jc w:val="center"/>
      </w:pPr>
      <w:r>
        <w:drawing>
          <wp:inline xmlns:a="http://schemas.openxmlformats.org/drawingml/2006/main" xmlns:pic="http://schemas.openxmlformats.org/drawingml/2006/picture">
            <wp:extent cx="5897880" cy="3724977"/>
            <wp:docPr id="65" name="Picture 65" descr="Рисунок 24.3. Алгоритмический контракт: три результатные ветви и правило композиции. Собственная схема Тома II." title="Рисунок 24.3. Алгоритмический контракт: три результатные ветви и правило композиции. Собственная схема Тома II."/>
            <wp:cNvGraphicFramePr>
              <a:graphicFrameLocks noChangeAspect="1"/>
            </wp:cNvGraphicFramePr>
            <a:graphic>
              <a:graphicData uri="http://schemas.openxmlformats.org/drawingml/2006/picture">
                <pic:pic>
                  <pic:nvPicPr>
                    <pic:cNvPr id="0" name="fig24_3.png" descr="Рисунок 24.3. Алгоритмический контракт: три результатные ветви и правило композиции. Собственная схема Тома II." title="Рисунок 24.3. Алгоритмический контракт: три результатные ветви и правило композиции. Собственная схема Тома II."/>
                    <pic:cNvPicPr/>
                  </pic:nvPicPr>
                  <pic:blipFill>
                    <a:blip r:embed="rId102"/>
                    <a:stretch>
                      <a:fillRect/>
                    </a:stretch>
                  </pic:blipFill>
                  <pic:spPr>
                    <a:xfrm>
                      <a:off x="0" y="0"/>
                      <a:ext cx="5897880" cy="3724977"/>
                    </a:xfrm>
                    <a:prstGeom prst="rect"/>
                  </pic:spPr>
                </pic:pic>
              </a:graphicData>
            </a:graphic>
          </wp:inline>
        </w:drawing>
      </w:r>
    </w:p>
    <w:p>
      <w:pPr>
        <w:pStyle w:val="Caption"/>
        <w:widowControl/>
        <w:jc w:val="center"/>
      </w:pPr>
      <w:r>
        <w:t>Рисунок 24.3. Алгоритмический контракт: три результатные ветви и правило композиции. Собственная схема Тома II.</w:t>
      </w:r>
    </w:p>
    <w:p>
      <w:bookmarkStart w:id="1312" w:name="h_3428"/>
      <w:pPr>
        <w:pStyle w:val="Heading1"/>
        <w:widowControl/>
      </w:pPr>
      <w:r>
        <w:t>379. Векторный бюджет неопределённости</w:t>
      </w:r>
      <w:bookmarkEnd w:id="1312"/>
    </w:p>
    <w:p>
      <w:bookmarkStart w:id="1684" w:name="s_DEF_24_4"/>
      <w:pPr>
        <w:widowControl/>
      </w:pPr>
      <w:r>
        <w:rPr>
          <w:i w:val="0"/>
        </w:rPr>
        <w:t>Определение 24.4. Полный бюджет имеет вид</w:t>
      </w:r>
      <w:bookmarkEnd w:id="1684"/>
    </w:p>
    <w:p>
      <w:bookmarkStart w:id="2071" w:name="f_24_9"/>
      <w:pPr>
        <w:pStyle w:val="Quote"/>
        <w:widowControl/>
        <w:jc w:val="center"/>
      </w:pPr>
      <w:r>
        <w:t>B=(b_type,b_dom,b_alg,b_top,b_num,α_stat,𝒰_shift,b_causal,b_ext,σ_proof).  (24.9)</w:t>
      </w:r>
      <w:bookmarkEnd w:id="2071"/>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2438"/>
        <w:gridCol w:w="2438"/>
        <w:gridCol w:w="2438"/>
        <w:gridCol w:w="2438"/>
      </w:tblGrid>
      <w:tr>
        <w:trPr>
          <w:tblHeader w:val="true"/>
          <w:cantSplit/>
        </w:trPr>
        <w:tc>
          <w:tcPr>
            <w:tcW w:type="dxa" w:w="1440"/>
            <w:shd w:fill="173B67"/>
            <w:tcMar>
              <w:top w:w="110" w:type="dxa"/>
              <w:start w:w="110" w:type="dxa"/>
              <w:bottom w:w="110" w:type="dxa"/>
              <w:end w:w="110" w:type="dxa"/>
            </w:tcMar>
            <w:vAlign w:val="center"/>
          </w:tcPr>
          <w:p>
            <w:pPr>
              <w:jc w:val="center"/>
            </w:pPr>
            <w:r>
              <w:rPr>
                <w:rFonts w:ascii="Aptos" w:hAnsi="Aptos" w:eastAsia="Aptos"/>
                <w:b/>
                <w:color w:val="FFFFFF"/>
                <w:sz w:val="16"/>
              </w:rPr>
              <w:t>Компонента</w:t>
            </w:r>
          </w:p>
        </w:tc>
        <w:tc>
          <w:tcPr>
            <w:tcW w:type="dxa" w:w="3168"/>
            <w:shd w:fill="173B67"/>
            <w:tcMar>
              <w:top w:w="110" w:type="dxa"/>
              <w:start w:w="110" w:type="dxa"/>
              <w:bottom w:w="110" w:type="dxa"/>
              <w:end w:w="110" w:type="dxa"/>
            </w:tcMar>
            <w:vAlign w:val="center"/>
          </w:tcPr>
          <w:p>
            <w:pPr>
              <w:jc w:val="center"/>
            </w:pPr>
            <w:r>
              <w:rPr>
                <w:rFonts w:ascii="Aptos" w:hAnsi="Aptos" w:eastAsia="Aptos"/>
                <w:b/>
                <w:color w:val="FFFFFF"/>
                <w:sz w:val="16"/>
              </w:rPr>
              <w:t>Смысл</w:t>
            </w:r>
          </w:p>
        </w:tc>
        <w:tc>
          <w:tcPr>
            <w:tcW w:type="dxa" w:w="2304"/>
            <w:shd w:fill="173B67"/>
            <w:tcMar>
              <w:top w:w="110" w:type="dxa"/>
              <w:start w:w="110" w:type="dxa"/>
              <w:bottom w:w="110" w:type="dxa"/>
              <w:end w:w="110" w:type="dxa"/>
            </w:tcMar>
            <w:vAlign w:val="center"/>
          </w:tcPr>
          <w:p>
            <w:pPr>
              <w:jc w:val="center"/>
            </w:pPr>
            <w:r>
              <w:rPr>
                <w:rFonts w:ascii="Aptos" w:hAnsi="Aptos" w:eastAsia="Aptos"/>
                <w:b/>
                <w:color w:val="FFFFFF"/>
                <w:sz w:val="16"/>
              </w:rPr>
              <w:t>Носитель</w:t>
            </w:r>
          </w:p>
        </w:tc>
        <w:tc>
          <w:tcPr>
            <w:tcW w:type="dxa" w:w="2880"/>
            <w:shd w:fill="173B67"/>
            <w:tcMar>
              <w:top w:w="110" w:type="dxa"/>
              <w:start w:w="110" w:type="dxa"/>
              <w:bottom w:w="110" w:type="dxa"/>
              <w:end w:w="110" w:type="dxa"/>
            </w:tcMar>
            <w:vAlign w:val="center"/>
          </w:tcPr>
          <w:p>
            <w:pPr>
              <w:jc w:val="center"/>
            </w:pPr>
            <w:r>
              <w:rPr>
                <w:rFonts w:ascii="Aptos" w:hAnsi="Aptos" w:eastAsia="Aptos"/>
                <w:b/>
                <w:color w:val="FFFFFF"/>
                <w:sz w:val="16"/>
              </w:rPr>
              <w:t>Закон композиции</w:t>
            </w:r>
          </w:p>
        </w:tc>
      </w:tr>
      <w:tr>
        <w:trPr>
          <w:cantSplit/>
        </w:trPr>
        <w:tc>
          <w:tcPr>
            <w:tcW w:type="dxa" w:w="1440"/>
            <w:tcMar>
              <w:top w:w="90" w:type="dxa"/>
              <w:start w:w="100" w:type="dxa"/>
              <w:bottom w:w="90" w:type="dxa"/>
              <w:end w:w="100" w:type="dxa"/>
            </w:tcMar>
            <w:vAlign w:val="center"/>
          </w:tcPr>
          <w:p>
            <w:pPr>
              <w:spacing w:after="0"/>
            </w:pPr>
            <w:r>
              <w:rPr>
                <w:rFonts w:ascii="Aptos" w:hAnsi="Aptos" w:eastAsia="Aptos"/>
                <w:sz w:val="16"/>
              </w:rPr>
              <w:t>b_type</w:t>
            </w:r>
          </w:p>
        </w:tc>
        <w:tc>
          <w:tcPr>
            <w:tcW w:type="dxa" w:w="3168"/>
            <w:tcMar>
              <w:top w:w="90" w:type="dxa"/>
              <w:start w:w="100" w:type="dxa"/>
              <w:bottom w:w="90" w:type="dxa"/>
              <w:end w:w="100" w:type="dxa"/>
            </w:tcMar>
            <w:vAlign w:val="center"/>
          </w:tcPr>
          <w:p>
            <w:pPr>
              <w:spacing w:after="0"/>
            </w:pPr>
            <w:r>
              <w:rPr>
                <w:rFonts w:ascii="Aptos" w:hAnsi="Aptos" w:eastAsia="Aptos"/>
                <w:sz w:val="16"/>
              </w:rPr>
              <w:t>типовые и интерфейсные дефекты</w:t>
            </w:r>
          </w:p>
        </w:tc>
        <w:tc>
          <w:tcPr>
            <w:tcW w:type="dxa" w:w="2304"/>
            <w:tcMar>
              <w:top w:w="90" w:type="dxa"/>
              <w:start w:w="100" w:type="dxa"/>
              <w:bottom w:w="90" w:type="dxa"/>
              <w:end w:w="100" w:type="dxa"/>
            </w:tcMar>
            <w:vAlign w:val="center"/>
          </w:tcPr>
          <w:p>
            <w:pPr>
              <w:spacing w:after="0"/>
            </w:pPr>
            <w:r>
              <w:rPr>
                <w:rFonts w:ascii="Aptos" w:hAnsi="Aptos" w:eastAsia="Aptos"/>
                <w:sz w:val="16"/>
              </w:rPr>
              <w:t>{0,1} или blocker set</w:t>
            </w:r>
          </w:p>
        </w:tc>
        <w:tc>
          <w:tcPr>
            <w:tcW w:type="dxa" w:w="2880"/>
            <w:tcMar>
              <w:top w:w="90" w:type="dxa"/>
              <w:start w:w="100" w:type="dxa"/>
              <w:bottom w:w="90" w:type="dxa"/>
              <w:end w:w="100" w:type="dxa"/>
            </w:tcMar>
            <w:vAlign w:val="center"/>
          </w:tcPr>
          <w:p>
            <w:pPr>
              <w:spacing w:after="0"/>
            </w:pPr>
            <w:r>
              <w:rPr>
                <w:rFonts w:ascii="Aptos" w:hAnsi="Aptos" w:eastAsia="Aptos"/>
                <w:sz w:val="16"/>
              </w:rPr>
              <w:t>логическое OR / union</w:t>
            </w:r>
          </w:p>
        </w:tc>
      </w:tr>
      <w:tr>
        <w:trPr>
          <w:cantSplit/>
        </w:trPr>
        <w:tc>
          <w:tcPr>
            <w:tcW w:type="dxa" w:w="1440"/>
            <w:tcMar>
              <w:top w:w="90" w:type="dxa"/>
              <w:start w:w="100" w:type="dxa"/>
              <w:bottom w:w="90" w:type="dxa"/>
              <w:end w:w="100" w:type="dxa"/>
            </w:tcMar>
            <w:vAlign w:val="center"/>
            <w:shd w:fill="F5F7F9"/>
          </w:tcPr>
          <w:p>
            <w:pPr>
              <w:spacing w:after="0"/>
            </w:pPr>
            <w:r>
              <w:rPr>
                <w:rFonts w:ascii="Aptos" w:hAnsi="Aptos" w:eastAsia="Aptos"/>
                <w:sz w:val="16"/>
              </w:rPr>
              <w:t>b_dom</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выход за Dom и близость к границе</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неотрицательный margin</w:t>
            </w:r>
          </w:p>
        </w:tc>
        <w:tc>
          <w:tcPr>
            <w:tcW w:type="dxa" w:w="2880"/>
            <w:tcMar>
              <w:top w:w="90" w:type="dxa"/>
              <w:start w:w="100" w:type="dxa"/>
              <w:bottom w:w="90" w:type="dxa"/>
              <w:end w:w="100" w:type="dxa"/>
            </w:tcMar>
            <w:vAlign w:val="center"/>
            <w:shd w:fill="F5F7F9"/>
          </w:tcPr>
          <w:p>
            <w:pPr>
              <w:spacing w:after="0"/>
            </w:pPr>
            <w:r>
              <w:rPr>
                <w:rFonts w:ascii="Aptos" w:hAnsi="Aptos" w:eastAsia="Aptos"/>
                <w:sz w:val="16"/>
              </w:rPr>
              <w:t>минимум запаса / максимум дефекта</w:t>
            </w:r>
          </w:p>
        </w:tc>
      </w:tr>
      <w:tr>
        <w:trPr>
          <w:cantSplit/>
        </w:trPr>
        <w:tc>
          <w:tcPr>
            <w:tcW w:type="dxa" w:w="1440"/>
            <w:tcMar>
              <w:top w:w="90" w:type="dxa"/>
              <w:start w:w="100" w:type="dxa"/>
              <w:bottom w:w="90" w:type="dxa"/>
              <w:end w:w="100" w:type="dxa"/>
            </w:tcMar>
            <w:vAlign w:val="center"/>
          </w:tcPr>
          <w:p>
            <w:pPr>
              <w:spacing w:after="0"/>
            </w:pPr>
            <w:r>
              <w:rPr>
                <w:rFonts w:ascii="Aptos" w:hAnsi="Aptos" w:eastAsia="Aptos"/>
                <w:sz w:val="16"/>
              </w:rPr>
              <w:t>b_alg</w:t>
            </w:r>
          </w:p>
        </w:tc>
        <w:tc>
          <w:tcPr>
            <w:tcW w:type="dxa" w:w="3168"/>
            <w:tcMar>
              <w:top w:w="90" w:type="dxa"/>
              <w:start w:w="100" w:type="dxa"/>
              <w:bottom w:w="90" w:type="dxa"/>
              <w:end w:w="100" w:type="dxa"/>
            </w:tcMar>
            <w:vAlign w:val="center"/>
          </w:tcPr>
          <w:p>
            <w:pPr>
              <w:spacing w:after="0"/>
            </w:pPr>
            <w:r>
              <w:rPr>
                <w:rFonts w:ascii="Aptos" w:hAnsi="Aptos" w:eastAsia="Aptos"/>
                <w:sz w:val="16"/>
              </w:rPr>
              <w:t>остатки алгебраических тождеств</w:t>
            </w:r>
          </w:p>
        </w:tc>
        <w:tc>
          <w:tcPr>
            <w:tcW w:type="dxa" w:w="2304"/>
            <w:tcMar>
              <w:top w:w="90" w:type="dxa"/>
              <w:start w:w="100" w:type="dxa"/>
              <w:bottom w:w="90" w:type="dxa"/>
              <w:end w:w="100" w:type="dxa"/>
            </w:tcMar>
            <w:vAlign w:val="center"/>
          </w:tcPr>
          <w:p>
            <w:pPr>
              <w:spacing w:after="0"/>
            </w:pPr>
            <w:r>
              <w:rPr>
                <w:rFonts w:ascii="Aptos" w:hAnsi="Aptos" w:eastAsia="Aptos"/>
                <w:sz w:val="16"/>
              </w:rPr>
              <w:t>вектор норм</w:t>
            </w:r>
          </w:p>
        </w:tc>
        <w:tc>
          <w:tcPr>
            <w:tcW w:type="dxa" w:w="2880"/>
            <w:tcMar>
              <w:top w:w="90" w:type="dxa"/>
              <w:start w:w="100" w:type="dxa"/>
              <w:bottom w:w="90" w:type="dxa"/>
              <w:end w:w="100" w:type="dxa"/>
            </w:tcMar>
            <w:vAlign w:val="center"/>
          </w:tcPr>
          <w:p>
            <w:pPr>
              <w:spacing w:after="0"/>
            </w:pPr>
            <w:r>
              <w:rPr>
                <w:rFonts w:ascii="Aptos" w:hAnsi="Aptos" w:eastAsia="Aptos"/>
                <w:sz w:val="16"/>
              </w:rPr>
              <w:t>аффинный перенос</w:t>
            </w:r>
          </w:p>
        </w:tc>
      </w:tr>
      <w:tr>
        <w:trPr>
          <w:cantSplit/>
        </w:trPr>
        <w:tc>
          <w:tcPr>
            <w:tcW w:type="dxa" w:w="1440"/>
            <w:tcMar>
              <w:top w:w="90" w:type="dxa"/>
              <w:start w:w="100" w:type="dxa"/>
              <w:bottom w:w="90" w:type="dxa"/>
              <w:end w:w="100" w:type="dxa"/>
            </w:tcMar>
            <w:vAlign w:val="center"/>
            <w:shd w:fill="F5F7F9"/>
          </w:tcPr>
          <w:p>
            <w:pPr>
              <w:spacing w:after="0"/>
            </w:pPr>
            <w:r>
              <w:rPr>
                <w:rFonts w:ascii="Aptos" w:hAnsi="Aptos" w:eastAsia="Aptos"/>
                <w:sz w:val="16"/>
              </w:rPr>
              <w:t>b_top</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топологические/descent долги</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классы/множества</w:t>
            </w:r>
          </w:p>
        </w:tc>
        <w:tc>
          <w:tcPr>
            <w:tcW w:type="dxa" w:w="2880"/>
            <w:tcMar>
              <w:top w:w="90" w:type="dxa"/>
              <w:start w:w="100" w:type="dxa"/>
              <w:bottom w:w="90" w:type="dxa"/>
              <w:end w:w="100" w:type="dxa"/>
            </w:tcMar>
            <w:vAlign w:val="center"/>
            <w:shd w:fill="F5F7F9"/>
          </w:tcPr>
          <w:p>
            <w:pPr>
              <w:spacing w:after="0"/>
            </w:pPr>
            <w:r>
              <w:rPr>
                <w:rFonts w:ascii="Aptos" w:hAnsi="Aptos" w:eastAsia="Aptos"/>
                <w:sz w:val="16"/>
              </w:rPr>
              <w:t>pushforward + union</w:t>
            </w:r>
          </w:p>
        </w:tc>
      </w:tr>
      <w:tr>
        <w:trPr>
          <w:cantSplit/>
        </w:trPr>
        <w:tc>
          <w:tcPr>
            <w:tcW w:type="dxa" w:w="1440"/>
            <w:tcMar>
              <w:top w:w="90" w:type="dxa"/>
              <w:start w:w="100" w:type="dxa"/>
              <w:bottom w:w="90" w:type="dxa"/>
              <w:end w:w="100" w:type="dxa"/>
            </w:tcMar>
            <w:vAlign w:val="center"/>
          </w:tcPr>
          <w:p>
            <w:pPr>
              <w:spacing w:after="0"/>
            </w:pPr>
            <w:r>
              <w:rPr>
                <w:rFonts w:ascii="Aptos" w:hAnsi="Aptos" w:eastAsia="Aptos"/>
                <w:sz w:val="16"/>
              </w:rPr>
              <w:t>b_num</w:t>
            </w:r>
          </w:p>
        </w:tc>
        <w:tc>
          <w:tcPr>
            <w:tcW w:type="dxa" w:w="3168"/>
            <w:tcMar>
              <w:top w:w="90" w:type="dxa"/>
              <w:start w:w="100" w:type="dxa"/>
              <w:bottom w:w="90" w:type="dxa"/>
              <w:end w:w="100" w:type="dxa"/>
            </w:tcMar>
            <w:vAlign w:val="center"/>
          </w:tcPr>
          <w:p>
            <w:pPr>
              <w:spacing w:after="0"/>
            </w:pPr>
            <w:r>
              <w:rPr>
                <w:rFonts w:ascii="Aptos" w:hAnsi="Aptos" w:eastAsia="Aptos"/>
                <w:sz w:val="16"/>
              </w:rPr>
              <w:t>округление, дискретизация, solver residual</w:t>
            </w:r>
          </w:p>
        </w:tc>
        <w:tc>
          <w:tcPr>
            <w:tcW w:type="dxa" w:w="2304"/>
            <w:tcMar>
              <w:top w:w="90" w:type="dxa"/>
              <w:start w:w="100" w:type="dxa"/>
              <w:bottom w:w="90" w:type="dxa"/>
              <w:end w:w="100" w:type="dxa"/>
            </w:tcMar>
            <w:vAlign w:val="center"/>
          </w:tcPr>
          <w:p>
            <w:pPr>
              <w:spacing w:after="0"/>
            </w:pPr>
            <w:r>
              <w:rPr>
                <w:rFonts w:ascii="Aptos" w:hAnsi="Aptos" w:eastAsia="Aptos"/>
                <w:sz w:val="16"/>
              </w:rPr>
              <w:t>интервалы</w:t>
            </w:r>
          </w:p>
        </w:tc>
        <w:tc>
          <w:tcPr>
            <w:tcW w:type="dxa" w:w="2880"/>
            <w:tcMar>
              <w:top w:w="90" w:type="dxa"/>
              <w:start w:w="100" w:type="dxa"/>
              <w:bottom w:w="90" w:type="dxa"/>
              <w:end w:w="100" w:type="dxa"/>
            </w:tcMar>
            <w:vAlign w:val="center"/>
          </w:tcPr>
          <w:p>
            <w:pPr>
              <w:spacing w:after="0"/>
            </w:pPr>
            <w:r>
              <w:rPr>
                <w:rFonts w:ascii="Aptos" w:hAnsi="Aptos" w:eastAsia="Aptos"/>
                <w:sz w:val="16"/>
              </w:rPr>
              <w:t>interval/affine arithmetic</w:t>
            </w:r>
          </w:p>
        </w:tc>
      </w:tr>
      <w:tr>
        <w:trPr>
          <w:cantSplit/>
        </w:trPr>
        <w:tc>
          <w:tcPr>
            <w:tcW w:type="dxa" w:w="1440"/>
            <w:tcMar>
              <w:top w:w="90" w:type="dxa"/>
              <w:start w:w="100" w:type="dxa"/>
              <w:bottom w:w="90" w:type="dxa"/>
              <w:end w:w="100" w:type="dxa"/>
            </w:tcMar>
            <w:vAlign w:val="center"/>
            <w:shd w:fill="F5F7F9"/>
          </w:tcPr>
          <w:p>
            <w:pPr>
              <w:spacing w:after="0"/>
            </w:pPr>
            <w:r>
              <w:rPr>
                <w:rFonts w:ascii="Aptos" w:hAnsi="Aptos" w:eastAsia="Aptos"/>
                <w:sz w:val="16"/>
              </w:rPr>
              <w:t>α_stat</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ошибка покрытия/теста</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[0,1]</w:t>
            </w:r>
          </w:p>
        </w:tc>
        <w:tc>
          <w:tcPr>
            <w:tcW w:type="dxa" w:w="2880"/>
            <w:tcMar>
              <w:top w:w="90" w:type="dxa"/>
              <w:start w:w="100" w:type="dxa"/>
              <w:bottom w:w="90" w:type="dxa"/>
              <w:end w:w="100" w:type="dxa"/>
            </w:tcMar>
            <w:vAlign w:val="center"/>
            <w:shd w:fill="F5F7F9"/>
          </w:tcPr>
          <w:p>
            <w:pPr>
              <w:spacing w:after="0"/>
            </w:pPr>
            <w:r>
              <w:rPr>
                <w:rFonts w:ascii="Aptos" w:hAnsi="Aptos" w:eastAsia="Aptos"/>
                <w:sz w:val="16"/>
              </w:rPr>
              <w:t>Bonferroni или заранее доказанный merge</w:t>
            </w:r>
          </w:p>
        </w:tc>
      </w:tr>
      <w:tr>
        <w:trPr>
          <w:cantSplit/>
        </w:trPr>
        <w:tc>
          <w:tcPr>
            <w:tcW w:type="dxa" w:w="1440"/>
            <w:tcMar>
              <w:top w:w="90" w:type="dxa"/>
              <w:start w:w="100" w:type="dxa"/>
              <w:bottom w:w="90" w:type="dxa"/>
              <w:end w:w="100" w:type="dxa"/>
            </w:tcMar>
            <w:vAlign w:val="center"/>
          </w:tcPr>
          <w:p>
            <w:pPr>
              <w:spacing w:after="0"/>
            </w:pPr>
            <w:r>
              <w:rPr>
                <w:rFonts w:ascii="Aptos" w:hAnsi="Aptos" w:eastAsia="Aptos"/>
                <w:sz w:val="16"/>
              </w:rPr>
              <w:t>𝒰_shift</w:t>
            </w:r>
          </w:p>
        </w:tc>
        <w:tc>
          <w:tcPr>
            <w:tcW w:type="dxa" w:w="3168"/>
            <w:tcMar>
              <w:top w:w="90" w:type="dxa"/>
              <w:start w:w="100" w:type="dxa"/>
              <w:bottom w:w="90" w:type="dxa"/>
              <w:end w:w="100" w:type="dxa"/>
            </w:tcMar>
            <w:vAlign w:val="center"/>
          </w:tcPr>
          <w:p>
            <w:pPr>
              <w:spacing w:after="0"/>
            </w:pPr>
            <w:r>
              <w:rPr>
                <w:rFonts w:ascii="Aptos" w:hAnsi="Aptos" w:eastAsia="Aptos"/>
                <w:sz w:val="16"/>
              </w:rPr>
              <w:t>ambiguity/domain-shift set</w:t>
            </w:r>
          </w:p>
        </w:tc>
        <w:tc>
          <w:tcPr>
            <w:tcW w:type="dxa" w:w="2304"/>
            <w:tcMar>
              <w:top w:w="90" w:type="dxa"/>
              <w:start w:w="100" w:type="dxa"/>
              <w:bottom w:w="90" w:type="dxa"/>
              <w:end w:w="100" w:type="dxa"/>
            </w:tcMar>
            <w:vAlign w:val="center"/>
          </w:tcPr>
          <w:p>
            <w:pPr>
              <w:spacing w:after="0"/>
            </w:pPr>
            <w:r>
              <w:rPr>
                <w:rFonts w:ascii="Aptos" w:hAnsi="Aptos" w:eastAsia="Aptos"/>
                <w:sz w:val="16"/>
              </w:rPr>
              <w:t>множество законов</w:t>
            </w:r>
          </w:p>
        </w:tc>
        <w:tc>
          <w:tcPr>
            <w:tcW w:type="dxa" w:w="2880"/>
            <w:tcMar>
              <w:top w:w="90" w:type="dxa"/>
              <w:start w:w="100" w:type="dxa"/>
              <w:bottom w:w="90" w:type="dxa"/>
              <w:end w:w="100" w:type="dxa"/>
            </w:tcMar>
            <w:vAlign w:val="center"/>
          </w:tcPr>
          <w:p>
            <w:pPr>
              <w:spacing w:after="0"/>
            </w:pPr>
            <w:r>
              <w:rPr>
                <w:rFonts w:ascii="Aptos" w:hAnsi="Aptos" w:eastAsia="Aptos"/>
                <w:sz w:val="16"/>
              </w:rPr>
              <w:t>образ + enlargement</w:t>
            </w:r>
          </w:p>
        </w:tc>
      </w:tr>
      <w:tr>
        <w:trPr>
          <w:cantSplit/>
        </w:trPr>
        <w:tc>
          <w:tcPr>
            <w:tcW w:type="dxa" w:w="1440"/>
            <w:tcMar>
              <w:top w:w="90" w:type="dxa"/>
              <w:start w:w="100" w:type="dxa"/>
              <w:bottom w:w="90" w:type="dxa"/>
              <w:end w:w="100" w:type="dxa"/>
            </w:tcMar>
            <w:vAlign w:val="center"/>
            <w:shd w:fill="F5F7F9"/>
          </w:tcPr>
          <w:p>
            <w:pPr>
              <w:spacing w:after="0"/>
            </w:pPr>
            <w:r>
              <w:rPr>
                <w:rFonts w:ascii="Aptos" w:hAnsi="Aptos" w:eastAsia="Aptos"/>
                <w:sz w:val="16"/>
              </w:rPr>
              <w:t>b_causal</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неидентифицируемость/transport</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assumption ledger</w:t>
            </w:r>
          </w:p>
        </w:tc>
        <w:tc>
          <w:tcPr>
            <w:tcW w:type="dxa" w:w="2880"/>
            <w:tcMar>
              <w:top w:w="90" w:type="dxa"/>
              <w:start w:w="100" w:type="dxa"/>
              <w:bottom w:w="90" w:type="dxa"/>
              <w:end w:w="100" w:type="dxa"/>
            </w:tcMar>
            <w:vAlign w:val="center"/>
            <w:shd w:fill="F5F7F9"/>
          </w:tcPr>
          <w:p>
            <w:pPr>
              <w:spacing w:after="0"/>
            </w:pPr>
            <w:r>
              <w:rPr>
                <w:rFonts w:ascii="Aptos" w:hAnsi="Aptos" w:eastAsia="Aptos"/>
                <w:sz w:val="16"/>
              </w:rPr>
              <w:t>intersection of assumptions</w:t>
            </w:r>
          </w:p>
        </w:tc>
      </w:tr>
      <w:tr>
        <w:trPr>
          <w:cantSplit/>
        </w:trPr>
        <w:tc>
          <w:tcPr>
            <w:tcW w:type="dxa" w:w="1440"/>
            <w:tcMar>
              <w:top w:w="90" w:type="dxa"/>
              <w:start w:w="100" w:type="dxa"/>
              <w:bottom w:w="90" w:type="dxa"/>
              <w:end w:w="100" w:type="dxa"/>
            </w:tcMar>
            <w:vAlign w:val="center"/>
          </w:tcPr>
          <w:p>
            <w:pPr>
              <w:spacing w:after="0"/>
            </w:pPr>
            <w:r>
              <w:rPr>
                <w:rFonts w:ascii="Aptos" w:hAnsi="Aptos" w:eastAsia="Aptos"/>
                <w:sz w:val="16"/>
              </w:rPr>
              <w:t>b_ext</w:t>
            </w:r>
          </w:p>
        </w:tc>
        <w:tc>
          <w:tcPr>
            <w:tcW w:type="dxa" w:w="3168"/>
            <w:tcMar>
              <w:top w:w="90" w:type="dxa"/>
              <w:start w:w="100" w:type="dxa"/>
              <w:bottom w:w="90" w:type="dxa"/>
              <w:end w:w="100" w:type="dxa"/>
            </w:tcMar>
            <w:vAlign w:val="center"/>
          </w:tcPr>
          <w:p>
            <w:pPr>
              <w:spacing w:after="0"/>
            </w:pPr>
            <w:r>
              <w:rPr>
                <w:rFonts w:ascii="Aptos" w:hAnsi="Aptos" w:eastAsia="Aptos"/>
                <w:sz w:val="16"/>
              </w:rPr>
              <w:t>внешняя валидация и leakage</w:t>
            </w:r>
          </w:p>
        </w:tc>
        <w:tc>
          <w:tcPr>
            <w:tcW w:type="dxa" w:w="2304"/>
            <w:tcMar>
              <w:top w:w="90" w:type="dxa"/>
              <w:start w:w="100" w:type="dxa"/>
              <w:bottom w:w="90" w:type="dxa"/>
              <w:end w:w="100" w:type="dxa"/>
            </w:tcMar>
            <w:vAlign w:val="center"/>
          </w:tcPr>
          <w:p>
            <w:pPr>
              <w:spacing w:after="0"/>
            </w:pPr>
            <w:r>
              <w:rPr>
                <w:rFonts w:ascii="Aptos" w:hAnsi="Aptos" w:eastAsia="Aptos"/>
                <w:sz w:val="16"/>
              </w:rPr>
              <w:t>split ledger</w:t>
            </w:r>
          </w:p>
        </w:tc>
        <w:tc>
          <w:tcPr>
            <w:tcW w:type="dxa" w:w="2880"/>
            <w:tcMar>
              <w:top w:w="90" w:type="dxa"/>
              <w:start w:w="100" w:type="dxa"/>
              <w:bottom w:w="90" w:type="dxa"/>
              <w:end w:w="100" w:type="dxa"/>
            </w:tcMar>
            <w:vAlign w:val="center"/>
          </w:tcPr>
          <w:p>
            <w:pPr>
              <w:spacing w:after="0"/>
            </w:pPr>
            <w:r>
              <w:rPr>
                <w:rFonts w:ascii="Aptos" w:hAnsi="Aptos" w:eastAsia="Aptos"/>
                <w:sz w:val="16"/>
              </w:rPr>
              <w:t>blocker union</w:t>
            </w:r>
          </w:p>
        </w:tc>
      </w:tr>
      <w:tr>
        <w:trPr>
          <w:cantSplit/>
        </w:trPr>
        <w:tc>
          <w:tcPr>
            <w:tcW w:type="dxa" w:w="1440"/>
            <w:tcMar>
              <w:top w:w="90" w:type="dxa"/>
              <w:start w:w="100" w:type="dxa"/>
              <w:bottom w:w="90" w:type="dxa"/>
              <w:end w:w="100" w:type="dxa"/>
            </w:tcMar>
            <w:vAlign w:val="center"/>
            <w:shd w:fill="F5F7F9"/>
          </w:tcPr>
          <w:p>
            <w:pPr>
              <w:spacing w:after="0"/>
            </w:pPr>
            <w:r>
              <w:rPr>
                <w:rFonts w:ascii="Aptos" w:hAnsi="Aptos" w:eastAsia="Aptos"/>
                <w:sz w:val="16"/>
              </w:rPr>
              <w:t>σ_proof</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минимальный доказательный статус</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решётка статусов</w:t>
            </w:r>
          </w:p>
        </w:tc>
        <w:tc>
          <w:tcPr>
            <w:tcW w:type="dxa" w:w="2880"/>
            <w:tcMar>
              <w:top w:w="90" w:type="dxa"/>
              <w:start w:w="100" w:type="dxa"/>
              <w:bottom w:w="90" w:type="dxa"/>
              <w:end w:w="100" w:type="dxa"/>
            </w:tcMar>
            <w:vAlign w:val="center"/>
            <w:shd w:fill="F5F7F9"/>
          </w:tcPr>
          <w:p>
            <w:pPr>
              <w:spacing w:after="0"/>
            </w:pPr>
            <w:r>
              <w:rPr>
                <w:rFonts w:ascii="Aptos" w:hAnsi="Aptos" w:eastAsia="Aptos"/>
                <w:sz w:val="16"/>
              </w:rPr>
              <w:t>meet</w:t>
            </w:r>
          </w:p>
        </w:tc>
      </w:tr>
    </w:tbl>
    <w:p>
      <w:bookmarkStart w:id="1313" w:name="h_3431"/>
      <w:pPr>
        <w:pStyle w:val="Heading1"/>
        <w:widowControl/>
      </w:pPr>
      <w:r>
        <w:t>380. Детерминированный перенос ошибки</w:t>
      </w:r>
      <w:bookmarkEnd w:id="1313"/>
    </w:p>
    <w:p>
      <w:pPr>
        <w:widowControl/>
      </w:pPr>
      <w:r>
        <w:rPr>
          <w:i w:val="0"/>
        </w:rPr>
        <w:t>Пусть F_j между нормированными пространствами локально L_j-липшицевы, а реализация шага имеет остаток ε_j. Тогда для цепи m шагов</w:t>
      </w:r>
    </w:p>
    <w:p>
      <w:bookmarkStart w:id="2072" w:name="f_24_10"/>
      <w:pPr>
        <w:pStyle w:val="Quote"/>
        <w:widowControl/>
        <w:jc w:val="center"/>
      </w:pPr>
      <w:r>
        <w:t>ε_out ≤ (Π_{k=1}^m L_k)ε_in + Σ_{j=1}^m (Π_{k=j+1}^m L_k) ε_j.  (24.10)</w:t>
      </w:r>
      <w:bookmarkEnd w:id="2072"/>
    </w:p>
    <w:p>
      <w:pPr>
        <w:widowControl/>
      </w:pPr>
      <w:r>
        <w:rPr>
          <w:i w:val="0"/>
        </w:rPr>
        <w:t>Это обычный аффинный перенос ошибок. Если один L_j не ограничен, малая локальная ошибка не даёт конечного end-to-end сертификата. Особенно неприятно, что график при этом может выглядеть безупречно.</w:t>
      </w:r>
    </w:p>
    <w:p>
      <w:bookmarkStart w:id="1685" w:name="s_COR_24_1"/>
      <w:pPr>
        <w:widowControl/>
      </w:pPr>
      <w:r>
        <w:rPr>
          <w:i w:val="0"/>
        </w:rPr>
        <w:t>Следствие 24.1. Для стабильной цепи с L_j≤1 имеем ε_out≤ε_in+Σ ε_j. Для экспансивной цепи необходимо хранить произведения condition numbers и не заменять их числом шагов.</w:t>
      </w:r>
      <w:bookmarkEnd w:id="1685"/>
    </w:p>
    <w:p>
      <w:bookmarkStart w:id="1314" w:name="h_3436"/>
      <w:pPr>
        <w:pStyle w:val="Heading1"/>
        <w:widowControl/>
      </w:pPr>
      <w:r>
        <w:t>381. Вероятностный бюджет без предположения независимости</w:t>
      </w:r>
      <w:bookmarkEnd w:id="1314"/>
    </w:p>
    <w:p>
      <w:pPr>
        <w:widowControl/>
      </w:pPr>
      <w:r>
        <w:rPr>
          <w:i w:val="0"/>
        </w:rPr>
        <w:t>Пусть локальные события отказа E_j удовлетворяют P(E_j)≤α_j. Тогда</w:t>
      </w:r>
    </w:p>
    <w:p>
      <w:bookmarkStart w:id="2073" w:name="f_24_11"/>
      <w:pPr>
        <w:pStyle w:val="Quote"/>
        <w:widowControl/>
        <w:jc w:val="center"/>
      </w:pPr>
      <w:r>
        <w:t>P(∪_{j=1}^m E_j) ≤ Σ_{j=1}^m α_j,  α_tot=min(1,Σα_j).  (24.11)</w:t>
      </w:r>
      <w:bookmarkEnd w:id="2073"/>
    </w:p>
    <w:p>
      <w:pPr>
        <w:widowControl/>
      </w:pPr>
      <w:r>
        <w:rPr>
          <w:i w:val="0"/>
        </w:rPr>
        <w:t>Неравенство не требует независимости. Если требуется общий уровень α*, бюджеты α_j должны быть распределены до раскрытия результатов либо скорректированы валидной процедурой. Десять модулей по 0,05 не образуют систему уровня 0,05; арифметика по-прежнему сопротивляется маркетингу.</w:t>
      </w:r>
    </w:p>
    <w:p>
      <w:pPr>
        <w:widowControl/>
      </w:pPr>
      <w:r>
        <w:rPr>
          <w:i w:val="0"/>
        </w:rPr>
        <w:t>При доказанной независимости можно использовать P(∩E_j^c)=Π(1-α_j), но независимость является отдельной гипотезой, а не эстетическим предпочтением.</w:t>
      </w:r>
    </w:p>
    <w:p>
      <w:bookmarkStart w:id="1315" w:name="h_3441"/>
      <w:pPr>
        <w:pStyle w:val="Heading1"/>
        <w:widowControl/>
      </w:pPr>
      <w:r>
        <w:t>382. Последовательный бюджет и необязательная остановка</w:t>
      </w:r>
      <w:bookmarkEnd w:id="1315"/>
    </w:p>
    <w:p>
      <w:pPr>
        <w:widowControl/>
      </w:pPr>
      <w:r>
        <w:rPr>
          <w:i w:val="0"/>
        </w:rPr>
        <w:t>Для sequential modules допускаются e-processes или confidence sequences, если их условия доказаны. Смесь E_t=Σ w_j E_t^{(j)}, w_j≥0, Σw_j=1, сохраняет e-process property при общей нулевой модели. Для отдельных тестов пороги 1/α_j задаются до наблюдения.</w:t>
      </w:r>
    </w:p>
    <w:p>
      <w:bookmarkStart w:id="2074" w:name="f_24_12"/>
      <w:pPr>
        <w:pStyle w:val="Quote"/>
        <w:widowControl/>
        <w:jc w:val="center"/>
      </w:pPr>
      <w:r>
        <w:t>P_{H0}(∃t: E_t ≥ 1/α) ≤ α.  (24.12)</w:t>
      </w:r>
      <w:bookmarkEnd w:id="2074"/>
    </w:p>
    <w:p>
      <w:pPr>
        <w:widowControl/>
      </w:pPr>
      <w:r>
        <w:rPr>
          <w:i w:val="0"/>
        </w:rPr>
        <w:t>Произведение e-процессов разрешается только при соответствующей условной supermartingale структуре; формальное перемножение «доказательств» не заменяет проверку фильтрации.</w:t>
      </w:r>
    </w:p>
    <w:p>
      <w:bookmarkStart w:id="1316" w:name="h_3445"/>
      <w:pPr>
        <w:pStyle w:val="Heading1"/>
        <w:widowControl/>
      </w:pPr>
      <w:r>
        <w:t>383. Робастный и транспортный бюджет</w:t>
      </w:r>
      <w:bookmarkEnd w:id="1316"/>
    </w:p>
    <w:p>
      <w:pPr>
        <w:widowControl/>
      </w:pPr>
      <w:r>
        <w:rPr>
          <w:i w:val="0"/>
        </w:rPr>
        <w:t>Робастная неопределённость хранится множеством законов 𝒰, а не числом. Для отображения F и локальной неопределённости 𝒱_F корректный внешний охват задаётся включением</w:t>
      </w:r>
    </w:p>
    <w:p>
      <w:bookmarkStart w:id="2075" w:name="f_24_13"/>
      <w:pPr>
        <w:pStyle w:val="Quote"/>
        <w:widowControl/>
        <w:jc w:val="center"/>
      </w:pPr>
      <w:r>
        <w:t>𝒰_out ⊇ F_#(𝒰_in) ⊕ 𝒱_F.  (24.13)</w:t>
      </w:r>
      <w:bookmarkEnd w:id="2075"/>
    </w:p>
    <w:p>
      <w:pPr>
        <w:widowControl/>
      </w:pPr>
      <w:r>
        <w:rPr>
          <w:i w:val="0"/>
        </w:rPr>
        <w:t>Знак ⊕ означает выбранное enlargement: Wasserstein radius, f-divergence ball, moment set или иной заявленный класс. Сложение радиусов допустимо только при доказанном неравенстве треугольника в одной метрике.</w:t>
      </w:r>
    </w:p>
    <w:p>
      <w:pPr>
        <w:widowControl/>
      </w:pPr>
      <w:r>
        <w:rPr>
          <w:i w:val="0"/>
        </w:rPr>
        <w:t>Если transportability не идентифицирована, компонент b_causal остаётся OPEN и блокирует причинный вывод, но не обязательно блокирует чисто наблюдательный риск в исходном домене.</w:t>
      </w:r>
    </w:p>
    <w:p>
      <w:bookmarkStart w:id="1317" w:name="h_3450"/>
      <w:pPr>
        <w:pStyle w:val="Heading1"/>
        <w:widowControl/>
      </w:pPr>
      <w:r>
        <w:t>384. Вычислительный бюджет и proof-carrying output</w:t>
      </w:r>
      <w:bookmarkEnd w:id="1317"/>
    </w:p>
    <w:p>
      <w:pPr>
        <w:widowControl/>
      </w:pPr>
      <w:r>
        <w:rPr>
          <w:i w:val="0"/>
        </w:rPr>
        <w:t>Каждый численный модуль возвращает кортеж</w:t>
      </w:r>
    </w:p>
    <w:p>
      <w:bookmarkStart w:id="2076" w:name="f_24_14"/>
      <w:pPr>
        <w:pStyle w:val="Quote"/>
        <w:widowControl/>
        <w:jc w:val="center"/>
      </w:pPr>
      <w:r>
        <w:t>C_comp=(value, interval, residual, dual_gap, discretization, seed, environment, code_hash, data_hash).  (24.14)</w:t>
      </w:r>
      <w:bookmarkEnd w:id="2076"/>
    </w:p>
    <w:p>
      <w:pPr>
        <w:widowControl/>
      </w:pPr>
      <w:r>
        <w:rPr>
          <w:i w:val="0"/>
        </w:rPr>
        <w:t>Сертификат не обязан доказывать общую теорему, но обязан точно отделять проверенное равенство, интервальную оценку, выборочный тест и эвристический поиск. Proof-carrying output наследует идею proof-carrying code: потребитель проверяет компактный сертификат относительно заранее определённой политики безопасности.</w:t>
      </w:r>
    </w:p>
    <w:p>
      <w:bookmarkStart w:id="1318" w:name="h_3454"/>
      <w:pPr>
        <w:pStyle w:val="Heading1"/>
        <w:widowControl/>
      </w:pPr>
      <w:r>
        <w:t>385. Решётка доказательных статусов</w:t>
      </w:r>
      <w:bookmarkEnd w:id="1318"/>
    </w:p>
    <w:p>
      <w:pPr>
        <w:widowControl/>
      </w:pPr>
      <w:r>
        <w:rPr>
          <w:i w:val="0"/>
        </w:rPr>
        <w:t>Вводится частичный порядок по силе разрешённого вывода:</w:t>
      </w:r>
    </w:p>
    <w:p>
      <w:bookmarkStart w:id="2077" w:name="f_24_15"/>
      <w:pPr>
        <w:pStyle w:val="Quote"/>
        <w:widowControl/>
        <w:jc w:val="center"/>
      </w:pPr>
      <w:r>
        <w:t>OPEN ≼ CONJ ≼ MODEL ≼ COMP ≼ COND ≼ THM,  PHY-HYP образует отдельную ветвь.  (24.15)</w:t>
      </w:r>
      <w:bookmarkEnd w:id="2077"/>
    </w:p>
    <w:p>
      <w:pPr>
        <w:widowControl/>
      </w:pPr>
      <w:r>
        <w:rPr>
          <w:i w:val="0"/>
        </w:rPr>
        <w:t>Статус композиции равен meet статусов её необходимых рёбер. THM в алгебраическом слое, соединённая с COND-мостом и OPEN-валидацией, даёт не THM, а не более чем OPEN/COND end-to-end вывод. Физический статус не сравнивается автоматически с математическим.</w:t>
      </w:r>
    </w:p>
    <w:p>
      <w:bookmarkStart w:id="1686" w:name="s_LEM_24_2"/>
      <w:pPr>
        <w:widowControl/>
      </w:pPr>
      <w:r>
        <w:rPr>
          <w:i w:val="0"/>
        </w:rPr>
        <w:t>Лемма 24.2 (weakest-link rule). Если заключение зависит от утверждений S_1,…,S_m и ни одно не является избыточным, статус составного вывода не может превосходить ∧_j status(S_j).</w:t>
      </w:r>
      <w:bookmarkEnd w:id="1686"/>
    </w:p>
    <w:p>
      <w:bookmarkStart w:id="1319" w:name="h_3459"/>
      <w:pPr>
        <w:pStyle w:val="Heading1"/>
        <w:widowControl/>
      </w:pPr>
      <w:r>
        <w:t>386. Теорема о невозможности канонической скаляризации</w:t>
      </w:r>
      <w:bookmarkEnd w:id="1319"/>
    </w:p>
    <w:p>
      <w:bookmarkStart w:id="1687" w:name="s_THM_24_2"/>
      <w:pPr>
        <w:widowControl/>
      </w:pPr>
      <w:r>
        <w:rPr>
          <w:i w:val="0"/>
        </w:rPr>
        <w:t>Теорема 24.2. Пусть бюджет содержит по меньшей мере две независимые компоненты b_1,b_2 с покоординатным порядком. Не существует канонического строго монотонного скаляра ρ(b_1,b_2), инвариантного относительно всех независимых положительных перенормировок координат, если не задана дополнительная структура предпочтений.</w:t>
      </w:r>
      <w:bookmarkEnd w:id="1687"/>
    </w:p>
    <w:p>
      <w:pPr>
        <w:widowControl/>
      </w:pPr>
      <w:r>
        <w:rPr>
          <w:i w:val="0"/>
        </w:rPr>
        <w:t>Доказательство. Предположим инвариантность относительно b_1↦c_1b_1 и b_2↦c_2b_2 для произвольных c_i&gt;0. Две несравнимые точки (1,0) и (0,1) могут быть переведены перенормировками в произвольные относительные масштабы, поэтому фиксированный строгий порядок между ними не инвариантен. Равенство нарушает строгую монотонность. Следовательно, требуется вес, utility, norm или иная внешняя структура. □</w:t>
      </w:r>
    </w:p>
    <w:p>
      <w:bookmarkStart w:id="1688" w:name="s_COR_24_2"/>
      <w:pPr>
        <w:widowControl/>
      </w:pPr>
      <w:r>
        <w:rPr>
          <w:i w:val="0"/>
        </w:rPr>
        <w:t>Следствие 24.2. Показатель «общая достоверность 87%» запрещён, если не задана формула агрегации, её единицы, калибровка и статус. Иначе 87% означает только удивительную точность типографского набора.</w:t>
      </w:r>
      <w:bookmarkEnd w:id="1688"/>
    </w:p>
    <w:p>
      <w:pPr>
        <w:widowControl/>
        <w:jc w:val="center"/>
      </w:pPr>
      <w:r>
        <w:drawing>
          <wp:inline xmlns:a="http://schemas.openxmlformats.org/drawingml/2006/main" xmlns:pic="http://schemas.openxmlformats.org/drawingml/2006/picture">
            <wp:extent cx="5897880" cy="3724977"/>
            <wp:docPr id="66" name="Picture 66" descr="Рисунок 24.2. Разные типы бюджета и их несовместимые законы композиции. Собственная схема Тома II." title="Рисунок 24.2. Разные типы бюджета и их несовместимые законы композиции. Собственная схема Тома II."/>
            <wp:cNvGraphicFramePr>
              <a:graphicFrameLocks noChangeAspect="1"/>
            </wp:cNvGraphicFramePr>
            <a:graphic>
              <a:graphicData uri="http://schemas.openxmlformats.org/drawingml/2006/picture">
                <pic:pic>
                  <pic:nvPicPr>
                    <pic:cNvPr id="0" name="fig24_2.png" descr="Рисунок 24.2. Разные типы бюджета и их несовместимые законы композиции. Собственная схема Тома II." title="Рисунок 24.2. Разные типы бюджета и их несовместимые законы композиции. Собственная схема Тома II."/>
                    <pic:cNvPicPr/>
                  </pic:nvPicPr>
                  <pic:blipFill>
                    <a:blip r:embed="rId103"/>
                    <a:stretch>
                      <a:fillRect/>
                    </a:stretch>
                  </pic:blipFill>
                  <pic:spPr>
                    <a:xfrm>
                      <a:off x="0" y="0"/>
                      <a:ext cx="5897880" cy="3724977"/>
                    </a:xfrm>
                    <a:prstGeom prst="rect"/>
                  </pic:spPr>
                </pic:pic>
              </a:graphicData>
            </a:graphic>
          </wp:inline>
        </w:drawing>
      </w:r>
    </w:p>
    <w:p>
      <w:pPr>
        <w:pStyle w:val="Caption"/>
        <w:widowControl/>
        <w:jc w:val="center"/>
      </w:pPr>
      <w:r>
        <w:t>Рисунок 24.2. Разные типы бюджета и их несовместимые законы композиции. Собственная схема Тома II.</w:t>
      </w:r>
    </w:p>
    <w:p>
      <w:bookmarkStart w:id="1320" w:name="h_3465"/>
      <w:pPr>
        <w:pStyle w:val="Heading1"/>
        <w:widowControl/>
      </w:pPr>
      <w:r>
        <w:t>387. Локальный алгоритмический контракт</w:t>
      </w:r>
      <w:bookmarkEnd w:id="1320"/>
    </w:p>
    <w:p>
      <w:pPr>
        <w:widowControl/>
      </w:pPr>
      <w:r>
        <w:rPr>
          <w:i w:val="0"/>
        </w:rPr>
        <w:t>Контракт каждого модуля содержит следующие обязательные поля.</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3251"/>
        <w:gridCol w:w="3251"/>
        <w:gridCol w:w="3251"/>
      </w:tblGrid>
      <w:tr>
        <w:trPr>
          <w:tblHeader w:val="true"/>
          <w:cantSplit/>
        </w:trPr>
        <w:tc>
          <w:tcPr>
            <w:tcW w:type="dxa" w:w="1800"/>
            <w:shd w:fill="173B67"/>
            <w:tcMar>
              <w:top w:w="110" w:type="dxa"/>
              <w:start w:w="110" w:type="dxa"/>
              <w:bottom w:w="110" w:type="dxa"/>
              <w:end w:w="110" w:type="dxa"/>
            </w:tcMar>
            <w:vAlign w:val="center"/>
          </w:tcPr>
          <w:p>
            <w:pPr>
              <w:jc w:val="center"/>
            </w:pPr>
            <w:r>
              <w:rPr>
                <w:rFonts w:ascii="Aptos" w:hAnsi="Aptos" w:eastAsia="Aptos"/>
                <w:b/>
                <w:color w:val="FFFFFF"/>
                <w:sz w:val="16"/>
              </w:rPr>
              <w:t>Поле</w:t>
            </w:r>
          </w:p>
        </w:tc>
        <w:tc>
          <w:tcPr>
            <w:tcW w:type="dxa" w:w="5040"/>
            <w:shd w:fill="173B67"/>
            <w:tcMar>
              <w:top w:w="110" w:type="dxa"/>
              <w:start w:w="110" w:type="dxa"/>
              <w:bottom w:w="110" w:type="dxa"/>
              <w:end w:w="110" w:type="dxa"/>
            </w:tcMar>
            <w:vAlign w:val="center"/>
          </w:tcPr>
          <w:p>
            <w:pPr>
              <w:jc w:val="center"/>
            </w:pPr>
            <w:r>
              <w:rPr>
                <w:rFonts w:ascii="Aptos" w:hAnsi="Aptos" w:eastAsia="Aptos"/>
                <w:b/>
                <w:color w:val="FFFFFF"/>
                <w:sz w:val="16"/>
              </w:rPr>
              <w:t>Содержание</w:t>
            </w:r>
          </w:p>
        </w:tc>
        <w:tc>
          <w:tcPr>
            <w:tcW w:type="dxa" w:w="2160"/>
            <w:shd w:fill="173B67"/>
            <w:tcMar>
              <w:top w:w="110" w:type="dxa"/>
              <w:start w:w="110" w:type="dxa"/>
              <w:bottom w:w="110" w:type="dxa"/>
              <w:end w:w="110" w:type="dxa"/>
            </w:tcMar>
            <w:vAlign w:val="center"/>
          </w:tcPr>
          <w:p>
            <w:pPr>
              <w:jc w:val="center"/>
            </w:pPr>
            <w:r>
              <w:rPr>
                <w:rFonts w:ascii="Aptos" w:hAnsi="Aptos" w:eastAsia="Aptos"/>
                <w:b/>
                <w:color w:val="FFFFFF"/>
                <w:sz w:val="16"/>
              </w:rPr>
              <w:t>Нарушение</w:t>
            </w:r>
          </w:p>
        </w:tc>
      </w:tr>
      <w:tr>
        <w:trPr>
          <w:cantSplit/>
        </w:trPr>
        <w:tc>
          <w:tcPr>
            <w:tcW w:type="dxa" w:w="1800"/>
            <w:tcMar>
              <w:top w:w="90" w:type="dxa"/>
              <w:start w:w="100" w:type="dxa"/>
              <w:bottom w:w="90" w:type="dxa"/>
              <w:end w:w="100" w:type="dxa"/>
            </w:tcMar>
            <w:vAlign w:val="center"/>
          </w:tcPr>
          <w:p>
            <w:pPr>
              <w:spacing w:after="0"/>
            </w:pPr>
            <w:r>
              <w:rPr>
                <w:rFonts w:ascii="Aptos" w:hAnsi="Aptos" w:eastAsia="Aptos"/>
                <w:sz w:val="16"/>
              </w:rPr>
              <w:t>module_id/version</w:t>
            </w:r>
          </w:p>
        </w:tc>
        <w:tc>
          <w:tcPr>
            <w:tcW w:type="dxa" w:w="5040"/>
            <w:tcMar>
              <w:top w:w="90" w:type="dxa"/>
              <w:start w:w="100" w:type="dxa"/>
              <w:bottom w:w="90" w:type="dxa"/>
              <w:end w:w="100" w:type="dxa"/>
            </w:tcMar>
            <w:vAlign w:val="center"/>
          </w:tcPr>
          <w:p>
            <w:pPr>
              <w:spacing w:after="0"/>
            </w:pPr>
            <w:r>
              <w:rPr>
                <w:rFonts w:ascii="Aptos" w:hAnsi="Aptos" w:eastAsia="Aptos"/>
                <w:sz w:val="16"/>
              </w:rPr>
              <w:t>стабильный идентификатор и семантическая версия</w:t>
            </w:r>
          </w:p>
        </w:tc>
        <w:tc>
          <w:tcPr>
            <w:tcW w:type="dxa" w:w="2160"/>
            <w:tcMar>
              <w:top w:w="90" w:type="dxa"/>
              <w:start w:w="100" w:type="dxa"/>
              <w:bottom w:w="90" w:type="dxa"/>
              <w:end w:w="100" w:type="dxa"/>
            </w:tcMar>
            <w:vAlign w:val="center"/>
          </w:tcPr>
          <w:p>
            <w:pPr>
              <w:spacing w:after="0"/>
            </w:pPr>
            <w:r>
              <w:rPr>
                <w:rFonts w:ascii="Aptos" w:hAnsi="Aptos" w:eastAsia="Aptos"/>
                <w:sz w:val="16"/>
              </w:rPr>
              <w:t>BLOCK-VERSION</w:t>
            </w:r>
          </w:p>
        </w:tc>
      </w:tr>
      <w:tr>
        <w:trPr>
          <w:cantSplit/>
        </w:trPr>
        <w:tc>
          <w:tcPr>
            <w:tcW w:type="dxa" w:w="1800"/>
            <w:tcMar>
              <w:top w:w="90" w:type="dxa"/>
              <w:start w:w="100" w:type="dxa"/>
              <w:bottom w:w="90" w:type="dxa"/>
              <w:end w:w="100" w:type="dxa"/>
            </w:tcMar>
            <w:vAlign w:val="center"/>
            <w:shd w:fill="F5F7F9"/>
          </w:tcPr>
          <w:p>
            <w:pPr>
              <w:spacing w:after="0"/>
            </w:pPr>
            <w:r>
              <w:rPr>
                <w:rFonts w:ascii="Aptos" w:hAnsi="Aptos" w:eastAsia="Aptos"/>
                <w:sz w:val="16"/>
              </w:rPr>
              <w:t>input/output schema</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типы, единицы, размерности, nullability</w:t>
            </w:r>
          </w:p>
        </w:tc>
        <w:tc>
          <w:tcPr>
            <w:tcW w:type="dxa" w:w="2160"/>
            <w:tcMar>
              <w:top w:w="90" w:type="dxa"/>
              <w:start w:w="100" w:type="dxa"/>
              <w:bottom w:w="90" w:type="dxa"/>
              <w:end w:w="100" w:type="dxa"/>
            </w:tcMar>
            <w:vAlign w:val="center"/>
            <w:shd w:fill="F5F7F9"/>
          </w:tcPr>
          <w:p>
            <w:pPr>
              <w:spacing w:after="0"/>
            </w:pPr>
            <w:r>
              <w:rPr>
                <w:rFonts w:ascii="Aptos" w:hAnsi="Aptos" w:eastAsia="Aptos"/>
                <w:sz w:val="16"/>
              </w:rPr>
              <w:t>FAIL-TYPE</w:t>
            </w:r>
          </w:p>
        </w:tc>
      </w:tr>
      <w:tr>
        <w:trPr>
          <w:cantSplit/>
        </w:trPr>
        <w:tc>
          <w:tcPr>
            <w:tcW w:type="dxa" w:w="1800"/>
            <w:tcMar>
              <w:top w:w="90" w:type="dxa"/>
              <w:start w:w="100" w:type="dxa"/>
              <w:bottom w:w="90" w:type="dxa"/>
              <w:end w:w="100" w:type="dxa"/>
            </w:tcMar>
            <w:vAlign w:val="center"/>
          </w:tcPr>
          <w:p>
            <w:pPr>
              <w:spacing w:after="0"/>
            </w:pPr>
            <w:r>
              <w:rPr>
                <w:rFonts w:ascii="Aptos" w:hAnsi="Aptos" w:eastAsia="Aptos"/>
                <w:sz w:val="16"/>
              </w:rPr>
              <w:t>Pre / Dom</w:t>
            </w:r>
          </w:p>
        </w:tc>
        <w:tc>
          <w:tcPr>
            <w:tcW w:type="dxa" w:w="5040"/>
            <w:tcMar>
              <w:top w:w="90" w:type="dxa"/>
              <w:start w:w="100" w:type="dxa"/>
              <w:bottom w:w="90" w:type="dxa"/>
              <w:end w:w="100" w:type="dxa"/>
            </w:tcMar>
            <w:vAlign w:val="center"/>
          </w:tcPr>
          <w:p>
            <w:pPr>
              <w:spacing w:after="0"/>
            </w:pPr>
            <w:r>
              <w:rPr>
                <w:rFonts w:ascii="Aptos" w:hAnsi="Aptos" w:eastAsia="Aptos"/>
                <w:sz w:val="16"/>
              </w:rPr>
              <w:t>предусловия и область определения</w:t>
            </w:r>
          </w:p>
        </w:tc>
        <w:tc>
          <w:tcPr>
            <w:tcW w:type="dxa" w:w="2160"/>
            <w:tcMar>
              <w:top w:w="90" w:type="dxa"/>
              <w:start w:w="100" w:type="dxa"/>
              <w:bottom w:w="90" w:type="dxa"/>
              <w:end w:w="100" w:type="dxa"/>
            </w:tcMar>
            <w:vAlign w:val="center"/>
          </w:tcPr>
          <w:p>
            <w:pPr>
              <w:spacing w:after="0"/>
            </w:pPr>
            <w:r>
              <w:rPr>
                <w:rFonts w:ascii="Aptos" w:hAnsi="Aptos" w:eastAsia="Aptos"/>
                <w:sz w:val="16"/>
              </w:rPr>
              <w:t>ABSTAIN-DOM</w:t>
            </w:r>
          </w:p>
        </w:tc>
      </w:tr>
      <w:tr>
        <w:trPr>
          <w:cantSplit/>
        </w:trPr>
        <w:tc>
          <w:tcPr>
            <w:tcW w:type="dxa" w:w="1800"/>
            <w:tcMar>
              <w:top w:w="90" w:type="dxa"/>
              <w:start w:w="100" w:type="dxa"/>
              <w:bottom w:w="90" w:type="dxa"/>
              <w:end w:w="100" w:type="dxa"/>
            </w:tcMar>
            <w:vAlign w:val="center"/>
            <w:shd w:fill="F5F7F9"/>
          </w:tcPr>
          <w:p>
            <w:pPr>
              <w:spacing w:after="0"/>
            </w:pPr>
            <w:r>
              <w:rPr>
                <w:rFonts w:ascii="Aptos" w:hAnsi="Aptos" w:eastAsia="Aptos"/>
                <w:sz w:val="16"/>
              </w:rPr>
              <w:t>Post</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проверяемое постусловие</w:t>
            </w:r>
          </w:p>
        </w:tc>
        <w:tc>
          <w:tcPr>
            <w:tcW w:type="dxa" w:w="2160"/>
            <w:tcMar>
              <w:top w:w="90" w:type="dxa"/>
              <w:start w:w="100" w:type="dxa"/>
              <w:bottom w:w="90" w:type="dxa"/>
              <w:end w:w="100" w:type="dxa"/>
            </w:tcMar>
            <w:vAlign w:val="center"/>
            <w:shd w:fill="F5F7F9"/>
          </w:tcPr>
          <w:p>
            <w:pPr>
              <w:spacing w:after="0"/>
            </w:pPr>
            <w:r>
              <w:rPr>
                <w:rFonts w:ascii="Aptos" w:hAnsi="Aptos" w:eastAsia="Aptos"/>
                <w:sz w:val="16"/>
              </w:rPr>
              <w:t>FAIL-POST</w:t>
            </w:r>
          </w:p>
        </w:tc>
      </w:tr>
      <w:tr>
        <w:trPr>
          <w:cantSplit/>
        </w:trPr>
        <w:tc>
          <w:tcPr>
            <w:tcW w:type="dxa" w:w="1800"/>
            <w:tcMar>
              <w:top w:w="90" w:type="dxa"/>
              <w:start w:w="100" w:type="dxa"/>
              <w:bottom w:w="90" w:type="dxa"/>
              <w:end w:w="100" w:type="dxa"/>
            </w:tcMar>
            <w:vAlign w:val="center"/>
          </w:tcPr>
          <w:p>
            <w:pPr>
              <w:spacing w:after="0"/>
            </w:pPr>
            <w:r>
              <w:rPr>
                <w:rFonts w:ascii="Aptos" w:hAnsi="Aptos" w:eastAsia="Aptos"/>
                <w:sz w:val="16"/>
              </w:rPr>
              <w:t>invariants</w:t>
            </w:r>
          </w:p>
        </w:tc>
        <w:tc>
          <w:tcPr>
            <w:tcW w:type="dxa" w:w="5040"/>
            <w:tcMar>
              <w:top w:w="90" w:type="dxa"/>
              <w:start w:w="100" w:type="dxa"/>
              <w:bottom w:w="90" w:type="dxa"/>
              <w:end w:w="100" w:type="dxa"/>
            </w:tcMar>
            <w:vAlign w:val="center"/>
          </w:tcPr>
          <w:p>
            <w:pPr>
              <w:spacing w:after="0"/>
            </w:pPr>
            <w:r>
              <w:rPr>
                <w:rFonts w:ascii="Aptos" w:hAnsi="Aptos" w:eastAsia="Aptos"/>
                <w:sz w:val="16"/>
              </w:rPr>
              <w:t>сохраняемые структуры и знаковые соглашения</w:t>
            </w:r>
          </w:p>
        </w:tc>
        <w:tc>
          <w:tcPr>
            <w:tcW w:type="dxa" w:w="2160"/>
            <w:tcMar>
              <w:top w:w="90" w:type="dxa"/>
              <w:start w:w="100" w:type="dxa"/>
              <w:bottom w:w="90" w:type="dxa"/>
              <w:end w:w="100" w:type="dxa"/>
            </w:tcMar>
            <w:vAlign w:val="center"/>
          </w:tcPr>
          <w:p>
            <w:pPr>
              <w:spacing w:after="0"/>
            </w:pPr>
            <w:r>
              <w:rPr>
                <w:rFonts w:ascii="Aptos" w:hAnsi="Aptos" w:eastAsia="Aptos"/>
                <w:sz w:val="16"/>
              </w:rPr>
              <w:t>FAIL-INVARIANT</w:t>
            </w:r>
          </w:p>
        </w:tc>
      </w:tr>
      <w:tr>
        <w:trPr>
          <w:cantSplit/>
        </w:trPr>
        <w:tc>
          <w:tcPr>
            <w:tcW w:type="dxa" w:w="1800"/>
            <w:tcMar>
              <w:top w:w="90" w:type="dxa"/>
              <w:start w:w="100" w:type="dxa"/>
              <w:bottom w:w="90" w:type="dxa"/>
              <w:end w:w="100" w:type="dxa"/>
            </w:tcMar>
            <w:vAlign w:val="center"/>
            <w:shd w:fill="F5F7F9"/>
          </w:tcPr>
          <w:p>
            <w:pPr>
              <w:spacing w:after="0"/>
            </w:pPr>
            <w:r>
              <w:rPr>
                <w:rFonts w:ascii="Aptos" w:hAnsi="Aptos" w:eastAsia="Aptos"/>
                <w:sz w:val="16"/>
              </w:rPr>
              <w:t>budget transformer</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T_F и E_F</w:t>
            </w:r>
          </w:p>
        </w:tc>
        <w:tc>
          <w:tcPr>
            <w:tcW w:type="dxa" w:w="2160"/>
            <w:tcMar>
              <w:top w:w="90" w:type="dxa"/>
              <w:start w:w="100" w:type="dxa"/>
              <w:bottom w:w="90" w:type="dxa"/>
              <w:end w:w="100" w:type="dxa"/>
            </w:tcMar>
            <w:vAlign w:val="center"/>
            <w:shd w:fill="F5F7F9"/>
          </w:tcPr>
          <w:p>
            <w:pPr>
              <w:spacing w:after="0"/>
            </w:pPr>
            <w:r>
              <w:rPr>
                <w:rFonts w:ascii="Aptos" w:hAnsi="Aptos" w:eastAsia="Aptos"/>
                <w:sz w:val="16"/>
              </w:rPr>
              <w:t>BLOCK-BUDGET</w:t>
            </w:r>
          </w:p>
        </w:tc>
      </w:tr>
      <w:tr>
        <w:trPr>
          <w:cantSplit/>
        </w:trPr>
        <w:tc>
          <w:tcPr>
            <w:tcW w:type="dxa" w:w="1800"/>
            <w:tcMar>
              <w:top w:w="90" w:type="dxa"/>
              <w:start w:w="100" w:type="dxa"/>
              <w:bottom w:w="90" w:type="dxa"/>
              <w:end w:w="100" w:type="dxa"/>
            </w:tcMar>
            <w:vAlign w:val="center"/>
          </w:tcPr>
          <w:p>
            <w:pPr>
              <w:spacing w:after="0"/>
            </w:pPr>
            <w:r>
              <w:rPr>
                <w:rFonts w:ascii="Aptos" w:hAnsi="Aptos" w:eastAsia="Aptos"/>
                <w:sz w:val="16"/>
              </w:rPr>
              <w:t>proof object</w:t>
            </w:r>
          </w:p>
        </w:tc>
        <w:tc>
          <w:tcPr>
            <w:tcW w:type="dxa" w:w="5040"/>
            <w:tcMar>
              <w:top w:w="90" w:type="dxa"/>
              <w:start w:w="100" w:type="dxa"/>
              <w:bottom w:w="90" w:type="dxa"/>
              <w:end w:w="100" w:type="dxa"/>
            </w:tcMar>
            <w:vAlign w:val="center"/>
          </w:tcPr>
          <w:p>
            <w:pPr>
              <w:spacing w:after="0"/>
            </w:pPr>
            <w:r>
              <w:rPr>
                <w:rFonts w:ascii="Aptos" w:hAnsi="Aptos" w:eastAsia="Aptos"/>
                <w:sz w:val="16"/>
              </w:rPr>
              <w:t>теорема, тест, residual, certificate</w:t>
            </w:r>
          </w:p>
        </w:tc>
        <w:tc>
          <w:tcPr>
            <w:tcW w:type="dxa" w:w="2160"/>
            <w:tcMar>
              <w:top w:w="90" w:type="dxa"/>
              <w:start w:w="100" w:type="dxa"/>
              <w:bottom w:w="90" w:type="dxa"/>
              <w:end w:w="100" w:type="dxa"/>
            </w:tcMar>
            <w:vAlign w:val="center"/>
          </w:tcPr>
          <w:p>
            <w:pPr>
              <w:spacing w:after="0"/>
            </w:pPr>
            <w:r>
              <w:rPr>
                <w:rFonts w:ascii="Aptos" w:hAnsi="Aptos" w:eastAsia="Aptos"/>
                <w:sz w:val="16"/>
              </w:rPr>
              <w:t>BLOCK-PROOF</w:t>
            </w:r>
          </w:p>
        </w:tc>
      </w:tr>
      <w:tr>
        <w:trPr>
          <w:cantSplit/>
        </w:trPr>
        <w:tc>
          <w:tcPr>
            <w:tcW w:type="dxa" w:w="1800"/>
            <w:tcMar>
              <w:top w:w="90" w:type="dxa"/>
              <w:start w:w="100" w:type="dxa"/>
              <w:bottom w:w="90" w:type="dxa"/>
              <w:end w:w="100" w:type="dxa"/>
            </w:tcMar>
            <w:vAlign w:val="center"/>
            <w:shd w:fill="F5F7F9"/>
          </w:tcPr>
          <w:p>
            <w:pPr>
              <w:spacing w:after="0"/>
            </w:pPr>
            <w:r>
              <w:rPr>
                <w:rFonts w:ascii="Aptos" w:hAnsi="Aptos" w:eastAsia="Aptos"/>
                <w:sz w:val="16"/>
              </w:rPr>
              <w:t>determinism/randomness</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seed, nondeterministic branch policy</w:t>
            </w:r>
          </w:p>
        </w:tc>
        <w:tc>
          <w:tcPr>
            <w:tcW w:type="dxa" w:w="2160"/>
            <w:tcMar>
              <w:top w:w="90" w:type="dxa"/>
              <w:start w:w="100" w:type="dxa"/>
              <w:bottom w:w="90" w:type="dxa"/>
              <w:end w:w="100" w:type="dxa"/>
            </w:tcMar>
            <w:vAlign w:val="center"/>
            <w:shd w:fill="F5F7F9"/>
          </w:tcPr>
          <w:p>
            <w:pPr>
              <w:spacing w:after="0"/>
            </w:pPr>
            <w:r>
              <w:rPr>
                <w:rFonts w:ascii="Aptos" w:hAnsi="Aptos" w:eastAsia="Aptos"/>
                <w:sz w:val="16"/>
              </w:rPr>
              <w:t>BLOCK-SEED</w:t>
            </w:r>
          </w:p>
        </w:tc>
      </w:tr>
      <w:tr>
        <w:trPr>
          <w:cantSplit/>
        </w:trPr>
        <w:tc>
          <w:tcPr>
            <w:tcW w:type="dxa" w:w="1800"/>
            <w:tcMar>
              <w:top w:w="90" w:type="dxa"/>
              <w:start w:w="100" w:type="dxa"/>
              <w:bottom w:w="90" w:type="dxa"/>
              <w:end w:w="100" w:type="dxa"/>
            </w:tcMar>
            <w:vAlign w:val="center"/>
          </w:tcPr>
          <w:p>
            <w:pPr>
              <w:spacing w:after="0"/>
            </w:pPr>
            <w:r>
              <w:rPr>
                <w:rFonts w:ascii="Aptos" w:hAnsi="Aptos" w:eastAsia="Aptos"/>
                <w:sz w:val="16"/>
              </w:rPr>
              <w:t>side effects</w:t>
            </w:r>
          </w:p>
        </w:tc>
        <w:tc>
          <w:tcPr>
            <w:tcW w:type="dxa" w:w="5040"/>
            <w:tcMar>
              <w:top w:w="90" w:type="dxa"/>
              <w:start w:w="100" w:type="dxa"/>
              <w:bottom w:w="90" w:type="dxa"/>
              <w:end w:w="100" w:type="dxa"/>
            </w:tcMar>
            <w:vAlign w:val="center"/>
          </w:tcPr>
          <w:p>
            <w:pPr>
              <w:spacing w:after="0"/>
            </w:pPr>
            <w:r>
              <w:rPr>
                <w:rFonts w:ascii="Aptos" w:hAnsi="Aptos" w:eastAsia="Aptos"/>
                <w:sz w:val="16"/>
              </w:rPr>
              <w:t>запись в RBD, cache, external calls</w:t>
            </w:r>
          </w:p>
        </w:tc>
        <w:tc>
          <w:tcPr>
            <w:tcW w:type="dxa" w:w="2160"/>
            <w:tcMar>
              <w:top w:w="90" w:type="dxa"/>
              <w:start w:w="100" w:type="dxa"/>
              <w:bottom w:w="90" w:type="dxa"/>
              <w:end w:w="100" w:type="dxa"/>
            </w:tcMar>
            <w:vAlign w:val="center"/>
          </w:tcPr>
          <w:p>
            <w:pPr>
              <w:spacing w:after="0"/>
            </w:pPr>
            <w:r>
              <w:rPr>
                <w:rFonts w:ascii="Aptos" w:hAnsi="Aptos" w:eastAsia="Aptos"/>
                <w:sz w:val="16"/>
              </w:rPr>
              <w:t>BLOCK-AUDIT</w:t>
            </w:r>
          </w:p>
        </w:tc>
      </w:tr>
      <w:tr>
        <w:trPr>
          <w:cantSplit/>
        </w:trPr>
        <w:tc>
          <w:tcPr>
            <w:tcW w:type="dxa" w:w="1800"/>
            <w:tcMar>
              <w:top w:w="90" w:type="dxa"/>
              <w:start w:w="100" w:type="dxa"/>
              <w:bottom w:w="90" w:type="dxa"/>
              <w:end w:w="100" w:type="dxa"/>
            </w:tcMar>
            <w:vAlign w:val="center"/>
            <w:shd w:fill="F5F7F9"/>
          </w:tcPr>
          <w:p>
            <w:pPr>
              <w:spacing w:after="0"/>
            </w:pPr>
            <w:r>
              <w:rPr>
                <w:rFonts w:ascii="Aptos" w:hAnsi="Aptos" w:eastAsia="Aptos"/>
                <w:sz w:val="16"/>
              </w:rPr>
              <w:t>failure semantics</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OK/ABSTAIN/FAIL и witness schema</w:t>
            </w:r>
          </w:p>
        </w:tc>
        <w:tc>
          <w:tcPr>
            <w:tcW w:type="dxa" w:w="2160"/>
            <w:tcMar>
              <w:top w:w="90" w:type="dxa"/>
              <w:start w:w="100" w:type="dxa"/>
              <w:bottom w:w="90" w:type="dxa"/>
              <w:end w:w="100" w:type="dxa"/>
            </w:tcMar>
            <w:vAlign w:val="center"/>
            <w:shd w:fill="F5F7F9"/>
          </w:tcPr>
          <w:p>
            <w:pPr>
              <w:spacing w:after="0"/>
            </w:pPr>
            <w:r>
              <w:rPr>
                <w:rFonts w:ascii="Aptos" w:hAnsi="Aptos" w:eastAsia="Aptos"/>
                <w:sz w:val="16"/>
              </w:rPr>
              <w:t>FAIL-CONTRACT</w:t>
            </w:r>
          </w:p>
        </w:tc>
      </w:tr>
    </w:tbl>
    <w:p>
      <w:bookmarkStart w:id="1321" w:name="h_3467"/>
      <w:pPr>
        <w:pStyle w:val="Heading1"/>
        <w:widowControl/>
      </w:pPr>
      <w:r>
        <w:t>388. Интерфейсный контракт между модулями</w:t>
      </w:r>
      <w:bookmarkEnd w:id="1321"/>
    </w:p>
    <w:p>
      <w:pPr>
        <w:widowControl/>
      </w:pPr>
      <w:r>
        <w:rPr>
          <w:i w:val="0"/>
        </w:rPr>
        <w:t>Для F:X⇀Y и G:Y′⇀Z требуется не только совпадение названия поля, но и доказанный адаптер A:Y→Y′. Интерфейсный proof obligation включает:</w:t>
      </w:r>
    </w:p>
    <w:p>
      <w:pPr>
        <w:pStyle w:val="ListNumber"/>
        <w:widowControl/>
      </w:pPr>
      <w:r>
        <w:t>type preservation и согласование единиц;</w:t>
      </w:r>
    </w:p>
    <w:p>
      <w:pPr>
        <w:pStyle w:val="ListNumber"/>
        <w:widowControl/>
      </w:pPr>
      <w:r>
        <w:t>перенос Dom и boundary flags;</w:t>
      </w:r>
    </w:p>
    <w:p>
      <w:pPr>
        <w:pStyle w:val="ListNumber"/>
        <w:widowControl/>
      </w:pPr>
      <w:r>
        <w:t>сохранение provenance и Evidence-D;</w:t>
      </w:r>
    </w:p>
    <w:p>
      <w:pPr>
        <w:pStyle w:val="ListNumber"/>
        <w:widowControl/>
      </w:pPr>
      <w:r>
        <w:t>согласование топологии/σ-алгебры;</w:t>
      </w:r>
    </w:p>
    <w:p>
      <w:pPr>
        <w:pStyle w:val="ListNumber"/>
        <w:widowControl/>
      </w:pPr>
      <w:r>
        <w:t>сохранение или контролируемую потерю инвариантов;</w:t>
      </w:r>
    </w:p>
    <w:p>
      <w:pPr>
        <w:pStyle w:val="ListNumber"/>
        <w:widowControl/>
      </w:pPr>
      <w:r>
        <w:t>перенос бюджета и доказательный статус адаптера;</w:t>
      </w:r>
    </w:p>
    <w:p>
      <w:pPr>
        <w:pStyle w:val="ListNumber"/>
        <w:widowControl/>
      </w:pPr>
      <w:r>
        <w:t>контрпример к снятию существенного условия.</w:t>
      </w:r>
    </w:p>
    <w:p>
      <w:bookmarkStart w:id="2078" w:name="f_24_16"/>
      <w:pPr>
        <w:pStyle w:val="Quote"/>
        <w:widowControl/>
        <w:jc w:val="center"/>
      </w:pPr>
      <w:r>
        <w:t>Interface(F,G;A)=PASS ⇔ Post_F ⇒ Pre_G∘A и Budget_G∘A определён.  (24.16)</w:t>
      </w:r>
      <w:bookmarkEnd w:id="2078"/>
    </w:p>
    <w:p>
      <w:bookmarkStart w:id="1322" w:name="h_3477"/>
      <w:pPr>
        <w:pStyle w:val="Heading1"/>
        <w:widowControl/>
      </w:pPr>
      <w:r>
        <w:t>389. Глобальный контракт выпуска</w:t>
      </w:r>
      <w:bookmarkEnd w:id="1322"/>
    </w:p>
    <w:p>
      <w:pPr>
        <w:widowControl/>
      </w:pPr>
      <w:r>
        <w:rPr>
          <w:i w:val="0"/>
        </w:rPr>
        <w:t>Глобальный контракт фиксирует immutability исходников, версии нотации, список активных модулей, полный граф зависимостей, policy разрешённых verdicts, целевой error budget и обязательный external split. Изменение любого элемента порождает новый checkpoint.</w:t>
      </w:r>
    </w:p>
    <w:p>
      <w:bookmarkStart w:id="1689" w:name="s_DEF_24_5"/>
      <w:pPr>
        <w:widowControl/>
      </w:pPr>
      <w:r>
        <w:rPr>
          <w:i w:val="0"/>
        </w:rPr>
        <w:t>Определение 24.5. Release manifest есть</w:t>
      </w:r>
      <w:bookmarkEnd w:id="1689"/>
    </w:p>
    <w:p>
      <w:bookmarkStart w:id="2079" w:name="f_24_17"/>
      <w:pPr>
        <w:pStyle w:val="Quote"/>
        <w:widowControl/>
        <w:jc w:val="center"/>
      </w:pPr>
      <w:r>
        <w:t>M_rel=(Q, Modules, Edges, Notation, Budgets, Policies, Sources, Code, Data, Env, HashRoot).  (24.17)</w:t>
      </w:r>
      <w:bookmarkEnd w:id="2079"/>
    </w:p>
    <w:p>
      <w:pPr>
        <w:widowControl/>
      </w:pPr>
      <w:r>
        <w:rPr>
          <w:i w:val="0"/>
        </w:rPr>
        <w:t>Manifest не включает секретные «разумные значения по умолчанию». Неуказанное значение становится blocker. Это несколько менее удобно, зато значительно реже производит уверенную чепуху.</w:t>
      </w:r>
    </w:p>
    <w:p>
      <w:bookmarkStart w:id="1323" w:name="h_3482"/>
      <w:pPr>
        <w:pStyle w:val="Heading1"/>
        <w:widowControl/>
      </w:pPr>
      <w:r>
        <w:t>390. Определение end-to-end оператора KLT-RBD</w:t>
      </w:r>
      <w:bookmarkEnd w:id="1323"/>
    </w:p>
    <w:p>
      <w:pPr>
        <w:widowControl/>
      </w:pPr>
      <w:r>
        <w:rPr>
          <w:i w:val="0"/>
        </w:rPr>
        <w:t>Пусть F_0,…,F_10 являются сертифицированными частичными операторами модулей. Определим</w:t>
      </w:r>
    </w:p>
    <w:p>
      <w:bookmarkStart w:id="2080" w:name="f_24_18"/>
      <w:pPr>
        <w:pStyle w:val="Quote"/>
        <w:widowControl/>
        <w:jc w:val="center"/>
      </w:pPr>
      <w:r>
        <w:t>𝔓_KLT(Q)=Gate_release ⊙ F_10 ⊙ ··· ⊙ F_1 ⊙ F_0 (Q).  (24.18)</w:t>
      </w:r>
      <w:bookmarkEnd w:id="2080"/>
    </w:p>
    <w:p>
      <w:pPr>
        <w:widowControl/>
      </w:pPr>
      <w:r>
        <w:rPr>
          <w:i w:val="0"/>
        </w:rPr>
        <w:t>Композиция вычисляется в CertKLT и возвращает Result(V×Cert). В развёрнутом виде:</w:t>
      </w:r>
    </w:p>
    <w:p>
      <w:bookmarkStart w:id="2081" w:name="f_24_19"/>
      <w:pPr>
        <w:pStyle w:val="Quote"/>
        <w:widowControl/>
        <w:jc w:val="center"/>
      </w:pPr>
      <w:r>
        <w:t>𝔓_KLT = Release ⊙ Validate ⊙ Robust ⊙ Rare ⊙ Causal ⊙ Stoch ⊙ Evol ⊙ Global ⊙ Obstruct ⊙ NAPG ⊙ Reper ⊙ Ingest.  (24.19)</w:t>
      </w:r>
      <w:bookmarkEnd w:id="2081"/>
    </w:p>
    <w:p>
      <w:pPr>
        <w:widowControl/>
      </w:pPr>
      <w:r>
        <w:rPr>
          <w:i w:val="0"/>
        </w:rPr>
        <w:t>Операторы Causal, Stoch, Rare и Validate являются опциональными по режиму запроса, но их отсутствие отражается в соответствующей координате вердикта, а не молча заменяется нулём.</w:t>
      </w:r>
    </w:p>
    <w:p>
      <w:pPr>
        <w:widowControl/>
        <w:jc w:val="center"/>
      </w:pPr>
      <w:r>
        <w:drawing>
          <wp:inline xmlns:a="http://schemas.openxmlformats.org/drawingml/2006/main" xmlns:pic="http://schemas.openxmlformats.org/drawingml/2006/picture">
            <wp:extent cx="5897880" cy="3724977"/>
            <wp:docPr id="67" name="Picture 67" descr="Рисунок 24.1. Архитектура end-to-end оператора KLT-RBD и независимые доказательные ворота. Собственная схема Тома II." title="Рисунок 24.1. Архитектура end-to-end оператора KLT-RBD и независимые доказательные ворота. Собственная схема Тома II."/>
            <wp:cNvGraphicFramePr>
              <a:graphicFrameLocks noChangeAspect="1"/>
            </wp:cNvGraphicFramePr>
            <a:graphic>
              <a:graphicData uri="http://schemas.openxmlformats.org/drawingml/2006/picture">
                <pic:pic>
                  <pic:nvPicPr>
                    <pic:cNvPr id="0" name="fig24_1.png" descr="Рисунок 24.1. Архитектура end-to-end оператора KLT-RBD и независимые доказательные ворота. Собственная схема Тома II." title="Рисунок 24.1. Архитектура end-to-end оператора KLT-RBD и независимые доказательные ворота. Собственная схема Тома II."/>
                    <pic:cNvPicPr/>
                  </pic:nvPicPr>
                  <pic:blipFill>
                    <a:blip r:embed="rId104"/>
                    <a:stretch>
                      <a:fillRect/>
                    </a:stretch>
                  </pic:blipFill>
                  <pic:spPr>
                    <a:xfrm>
                      <a:off x="0" y="0"/>
                      <a:ext cx="5897880" cy="3724977"/>
                    </a:xfrm>
                    <a:prstGeom prst="rect"/>
                  </pic:spPr>
                </pic:pic>
              </a:graphicData>
            </a:graphic>
          </wp:inline>
        </w:drawing>
      </w:r>
    </w:p>
    <w:p>
      <w:pPr>
        <w:pStyle w:val="Caption"/>
        <w:widowControl/>
        <w:jc w:val="center"/>
      </w:pPr>
      <w:r>
        <w:t>Рисунок 24.1. Архитектура end-to-end оператора KLT-RBD и независимые доказательные ворота. Собственная схема Тома II.</w:t>
      </w:r>
    </w:p>
    <w:p>
      <w:bookmarkStart w:id="1324" w:name="h_3490"/>
      <w:pPr>
        <w:pStyle w:val="Heading1"/>
        <w:widowControl/>
      </w:pPr>
      <w:r>
        <w:t>391. Модульная декомпозиция F₀-F₁₁</w:t>
      </w:r>
      <w:bookmarkEnd w:id="1324"/>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1950"/>
        <w:gridCol w:w="1950"/>
        <w:gridCol w:w="1950"/>
        <w:gridCol w:w="1950"/>
        <w:gridCol w:w="1950"/>
      </w:tblGrid>
      <w:tr>
        <w:trPr>
          <w:tblHeader w:val="true"/>
          <w:cantSplit/>
        </w:trPr>
        <w:tc>
          <w:tcPr>
            <w:tcW w:type="dxa" w:w="648"/>
            <w:shd w:fill="173B67"/>
            <w:tcMar>
              <w:top w:w="110" w:type="dxa"/>
              <w:start w:w="110" w:type="dxa"/>
              <w:bottom w:w="110" w:type="dxa"/>
              <w:end w:w="110" w:type="dxa"/>
            </w:tcMar>
            <w:vAlign w:val="center"/>
          </w:tcPr>
          <w:p>
            <w:pPr>
              <w:jc w:val="center"/>
            </w:pPr>
            <w:r>
              <w:rPr>
                <w:rFonts w:ascii="Aptos" w:hAnsi="Aptos" w:eastAsia="Aptos"/>
                <w:b/>
                <w:color w:val="FFFFFF"/>
                <w:sz w:val="15"/>
              </w:rPr>
              <w:t>ID</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5"/>
              </w:rPr>
              <w:t>Модуль</w:t>
            </w:r>
          </w:p>
        </w:tc>
        <w:tc>
          <w:tcPr>
            <w:tcW w:type="dxa" w:w="2232"/>
            <w:shd w:fill="173B67"/>
            <w:tcMar>
              <w:top w:w="110" w:type="dxa"/>
              <w:start w:w="110" w:type="dxa"/>
              <w:bottom w:w="110" w:type="dxa"/>
              <w:end w:w="110" w:type="dxa"/>
            </w:tcMar>
            <w:vAlign w:val="center"/>
          </w:tcPr>
          <w:p>
            <w:pPr>
              <w:jc w:val="center"/>
            </w:pPr>
            <w:r>
              <w:rPr>
                <w:rFonts w:ascii="Aptos" w:hAnsi="Aptos" w:eastAsia="Aptos"/>
                <w:b/>
                <w:color w:val="FFFFFF"/>
                <w:sz w:val="15"/>
              </w:rPr>
              <w:t>Вход</w:t>
            </w:r>
          </w:p>
        </w:tc>
        <w:tc>
          <w:tcPr>
            <w:tcW w:type="dxa" w:w="3600"/>
            <w:shd w:fill="173B67"/>
            <w:tcMar>
              <w:top w:w="110" w:type="dxa"/>
              <w:start w:w="110" w:type="dxa"/>
              <w:bottom w:w="110" w:type="dxa"/>
              <w:end w:w="110" w:type="dxa"/>
            </w:tcMar>
            <w:vAlign w:val="center"/>
          </w:tcPr>
          <w:p>
            <w:pPr>
              <w:jc w:val="center"/>
            </w:pPr>
            <w:r>
              <w:rPr>
                <w:rFonts w:ascii="Aptos" w:hAnsi="Aptos" w:eastAsia="Aptos"/>
                <w:b/>
                <w:color w:val="FFFFFF"/>
                <w:sz w:val="15"/>
              </w:rPr>
              <w:t>OK-постусловие</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5"/>
              </w:rPr>
              <w:t>Типичный blocker</w:t>
            </w:r>
          </w:p>
        </w:tc>
      </w:tr>
      <w:tr>
        <w:trPr>
          <w:cantSplit/>
        </w:trPr>
        <w:tc>
          <w:tcPr>
            <w:tcW w:type="dxa" w:w="648"/>
            <w:tcMar>
              <w:top w:w="90" w:type="dxa"/>
              <w:start w:w="100" w:type="dxa"/>
              <w:bottom w:w="90" w:type="dxa"/>
              <w:end w:w="100" w:type="dxa"/>
            </w:tcMar>
            <w:vAlign w:val="center"/>
          </w:tcPr>
          <w:p>
            <w:pPr>
              <w:spacing w:after="0"/>
            </w:pPr>
            <w:r>
              <w:rPr>
                <w:rFonts w:ascii="Aptos" w:hAnsi="Aptos" w:eastAsia="Aptos"/>
                <w:sz w:val="15"/>
              </w:rPr>
              <w:t>F0</w:t>
            </w:r>
          </w:p>
        </w:tc>
        <w:tc>
          <w:tcPr>
            <w:tcW w:type="dxa" w:w="2016"/>
            <w:tcMar>
              <w:top w:w="90" w:type="dxa"/>
              <w:start w:w="100" w:type="dxa"/>
              <w:bottom w:w="90" w:type="dxa"/>
              <w:end w:w="100" w:type="dxa"/>
            </w:tcMar>
            <w:vAlign w:val="center"/>
          </w:tcPr>
          <w:p>
            <w:pPr>
              <w:spacing w:after="0"/>
            </w:pPr>
            <w:r>
              <w:rPr>
                <w:rFonts w:ascii="Aptos" w:hAnsi="Aptos" w:eastAsia="Aptos"/>
                <w:sz w:val="15"/>
              </w:rPr>
              <w:t>Ingest/Provenance</w:t>
            </w:r>
          </w:p>
        </w:tc>
        <w:tc>
          <w:tcPr>
            <w:tcW w:type="dxa" w:w="2232"/>
            <w:tcMar>
              <w:top w:w="90" w:type="dxa"/>
              <w:start w:w="100" w:type="dxa"/>
              <w:bottom w:w="90" w:type="dxa"/>
              <w:end w:w="100" w:type="dxa"/>
            </w:tcMar>
            <w:vAlign w:val="center"/>
          </w:tcPr>
          <w:p>
            <w:pPr>
              <w:spacing w:after="0"/>
            </w:pPr>
            <w:r>
              <w:rPr>
                <w:rFonts w:ascii="Aptos" w:hAnsi="Aptos" w:eastAsia="Aptos"/>
                <w:sz w:val="15"/>
              </w:rPr>
              <w:t>файлы, данные, метаданные</w:t>
            </w:r>
          </w:p>
        </w:tc>
        <w:tc>
          <w:tcPr>
            <w:tcW w:type="dxa" w:w="3600"/>
            <w:tcMar>
              <w:top w:w="90" w:type="dxa"/>
              <w:start w:w="100" w:type="dxa"/>
              <w:bottom w:w="90" w:type="dxa"/>
              <w:end w:w="100" w:type="dxa"/>
            </w:tcMar>
            <w:vAlign w:val="center"/>
          </w:tcPr>
          <w:p>
            <w:pPr>
              <w:spacing w:after="0"/>
            </w:pPr>
            <w:r>
              <w:rPr>
                <w:rFonts w:ascii="Aptos" w:hAnsi="Aptos" w:eastAsia="Aptos"/>
                <w:sz w:val="15"/>
              </w:rPr>
              <w:t>идентичность и происхождение подтверждены</w:t>
            </w:r>
          </w:p>
        </w:tc>
        <w:tc>
          <w:tcPr>
            <w:tcW w:type="dxa" w:w="2016"/>
            <w:tcMar>
              <w:top w:w="90" w:type="dxa"/>
              <w:start w:w="100" w:type="dxa"/>
              <w:bottom w:w="90" w:type="dxa"/>
              <w:end w:w="100" w:type="dxa"/>
            </w:tcMar>
            <w:vAlign w:val="center"/>
          </w:tcPr>
          <w:p>
            <w:pPr>
              <w:spacing w:after="0"/>
            </w:pPr>
            <w:r>
              <w:rPr>
                <w:rFonts w:ascii="Aptos" w:hAnsi="Aptos" w:eastAsia="Aptos"/>
                <w:sz w:val="15"/>
              </w:rPr>
              <w:t>hash/schema/source</w:t>
            </w:r>
          </w:p>
        </w:tc>
      </w:tr>
      <w:tr>
        <w:trPr>
          <w:cantSplit/>
        </w:trPr>
        <w:tc>
          <w:tcPr>
            <w:tcW w:type="dxa" w:w="648"/>
            <w:tcMar>
              <w:top w:w="90" w:type="dxa"/>
              <w:start w:w="100" w:type="dxa"/>
              <w:bottom w:w="90" w:type="dxa"/>
              <w:end w:w="100" w:type="dxa"/>
            </w:tcMar>
            <w:vAlign w:val="center"/>
            <w:shd w:fill="F5F7F9"/>
          </w:tcPr>
          <w:p>
            <w:pPr>
              <w:spacing w:after="0"/>
            </w:pPr>
            <w:r>
              <w:rPr>
                <w:rFonts w:ascii="Aptos" w:hAnsi="Aptos" w:eastAsia="Aptos"/>
                <w:sz w:val="15"/>
              </w:rPr>
              <w:t>F1</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Reper lift</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C@C / объект</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(R,I,U;D), Λ и Dom определены</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D missing / [0:0]</w:t>
            </w:r>
          </w:p>
        </w:tc>
      </w:tr>
      <w:tr>
        <w:trPr>
          <w:cantSplit/>
        </w:trPr>
        <w:tc>
          <w:tcPr>
            <w:tcW w:type="dxa" w:w="648"/>
            <w:tcMar>
              <w:top w:w="90" w:type="dxa"/>
              <w:start w:w="100" w:type="dxa"/>
              <w:bottom w:w="90" w:type="dxa"/>
              <w:end w:w="100" w:type="dxa"/>
            </w:tcMar>
            <w:vAlign w:val="center"/>
          </w:tcPr>
          <w:p>
            <w:pPr>
              <w:spacing w:after="0"/>
            </w:pPr>
            <w:r>
              <w:rPr>
                <w:rFonts w:ascii="Aptos" w:hAnsi="Aptos" w:eastAsia="Aptos"/>
                <w:sz w:val="15"/>
              </w:rPr>
              <w:t>F2</w:t>
            </w:r>
          </w:p>
        </w:tc>
        <w:tc>
          <w:tcPr>
            <w:tcW w:type="dxa" w:w="2016"/>
            <w:tcMar>
              <w:top w:w="90" w:type="dxa"/>
              <w:start w:w="100" w:type="dxa"/>
              <w:bottom w:w="90" w:type="dxa"/>
              <w:end w:w="100" w:type="dxa"/>
            </w:tcMar>
            <w:vAlign w:val="center"/>
          </w:tcPr>
          <w:p>
            <w:pPr>
              <w:spacing w:after="0"/>
            </w:pPr>
            <w:r>
              <w:rPr>
                <w:rFonts w:ascii="Aptos" w:hAnsi="Aptos" w:eastAsia="Aptos"/>
                <w:sz w:val="15"/>
              </w:rPr>
              <w:t>NAPG algebra</w:t>
            </w:r>
          </w:p>
        </w:tc>
        <w:tc>
          <w:tcPr>
            <w:tcW w:type="dxa" w:w="2232"/>
            <w:tcMar>
              <w:top w:w="90" w:type="dxa"/>
              <w:start w:w="100" w:type="dxa"/>
              <w:bottom w:w="90" w:type="dxa"/>
              <w:end w:w="100" w:type="dxa"/>
            </w:tcMar>
            <w:vAlign w:val="center"/>
          </w:tcPr>
          <w:p>
            <w:pPr>
              <w:spacing w:after="0"/>
            </w:pPr>
            <w:r>
              <w:rPr>
                <w:rFonts w:ascii="Aptos" w:hAnsi="Aptos" w:eastAsia="Aptos"/>
                <w:sz w:val="15"/>
              </w:rPr>
              <w:t>операция, градуировка, 𝔊</w:t>
            </w:r>
          </w:p>
        </w:tc>
        <w:tc>
          <w:tcPr>
            <w:tcW w:type="dxa" w:w="3600"/>
            <w:tcMar>
              <w:top w:w="90" w:type="dxa"/>
              <w:start w:w="100" w:type="dxa"/>
              <w:bottom w:w="90" w:type="dxa"/>
              <w:end w:w="100" w:type="dxa"/>
            </w:tcMar>
            <w:vAlign w:val="center"/>
          </w:tcPr>
          <w:p>
            <w:pPr>
              <w:spacing w:after="0"/>
            </w:pPr>
            <w:r>
              <w:rPr>
                <w:rFonts w:ascii="Aptos" w:hAnsi="Aptos" w:eastAsia="Aptos"/>
                <w:sz w:val="15"/>
              </w:rPr>
              <w:t>ассоциатор/ядра/инварианты типизированы</w:t>
            </w:r>
          </w:p>
        </w:tc>
        <w:tc>
          <w:tcPr>
            <w:tcW w:type="dxa" w:w="2016"/>
            <w:tcMar>
              <w:top w:w="90" w:type="dxa"/>
              <w:start w:w="100" w:type="dxa"/>
              <w:bottom w:w="90" w:type="dxa"/>
              <w:end w:w="100" w:type="dxa"/>
            </w:tcMar>
            <w:vAlign w:val="center"/>
          </w:tcPr>
          <w:p>
            <w:pPr>
              <w:spacing w:after="0"/>
            </w:pPr>
            <w:r>
              <w:rPr>
                <w:rFonts w:ascii="Aptos" w:hAnsi="Aptos" w:eastAsia="Aptos"/>
                <w:sz w:val="15"/>
              </w:rPr>
              <w:t>closure/bilinearity</w:t>
            </w:r>
          </w:p>
        </w:tc>
      </w:tr>
      <w:tr>
        <w:trPr>
          <w:cantSplit/>
        </w:trPr>
        <w:tc>
          <w:tcPr>
            <w:tcW w:type="dxa" w:w="648"/>
            <w:tcMar>
              <w:top w:w="90" w:type="dxa"/>
              <w:start w:w="100" w:type="dxa"/>
              <w:bottom w:w="90" w:type="dxa"/>
              <w:end w:w="100" w:type="dxa"/>
            </w:tcMar>
            <w:vAlign w:val="center"/>
            <w:shd w:fill="F5F7F9"/>
          </w:tcPr>
          <w:p>
            <w:pPr>
              <w:spacing w:after="0"/>
            </w:pPr>
            <w:r>
              <w:rPr>
                <w:rFonts w:ascii="Aptos" w:hAnsi="Aptos" w:eastAsia="Aptos"/>
                <w:sz w:val="15"/>
              </w:rPr>
              <w:t>F3</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Geometry</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атлас, расслоение, connection</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descent/curvature certificates</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cocycle/chart</w:t>
            </w:r>
          </w:p>
        </w:tc>
      </w:tr>
      <w:tr>
        <w:trPr>
          <w:cantSplit/>
        </w:trPr>
        <w:tc>
          <w:tcPr>
            <w:tcW w:type="dxa" w:w="648"/>
            <w:tcMar>
              <w:top w:w="90" w:type="dxa"/>
              <w:start w:w="100" w:type="dxa"/>
              <w:bottom w:w="90" w:type="dxa"/>
              <w:end w:w="100" w:type="dxa"/>
            </w:tcMar>
            <w:vAlign w:val="center"/>
          </w:tcPr>
          <w:p>
            <w:pPr>
              <w:spacing w:after="0"/>
            </w:pPr>
            <w:r>
              <w:rPr>
                <w:rFonts w:ascii="Aptos" w:hAnsi="Aptos" w:eastAsia="Aptos"/>
                <w:sz w:val="15"/>
              </w:rPr>
              <w:t>F4</w:t>
            </w:r>
          </w:p>
        </w:tc>
        <w:tc>
          <w:tcPr>
            <w:tcW w:type="dxa" w:w="2016"/>
            <w:tcMar>
              <w:top w:w="90" w:type="dxa"/>
              <w:start w:w="100" w:type="dxa"/>
              <w:bottom w:w="90" w:type="dxa"/>
              <w:end w:w="100" w:type="dxa"/>
            </w:tcMar>
            <w:vAlign w:val="center"/>
          </w:tcPr>
          <w:p>
            <w:pPr>
              <w:spacing w:after="0"/>
            </w:pPr>
            <w:r>
              <w:rPr>
                <w:rFonts w:ascii="Aptos" w:hAnsi="Aptos" w:eastAsia="Aptos"/>
                <w:sz w:val="15"/>
              </w:rPr>
              <w:t>Obstruction</w:t>
            </w:r>
          </w:p>
        </w:tc>
        <w:tc>
          <w:tcPr>
            <w:tcW w:type="dxa" w:w="2232"/>
            <w:tcMar>
              <w:top w:w="90" w:type="dxa"/>
              <w:start w:w="100" w:type="dxa"/>
              <w:bottom w:w="90" w:type="dxa"/>
              <w:end w:w="100" w:type="dxa"/>
            </w:tcMar>
            <w:vAlign w:val="center"/>
          </w:tcPr>
          <w:p>
            <w:pPr>
              <w:spacing w:after="0"/>
            </w:pPr>
            <w:r>
              <w:rPr>
                <w:rFonts w:ascii="Aptos" w:hAnsi="Aptos" w:eastAsia="Aptos"/>
                <w:sz w:val="15"/>
              </w:rPr>
              <w:t>комплекс, q, quotient</w:t>
            </w:r>
          </w:p>
        </w:tc>
        <w:tc>
          <w:tcPr>
            <w:tcW w:type="dxa" w:w="3600"/>
            <w:tcMar>
              <w:top w:w="90" w:type="dxa"/>
              <w:start w:w="100" w:type="dxa"/>
              <w:bottom w:w="90" w:type="dxa"/>
              <w:end w:w="100" w:type="dxa"/>
            </w:tcMar>
            <w:vAlign w:val="center"/>
          </w:tcPr>
          <w:p>
            <w:pPr>
              <w:spacing w:after="0"/>
            </w:pPr>
            <w:r>
              <w:rPr>
                <w:rFonts w:ascii="Aptos" w:hAnsi="Aptos" w:eastAsia="Aptos"/>
                <w:sz w:val="15"/>
              </w:rPr>
              <w:t>well-defined obstruction profile</w:t>
            </w:r>
          </w:p>
        </w:tc>
        <w:tc>
          <w:tcPr>
            <w:tcW w:type="dxa" w:w="2016"/>
            <w:tcMar>
              <w:top w:w="90" w:type="dxa"/>
              <w:start w:w="100" w:type="dxa"/>
              <w:bottom w:w="90" w:type="dxa"/>
              <w:end w:w="100" w:type="dxa"/>
            </w:tcMar>
            <w:vAlign w:val="center"/>
          </w:tcPr>
          <w:p>
            <w:pPr>
              <w:spacing w:after="0"/>
            </w:pPr>
            <w:r>
              <w:rPr>
                <w:rFonts w:ascii="Aptos" w:hAnsi="Aptos" w:eastAsia="Aptos"/>
                <w:sz w:val="15"/>
              </w:rPr>
              <w:t>δ² / representative</w:t>
            </w:r>
          </w:p>
        </w:tc>
      </w:tr>
      <w:tr>
        <w:trPr>
          <w:cantSplit/>
        </w:trPr>
        <w:tc>
          <w:tcPr>
            <w:tcW w:type="dxa" w:w="648"/>
            <w:tcMar>
              <w:top w:w="90" w:type="dxa"/>
              <w:start w:w="100" w:type="dxa"/>
              <w:bottom w:w="90" w:type="dxa"/>
              <w:end w:w="100" w:type="dxa"/>
            </w:tcMar>
            <w:vAlign w:val="center"/>
            <w:shd w:fill="F5F7F9"/>
          </w:tcPr>
          <w:p>
            <w:pPr>
              <w:spacing w:after="0"/>
            </w:pPr>
            <w:r>
              <w:rPr>
                <w:rFonts w:ascii="Aptos" w:hAnsi="Aptos" w:eastAsia="Aptos"/>
                <w:sz w:val="15"/>
              </w:rPr>
              <w:t>F5</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Global/moduli</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charts, coherence, path</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global carrier / wall ledger</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triple coherence</w:t>
            </w:r>
          </w:p>
        </w:tc>
      </w:tr>
      <w:tr>
        <w:trPr>
          <w:cantSplit/>
        </w:trPr>
        <w:tc>
          <w:tcPr>
            <w:tcW w:type="dxa" w:w="648"/>
            <w:tcMar>
              <w:top w:w="90" w:type="dxa"/>
              <w:start w:w="100" w:type="dxa"/>
              <w:bottom w:w="90" w:type="dxa"/>
              <w:end w:w="100" w:type="dxa"/>
            </w:tcMar>
            <w:vAlign w:val="center"/>
          </w:tcPr>
          <w:p>
            <w:pPr>
              <w:spacing w:after="0"/>
            </w:pPr>
            <w:r>
              <w:rPr>
                <w:rFonts w:ascii="Aptos" w:hAnsi="Aptos" w:eastAsia="Aptos"/>
                <w:sz w:val="15"/>
              </w:rPr>
              <w:t>F6</w:t>
            </w:r>
          </w:p>
        </w:tc>
        <w:tc>
          <w:tcPr>
            <w:tcW w:type="dxa" w:w="2016"/>
            <w:tcMar>
              <w:top w:w="90" w:type="dxa"/>
              <w:start w:w="100" w:type="dxa"/>
              <w:bottom w:w="90" w:type="dxa"/>
              <w:end w:w="100" w:type="dxa"/>
            </w:tcMar>
            <w:vAlign w:val="center"/>
          </w:tcPr>
          <w:p>
            <w:pPr>
              <w:spacing w:after="0"/>
            </w:pPr>
            <w:r>
              <w:rPr>
                <w:rFonts w:ascii="Aptos" w:hAnsi="Aptos" w:eastAsia="Aptos"/>
                <w:sz w:val="15"/>
              </w:rPr>
              <w:t>Evolution</w:t>
            </w:r>
          </w:p>
        </w:tc>
        <w:tc>
          <w:tcPr>
            <w:tcW w:type="dxa" w:w="2232"/>
            <w:tcMar>
              <w:top w:w="90" w:type="dxa"/>
              <w:start w:w="100" w:type="dxa"/>
              <w:bottom w:w="90" w:type="dxa"/>
              <w:end w:w="100" w:type="dxa"/>
            </w:tcMar>
            <w:vAlign w:val="center"/>
          </w:tcPr>
          <w:p>
            <w:pPr>
              <w:spacing w:after="0"/>
            </w:pPr>
            <w:r>
              <w:rPr>
                <w:rFonts w:ascii="Aptos" w:hAnsi="Aptos" w:eastAsia="Aptos"/>
                <w:sz w:val="15"/>
              </w:rPr>
              <w:t>generator/evolution family</w:t>
            </w:r>
          </w:p>
        </w:tc>
        <w:tc>
          <w:tcPr>
            <w:tcW w:type="dxa" w:w="3600"/>
            <w:tcMar>
              <w:top w:w="90" w:type="dxa"/>
              <w:start w:w="100" w:type="dxa"/>
              <w:bottom w:w="90" w:type="dxa"/>
              <w:end w:w="100" w:type="dxa"/>
            </w:tcMar>
            <w:vAlign w:val="center"/>
          </w:tcPr>
          <w:p>
            <w:pPr>
              <w:spacing w:after="0"/>
            </w:pPr>
            <w:r>
              <w:rPr>
                <w:rFonts w:ascii="Aptos" w:hAnsi="Aptos" w:eastAsia="Aptos"/>
                <w:sz w:val="15"/>
              </w:rPr>
              <w:t>path consistency и horizon</w:t>
            </w:r>
          </w:p>
        </w:tc>
        <w:tc>
          <w:tcPr>
            <w:tcW w:type="dxa" w:w="2016"/>
            <w:tcMar>
              <w:top w:w="90" w:type="dxa"/>
              <w:start w:w="100" w:type="dxa"/>
              <w:bottom w:w="90" w:type="dxa"/>
              <w:end w:w="100" w:type="dxa"/>
            </w:tcMar>
            <w:vAlign w:val="center"/>
          </w:tcPr>
          <w:p>
            <w:pPr>
              <w:spacing w:after="0"/>
            </w:pPr>
            <w:r>
              <w:rPr>
                <w:rFonts w:ascii="Aptos" w:hAnsi="Aptos" w:eastAsia="Aptos"/>
                <w:sz w:val="15"/>
              </w:rPr>
              <w:t>existence/uniqueness</w:t>
            </w:r>
          </w:p>
        </w:tc>
      </w:tr>
      <w:tr>
        <w:trPr>
          <w:cantSplit/>
        </w:trPr>
        <w:tc>
          <w:tcPr>
            <w:tcW w:type="dxa" w:w="648"/>
            <w:tcMar>
              <w:top w:w="90" w:type="dxa"/>
              <w:start w:w="100" w:type="dxa"/>
              <w:bottom w:w="90" w:type="dxa"/>
              <w:end w:w="100" w:type="dxa"/>
            </w:tcMar>
            <w:vAlign w:val="center"/>
            <w:shd w:fill="F5F7F9"/>
          </w:tcPr>
          <w:p>
            <w:pPr>
              <w:spacing w:after="0"/>
            </w:pPr>
            <w:r>
              <w:rPr>
                <w:rFonts w:ascii="Aptos" w:hAnsi="Aptos" w:eastAsia="Aptos"/>
                <w:sz w:val="15"/>
              </w:rPr>
              <w:t>F7</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Stochastic</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basis, law, filtration</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martingale/generator certificate</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measurability/core</w:t>
            </w:r>
          </w:p>
        </w:tc>
      </w:tr>
      <w:tr>
        <w:trPr>
          <w:cantSplit/>
        </w:trPr>
        <w:tc>
          <w:tcPr>
            <w:tcW w:type="dxa" w:w="648"/>
            <w:tcMar>
              <w:top w:w="90" w:type="dxa"/>
              <w:start w:w="100" w:type="dxa"/>
              <w:bottom w:w="90" w:type="dxa"/>
              <w:end w:w="100" w:type="dxa"/>
            </w:tcMar>
            <w:vAlign w:val="center"/>
          </w:tcPr>
          <w:p>
            <w:pPr>
              <w:spacing w:after="0"/>
            </w:pPr>
            <w:r>
              <w:rPr>
                <w:rFonts w:ascii="Aptos" w:hAnsi="Aptos" w:eastAsia="Aptos"/>
                <w:sz w:val="15"/>
              </w:rPr>
              <w:t>F8</w:t>
            </w:r>
          </w:p>
        </w:tc>
        <w:tc>
          <w:tcPr>
            <w:tcW w:type="dxa" w:w="2016"/>
            <w:tcMar>
              <w:top w:w="90" w:type="dxa"/>
              <w:start w:w="100" w:type="dxa"/>
              <w:bottom w:w="90" w:type="dxa"/>
              <w:end w:w="100" w:type="dxa"/>
            </w:tcMar>
            <w:vAlign w:val="center"/>
          </w:tcPr>
          <w:p>
            <w:pPr>
              <w:spacing w:after="0"/>
            </w:pPr>
            <w:r>
              <w:rPr>
                <w:rFonts w:ascii="Aptos" w:hAnsi="Aptos" w:eastAsia="Aptos"/>
                <w:sz w:val="15"/>
              </w:rPr>
              <w:t>Causal</w:t>
            </w:r>
          </w:p>
        </w:tc>
        <w:tc>
          <w:tcPr>
            <w:tcW w:type="dxa" w:w="2232"/>
            <w:tcMar>
              <w:top w:w="90" w:type="dxa"/>
              <w:start w:w="100" w:type="dxa"/>
              <w:bottom w:w="90" w:type="dxa"/>
              <w:end w:w="100" w:type="dxa"/>
            </w:tcMar>
            <w:vAlign w:val="center"/>
          </w:tcPr>
          <w:p>
            <w:pPr>
              <w:spacing w:after="0"/>
            </w:pPr>
            <w:r>
              <w:rPr>
                <w:rFonts w:ascii="Aptos" w:hAnsi="Aptos" w:eastAsia="Aptos"/>
                <w:sz w:val="15"/>
              </w:rPr>
              <w:t>SCM/intervention assumptions</w:t>
            </w:r>
          </w:p>
        </w:tc>
        <w:tc>
          <w:tcPr>
            <w:tcW w:type="dxa" w:w="3600"/>
            <w:tcMar>
              <w:top w:w="90" w:type="dxa"/>
              <w:start w:w="100" w:type="dxa"/>
              <w:bottom w:w="90" w:type="dxa"/>
              <w:end w:w="100" w:type="dxa"/>
            </w:tcMar>
            <w:vAlign w:val="center"/>
          </w:tcPr>
          <w:p>
            <w:pPr>
              <w:spacing w:after="0"/>
            </w:pPr>
            <w:r>
              <w:rPr>
                <w:rFonts w:ascii="Aptos" w:hAnsi="Aptos" w:eastAsia="Aptos"/>
                <w:sz w:val="15"/>
              </w:rPr>
              <w:t>identified causal functional</w:t>
            </w:r>
          </w:p>
        </w:tc>
        <w:tc>
          <w:tcPr>
            <w:tcW w:type="dxa" w:w="2016"/>
            <w:tcMar>
              <w:top w:w="90" w:type="dxa"/>
              <w:start w:w="100" w:type="dxa"/>
              <w:bottom w:w="90" w:type="dxa"/>
              <w:end w:w="100" w:type="dxa"/>
            </w:tcMar>
            <w:vAlign w:val="center"/>
          </w:tcPr>
          <w:p>
            <w:pPr>
              <w:spacing w:after="0"/>
            </w:pPr>
            <w:r>
              <w:rPr>
                <w:rFonts w:ascii="Aptos" w:hAnsi="Aptos" w:eastAsia="Aptos"/>
                <w:sz w:val="15"/>
              </w:rPr>
              <w:t>nonidentifiability</w:t>
            </w:r>
          </w:p>
        </w:tc>
      </w:tr>
      <w:tr>
        <w:trPr>
          <w:cantSplit/>
        </w:trPr>
        <w:tc>
          <w:tcPr>
            <w:tcW w:type="dxa" w:w="648"/>
            <w:tcMar>
              <w:top w:w="90" w:type="dxa"/>
              <w:start w:w="100" w:type="dxa"/>
              <w:bottom w:w="90" w:type="dxa"/>
              <w:end w:w="100" w:type="dxa"/>
            </w:tcMar>
            <w:vAlign w:val="center"/>
            <w:shd w:fill="F5F7F9"/>
          </w:tcPr>
          <w:p>
            <w:pPr>
              <w:spacing w:after="0"/>
            </w:pPr>
            <w:r>
              <w:rPr>
                <w:rFonts w:ascii="Aptos" w:hAnsi="Aptos" w:eastAsia="Aptos"/>
                <w:sz w:val="15"/>
              </w:rPr>
              <w:t>F9</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Rare/Robust</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LDP, target, ambiguity</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finite-n/LDP/robust risk status</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remainder/coverage</w:t>
            </w:r>
          </w:p>
        </w:tc>
      </w:tr>
      <w:tr>
        <w:trPr>
          <w:cantSplit/>
        </w:trPr>
        <w:tc>
          <w:tcPr>
            <w:tcW w:type="dxa" w:w="648"/>
            <w:tcMar>
              <w:top w:w="90" w:type="dxa"/>
              <w:start w:w="100" w:type="dxa"/>
              <w:bottom w:w="90" w:type="dxa"/>
              <w:end w:w="100" w:type="dxa"/>
            </w:tcMar>
            <w:vAlign w:val="center"/>
          </w:tcPr>
          <w:p>
            <w:pPr>
              <w:spacing w:after="0"/>
            </w:pPr>
            <w:r>
              <w:rPr>
                <w:rFonts w:ascii="Aptos" w:hAnsi="Aptos" w:eastAsia="Aptos"/>
                <w:sz w:val="15"/>
              </w:rPr>
              <w:t>F10</w:t>
            </w:r>
          </w:p>
        </w:tc>
        <w:tc>
          <w:tcPr>
            <w:tcW w:type="dxa" w:w="2016"/>
            <w:tcMar>
              <w:top w:w="90" w:type="dxa"/>
              <w:start w:w="100" w:type="dxa"/>
              <w:bottom w:w="90" w:type="dxa"/>
              <w:end w:w="100" w:type="dxa"/>
            </w:tcMar>
            <w:vAlign w:val="center"/>
          </w:tcPr>
          <w:p>
            <w:pPr>
              <w:spacing w:after="0"/>
            </w:pPr>
            <w:r>
              <w:rPr>
                <w:rFonts w:ascii="Aptos" w:hAnsi="Aptos" w:eastAsia="Aptos"/>
                <w:sz w:val="15"/>
              </w:rPr>
              <w:t>Validation</w:t>
            </w:r>
          </w:p>
        </w:tc>
        <w:tc>
          <w:tcPr>
            <w:tcW w:type="dxa" w:w="2232"/>
            <w:tcMar>
              <w:top w:w="90" w:type="dxa"/>
              <w:start w:w="100" w:type="dxa"/>
              <w:bottom w:w="90" w:type="dxa"/>
              <w:end w:w="100" w:type="dxa"/>
            </w:tcMar>
            <w:vAlign w:val="center"/>
          </w:tcPr>
          <w:p>
            <w:pPr>
              <w:spacing w:after="0"/>
            </w:pPr>
            <w:r>
              <w:rPr>
                <w:rFonts w:ascii="Aptos" w:hAnsi="Aptos" w:eastAsia="Aptos"/>
                <w:sz w:val="15"/>
              </w:rPr>
              <w:t>blind external split</w:t>
            </w:r>
          </w:p>
        </w:tc>
        <w:tc>
          <w:tcPr>
            <w:tcW w:type="dxa" w:w="3600"/>
            <w:tcMar>
              <w:top w:w="90" w:type="dxa"/>
              <w:start w:w="100" w:type="dxa"/>
              <w:bottom w:w="90" w:type="dxa"/>
              <w:end w:w="100" w:type="dxa"/>
            </w:tcMar>
            <w:vAlign w:val="center"/>
          </w:tcPr>
          <w:p>
            <w:pPr>
              <w:spacing w:after="0"/>
            </w:pPr>
            <w:r>
              <w:rPr>
                <w:rFonts w:ascii="Aptos" w:hAnsi="Aptos" w:eastAsia="Aptos"/>
                <w:sz w:val="15"/>
              </w:rPr>
              <w:t>independent performance certificate</w:t>
            </w:r>
          </w:p>
        </w:tc>
        <w:tc>
          <w:tcPr>
            <w:tcW w:type="dxa" w:w="2016"/>
            <w:tcMar>
              <w:top w:w="90" w:type="dxa"/>
              <w:start w:w="100" w:type="dxa"/>
              <w:bottom w:w="90" w:type="dxa"/>
              <w:end w:w="100" w:type="dxa"/>
            </w:tcMar>
            <w:vAlign w:val="center"/>
          </w:tcPr>
          <w:p>
            <w:pPr>
              <w:spacing w:after="0"/>
            </w:pPr>
            <w:r>
              <w:rPr>
                <w:rFonts w:ascii="Aptos" w:hAnsi="Aptos" w:eastAsia="Aptos"/>
                <w:sz w:val="15"/>
              </w:rPr>
              <w:t>leakage/power</w:t>
            </w:r>
          </w:p>
        </w:tc>
      </w:tr>
      <w:tr>
        <w:trPr>
          <w:cantSplit/>
        </w:trPr>
        <w:tc>
          <w:tcPr>
            <w:tcW w:type="dxa" w:w="648"/>
            <w:tcMar>
              <w:top w:w="90" w:type="dxa"/>
              <w:start w:w="100" w:type="dxa"/>
              <w:bottom w:w="90" w:type="dxa"/>
              <w:end w:w="100" w:type="dxa"/>
            </w:tcMar>
            <w:vAlign w:val="center"/>
            <w:shd w:fill="F5F7F9"/>
          </w:tcPr>
          <w:p>
            <w:pPr>
              <w:spacing w:after="0"/>
            </w:pPr>
            <w:r>
              <w:rPr>
                <w:rFonts w:ascii="Aptos" w:hAnsi="Aptos" w:eastAsia="Aptos"/>
                <w:sz w:val="15"/>
              </w:rPr>
              <w:t>F11</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Release</w:t>
            </w:r>
          </w:p>
        </w:tc>
        <w:tc>
          <w:tcPr>
            <w:tcW w:type="dxa" w:w="2232"/>
            <w:tcMar>
              <w:top w:w="90" w:type="dxa"/>
              <w:start w:w="100" w:type="dxa"/>
              <w:bottom w:w="90" w:type="dxa"/>
              <w:end w:w="100" w:type="dxa"/>
            </w:tcMar>
            <w:vAlign w:val="center"/>
            <w:shd w:fill="F5F7F9"/>
          </w:tcPr>
          <w:p>
            <w:pPr>
              <w:spacing w:after="0"/>
            </w:pPr>
            <w:r>
              <w:rPr>
                <w:rFonts w:ascii="Aptos" w:hAnsi="Aptos" w:eastAsia="Aptos"/>
                <w:sz w:val="15"/>
              </w:rPr>
              <w:t>all ledgers</w:t>
            </w:r>
          </w:p>
        </w:tc>
        <w:tc>
          <w:tcPr>
            <w:tcW w:type="dxa" w:w="3600"/>
            <w:tcMar>
              <w:top w:w="90" w:type="dxa"/>
              <w:start w:w="100" w:type="dxa"/>
              <w:bottom w:w="90" w:type="dxa"/>
              <w:end w:w="100" w:type="dxa"/>
            </w:tcMar>
            <w:vAlign w:val="center"/>
            <w:shd w:fill="F5F7F9"/>
          </w:tcPr>
          <w:p>
            <w:pPr>
              <w:spacing w:after="0"/>
            </w:pPr>
            <w:r>
              <w:rPr>
                <w:rFonts w:ascii="Aptos" w:hAnsi="Aptos" w:eastAsia="Aptos"/>
                <w:sz w:val="15"/>
              </w:rPr>
              <w:t>typed verdict + immutable manifest</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any unresolved required blocker</w:t>
            </w:r>
          </w:p>
        </w:tc>
      </w:tr>
    </w:tbl>
    <w:p>
      <w:bookmarkStart w:id="1325" w:name="h_3491"/>
      <w:pPr>
        <w:pStyle w:val="Heading1"/>
        <w:widowControl/>
      </w:pPr>
      <w:r>
        <w:t>392. F₀: источник, идентичность и происхождение</w:t>
      </w:r>
      <w:bookmarkEnd w:id="1325"/>
    </w:p>
    <w:p>
      <w:pPr>
        <w:widowControl/>
      </w:pPr>
      <w:r>
        <w:rPr>
          <w:i w:val="0"/>
        </w:rPr>
        <w:t>F₀ проверяет byte identity, MIME/type, schema version, timestamps как низкодоверительный сигнал, creator/owner metadata, лицензирование и связь с source ledger. Две копии с одинаковым названием не считаются одним источником без хеша или содержательной сверки.</w:t>
      </w:r>
    </w:p>
    <w:p>
      <w:bookmarkStart w:id="2082" w:name="f_24_20"/>
      <w:pPr>
        <w:pStyle w:val="Quote"/>
        <w:widowControl/>
        <w:jc w:val="center"/>
      </w:pPr>
      <w:r>
        <w:t>F₀(S)=OK(S*, Cert_src, B₀) или FAIL(HASH-MISMATCH) или ABSTAIN(SOURCE-AMBIGUOUS).  (24.20)</w:t>
      </w:r>
      <w:bookmarkEnd w:id="2082"/>
    </w:p>
    <w:p>
      <w:bookmarkStart w:id="1326" w:name="h_3494"/>
      <w:pPr>
        <w:pStyle w:val="Heading1"/>
        <w:widowControl/>
      </w:pPr>
      <w:r>
        <w:t>393. F₁: Reper-lift и D/Dom authorization</w:t>
      </w:r>
      <w:bookmarkEnd w:id="1326"/>
    </w:p>
    <w:p>
      <w:pPr>
        <w:widowControl/>
      </w:pPr>
      <w:r>
        <w:rPr>
          <w:i w:val="0"/>
        </w:rPr>
        <w:t>F₁ строит событие@состояние, Reper-четвёрку и однородную координату Λ. Гармоническое условие не создаёт truth-status без D и Dom, согласно formula-chain discipline PILOT-01.</w:t>
      </w:r>
    </w:p>
    <w:p>
      <w:bookmarkStart w:id="2083" w:name="f_24_21"/>
      <w:pPr>
        <w:pStyle w:val="Quote"/>
        <w:widowControl/>
        <w:jc w:val="center"/>
      </w:pPr>
      <w:r>
        <w:t>F₁(x)=OK(Rep_x,Λ_x,Cert_D) только если Valid(D_x)∧Admissible(Dom_x).  (24.21)</w:t>
      </w:r>
      <w:bookmarkEnd w:id="2083"/>
    </w:p>
    <w:p>
      <w:pPr>
        <w:widowControl/>
      </w:pPr>
      <w:r>
        <w:rPr>
          <w:i w:val="0"/>
        </w:rPr>
        <w:t>Если D отсутствует, создаётся GAP-ASSUMP-MISSING; если Dom отсутствует, GAP-DOMAIN-MISSING. Это blocker, а не «низкая уверенность».</w:t>
      </w:r>
    </w:p>
    <w:p>
      <w:bookmarkStart w:id="1327" w:name="h_3498"/>
      <w:pPr>
        <w:pStyle w:val="Heading1"/>
        <w:widowControl/>
      </w:pPr>
      <w:r>
        <w:t>394. F₂-F₃: алгебро-геометрическое ядро NAPG</w:t>
      </w:r>
      <w:bookmarkEnd w:id="1327"/>
    </w:p>
    <w:p>
      <w:pPr>
        <w:widowControl/>
      </w:pPr>
      <w:r>
        <w:rPr>
          <w:i w:val="0"/>
        </w:rPr>
        <w:t>Алгебраический модуль проверяет носитель, поле, градуировку, билинейность, замкнутость, ассоциатор и структурные инварианты. Геометрический модуль проверяет атлас, переходы, расслоение, связность, кривизну и голономию. Неассоциативность операции в волокне не переносится на композицию переходных отображений без 2-категориальной структуры.</w:t>
      </w:r>
    </w:p>
    <w:p>
      <w:bookmarkStart w:id="2084" w:name="f_24_22"/>
      <w:pPr>
        <w:pStyle w:val="Quote"/>
        <w:widowControl/>
        <w:jc w:val="center"/>
      </w:pPr>
      <w:r>
        <w:t>Cert_NAPG=(Ass_⊙, nuclei, invariants, atlas, cocycle, ∇,R_∇,Hol_D; Dom).  (24.22)</w:t>
      </w:r>
      <w:bookmarkEnd w:id="2084"/>
    </w:p>
    <w:p>
      <w:bookmarkStart w:id="1328" w:name="h_3501"/>
      <w:pPr>
        <w:pStyle w:val="Heading1"/>
        <w:widowControl/>
      </w:pPr>
      <w:r>
        <w:t>395. F₄: препятствия, когомологии и внешний E-мост</w:t>
      </w:r>
      <w:bookmarkEnd w:id="1328"/>
    </w:p>
    <w:p>
      <w:pPr>
        <w:widowControl/>
      </w:pPr>
      <w:r>
        <w:rPr>
          <w:i w:val="0"/>
        </w:rPr>
        <w:t>F₄ строит внутренний минимальный комплекс, obstruction carrier и, при выполнении мостовых гипотез, внешний образ Π_E. Well-definedness, независимость от представителя и естественность проверяются раздельно.</w:t>
      </w:r>
    </w:p>
    <w:p>
      <w:bookmarkStart w:id="2085" w:name="f_24_23"/>
      <w:pPr>
        <w:pStyle w:val="Quote"/>
        <w:widowControl/>
        <w:jc w:val="center"/>
      </w:pPr>
      <w:r>
        <w:t>Π_E: 𝒪_B ⇀ H³(E),  status(Π_E)≤COND до закрытия B1-B8.  (24.23)</w:t>
      </w:r>
      <w:bookmarkEnd w:id="2085"/>
    </w:p>
    <w:p>
      <w:pPr>
        <w:widowControl/>
      </w:pPr>
      <w:r>
        <w:rPr>
          <w:i w:val="0"/>
        </w:rPr>
        <w:t>Нулевой образ не означает отсутствия внутреннего препятствия без инъективности. Ненулевой образ может дать одностороннюю детекцию, но не физический эффект.</w:t>
      </w:r>
    </w:p>
    <w:p>
      <w:bookmarkStart w:id="1329" w:name="h_3505"/>
      <w:pPr>
        <w:pStyle w:val="Heading1"/>
        <w:widowControl/>
      </w:pPr>
      <w:r>
        <w:t>396. F₅: global/derived/virtual слой</w:t>
      </w:r>
      <w:bookmarkEnd w:id="1329"/>
    </w:p>
    <w:p>
      <w:pPr>
        <w:widowControl/>
      </w:pPr>
      <w:r>
        <w:rPr>
          <w:i w:val="0"/>
        </w:rPr>
        <w:t>F₅ объединяет descent, Kuranishi charts, stratified moduli, wall-crossing, monodromy, stacky coherence, virtual classes и refined invariants. Каждый уровень имеет собственный carrier и не редуцируется автоматически к вероятности или времени.</w:t>
      </w:r>
    </w:p>
    <w:p>
      <w:bookmarkStart w:id="2086" w:name="f_24_24"/>
      <w:pPr>
        <w:pStyle w:val="Quote"/>
        <w:widowControl/>
        <w:jc w:val="center"/>
      </w:pPr>
      <w:r>
        <w:t>GlobalOK ⇔ Descent∧Coherence∧Orientation∧Transport∧NoRequiredBlocker.  (24.24)</w:t>
      </w:r>
      <w:bookmarkEnd w:id="2086"/>
    </w:p>
    <w:p>
      <w:bookmarkStart w:id="1330" w:name="h_3508"/>
      <w:pPr>
        <w:pStyle w:val="Heading1"/>
        <w:widowControl/>
      </w:pPr>
      <w:r>
        <w:t>397. F₆: временной интерфейс и эволюция</w:t>
      </w:r>
      <w:bookmarkEnd w:id="1330"/>
    </w:p>
    <w:p>
      <w:pPr>
        <w:widowControl/>
      </w:pPr>
      <w:r>
        <w:rPr>
          <w:i w:val="0"/>
        </w:rPr>
        <w:t>Эволюционный модуль принимает generator/evolution family, path domain и initial state. Он проверяет существование, uniqueness там, где заявлена, cocycle/semigroup law, non-anticipation и сохранение admissible sector.</w:t>
      </w:r>
    </w:p>
    <w:p>
      <w:bookmarkStart w:id="2087" w:name="f_24_25"/>
      <w:pPr>
        <w:pStyle w:val="Quote"/>
        <w:widowControl/>
        <w:jc w:val="center"/>
      </w:pPr>
      <w:r>
        <w:t>𝒰(t,r)𝒰(r,s)=𝒰(t,s),  s≤r≤t,  при согласованных Dom.  (24.25)</w:t>
      </w:r>
      <w:bookmarkEnd w:id="2087"/>
    </w:p>
    <w:p>
      <w:pPr>
        <w:widowControl/>
      </w:pPr>
      <w:r>
        <w:rPr>
          <w:i w:val="0"/>
        </w:rPr>
        <w:t>Параметр t считается физическим временем только после отдельной операционализации. В остальных случаях это deformation, iteration или bookkeeping parameter.</w:t>
      </w:r>
    </w:p>
    <w:p>
      <w:bookmarkStart w:id="1331" w:name="h_3512"/>
      <w:pPr>
        <w:pStyle w:val="Heading1"/>
        <w:widowControl/>
      </w:pPr>
      <w:r>
        <w:t>398. F₇-F₈: стохастический закон и причинный firewall</w:t>
      </w:r>
      <w:bookmarkEnd w:id="1331"/>
    </w:p>
    <w:p>
      <w:pPr>
        <w:widowControl/>
      </w:pPr>
      <w:r>
        <w:rPr>
          <w:i w:val="0"/>
        </w:rPr>
        <w:t>Стохастический модуль проверяет filtration, transition law/generator, martingale problem, stopping conditions и calibration. Причинный модуль отдельно проверяет intervention semantics, identification и transportability.</w:t>
      </w:r>
    </w:p>
    <w:p>
      <w:bookmarkStart w:id="2088" w:name="f_24_26"/>
      <w:pPr>
        <w:pStyle w:val="Quote"/>
        <w:widowControl/>
        <w:jc w:val="center"/>
      </w:pPr>
      <w:r>
        <w:t>P_obs(Y|X) ≠ P(Y|do(X)) без структурного моста.  (24.26)</w:t>
      </w:r>
      <w:bookmarkEnd w:id="2088"/>
    </w:p>
    <w:p>
      <w:pPr>
        <w:widowControl/>
      </w:pPr>
      <w:r>
        <w:rPr>
          <w:i w:val="0"/>
        </w:rPr>
        <w:t>Даже идеальная наблюдательная калибровка не идентифицирует causal effect. Если causal Mode не запрошен, этот компонент может оставаться UNAVAILABLE без блокировки наблюдательного прогноза; если запрошен, он блокирует release.</w:t>
      </w:r>
    </w:p>
    <w:p>
      <w:bookmarkStart w:id="1332" w:name="h_3516"/>
      <w:pPr>
        <w:pStyle w:val="Heading1"/>
        <w:widowControl/>
      </w:pPr>
      <w:r>
        <w:t>399. F₉: rare-event и robust finite-sample слой</w:t>
      </w:r>
      <w:bookmarkEnd w:id="1332"/>
    </w:p>
    <w:p>
      <w:pPr>
        <w:widowControl/>
      </w:pPr>
      <w:r>
        <w:rPr>
          <w:i w:val="0"/>
        </w:rPr>
        <w:t>F₉ различает support impossibility, finite-sample risk bound, exponential suppression и low-action candidate. Он проверяет LDP, continuity, remainder, ambiguity coverage, importance weights и tail assumptions.</w:t>
      </w:r>
    </w:p>
    <w:p>
      <w:bookmarkStart w:id="2089" w:name="f_24_27"/>
      <w:pPr>
        <w:pStyle w:val="Quote"/>
        <w:widowControl/>
        <w:jc w:val="center"/>
      </w:pPr>
      <w:r>
        <w:t>V_rare∈{IMPOSSIBLE-IN-MODEL, FINITE-SAMPLE-RISK-BOUND, EXPONENTIALLY-SUPPRESSED-IN-MODEL, CANDIDATE-RARE-TRANSITION, ABSTAIN}.  (24.27)</w:t>
      </w:r>
      <w:bookmarkEnd w:id="2089"/>
    </w:p>
    <w:p>
      <w:bookmarkStart w:id="1333" w:name="h_3519"/>
      <w:pPr>
        <w:pStyle w:val="Heading1"/>
        <w:widowControl/>
      </w:pPr>
      <w:r>
        <w:t>400. F₁₀-F₁₁: внешняя проверка и release gate</w:t>
      </w:r>
      <w:bookmarkEnd w:id="1333"/>
    </w:p>
    <w:p>
      <w:pPr>
        <w:widowControl/>
      </w:pPr>
      <w:r>
        <w:rPr>
          <w:i w:val="0"/>
        </w:rPr>
        <w:t>Validation использует только заранее отделённый внешний набор или независимый run. Release gate сравнивает запрошенный Mode с фактически доступными координатами вердикта, проверяет бюджеты, blockers, хеши и запрещённые повышения статуса.</w:t>
      </w:r>
    </w:p>
    <w:p>
      <w:bookmarkStart w:id="2090" w:name="f_24_28"/>
      <w:pPr>
        <w:pStyle w:val="Quote"/>
        <w:widowControl/>
        <w:jc w:val="center"/>
      </w:pPr>
      <w:r>
        <w:t>Release=OK ⇔ Required(V,Q)=PASS ∧ B≤B* ∧ Block_required=∅ ∧ HashChain=VALID.  (24.28)</w:t>
      </w:r>
      <w:bookmarkEnd w:id="2090"/>
    </w:p>
    <w:p>
      <w:pPr>
        <w:widowControl/>
      </w:pPr>
      <w:r>
        <w:rPr>
          <w:i w:val="0"/>
        </w:rPr>
        <w:t>Внутренняя cross-validation не заменяет независимый EXT-RUN для F-1-F-14. Сколько бы раз ни перемешивался один и тот же набор, он не становится внешним. Прачечная тоже не превращает рубашку в нового владельца.</w:t>
      </w:r>
    </w:p>
    <w:p>
      <w:bookmarkStart w:id="1334" w:name="h_3523"/>
      <w:pPr>
        <w:pStyle w:val="Heading1"/>
        <w:widowControl/>
      </w:pPr>
      <w:r>
        <w:t>401. Составной вердикт вместо одного ярлыка</w:t>
      </w:r>
      <w:bookmarkEnd w:id="1334"/>
    </w:p>
    <w:p>
      <w:bookmarkStart w:id="1690" w:name="s_DEF_24_6"/>
      <w:pPr>
        <w:widowControl/>
      </w:pPr>
      <w:r>
        <w:rPr>
          <w:i w:val="0"/>
        </w:rPr>
        <w:t>Определение 24.6. Итоговый вердикт есть кортеж</w:t>
      </w:r>
      <w:bookmarkEnd w:id="1690"/>
    </w:p>
    <w:p>
      <w:bookmarkStart w:id="2091" w:name="f_24_29"/>
      <w:pPr>
        <w:pStyle w:val="Quote"/>
        <w:widowControl/>
        <w:jc w:val="center"/>
      </w:pPr>
      <w:r>
        <w:t>V=(V_struct,V_geom,V_ob,V_global,V_dyn,V_prob,V_causal,V_phys).  (24.29)</w:t>
      </w:r>
      <w:bookmarkEnd w:id="2091"/>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4876"/>
        <w:gridCol w:w="4876"/>
      </w:tblGrid>
      <w:tr>
        <w:trPr>
          <w:tblHeader w:val="true"/>
          <w:cantSplit/>
        </w:trPr>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7"/>
              </w:rPr>
              <w:t>Координата</w:t>
            </w:r>
          </w:p>
        </w:tc>
        <w:tc>
          <w:tcPr>
            <w:tcW w:type="dxa" w:w="7344"/>
            <w:shd w:fill="173B67"/>
            <w:tcMar>
              <w:top w:w="110" w:type="dxa"/>
              <w:start w:w="110" w:type="dxa"/>
              <w:bottom w:w="110" w:type="dxa"/>
              <w:end w:w="110" w:type="dxa"/>
            </w:tcMar>
            <w:vAlign w:val="center"/>
          </w:tcPr>
          <w:p>
            <w:pPr>
              <w:jc w:val="center"/>
            </w:pPr>
            <w:r>
              <w:rPr>
                <w:rFonts w:ascii="Aptos" w:hAnsi="Aptos" w:eastAsia="Aptos"/>
                <w:b/>
                <w:color w:val="FFFFFF"/>
                <w:sz w:val="17"/>
              </w:rPr>
              <w:t>Допустимые значения</w:t>
            </w:r>
          </w:p>
        </w:tc>
      </w:tr>
      <w:tr>
        <w:trPr>
          <w:cantSplit/>
        </w:trPr>
        <w:tc>
          <w:tcPr>
            <w:tcW w:type="dxa" w:w="2016"/>
            <w:tcMar>
              <w:top w:w="90" w:type="dxa"/>
              <w:start w:w="100" w:type="dxa"/>
              <w:bottom w:w="90" w:type="dxa"/>
              <w:end w:w="100" w:type="dxa"/>
            </w:tcMar>
            <w:vAlign w:val="center"/>
          </w:tcPr>
          <w:p>
            <w:pPr>
              <w:spacing w:after="0"/>
            </w:pPr>
            <w:r>
              <w:rPr>
                <w:rFonts w:ascii="Aptos" w:hAnsi="Aptos" w:eastAsia="Aptos"/>
                <w:sz w:val="17"/>
              </w:rPr>
              <w:t>V_struct</w:t>
            </w:r>
          </w:p>
        </w:tc>
        <w:tc>
          <w:tcPr>
            <w:tcW w:type="dxa" w:w="7344"/>
            <w:tcMar>
              <w:top w:w="90" w:type="dxa"/>
              <w:start w:w="100" w:type="dxa"/>
              <w:bottom w:w="90" w:type="dxa"/>
              <w:end w:w="100" w:type="dxa"/>
            </w:tcMar>
            <w:vAlign w:val="center"/>
          </w:tcPr>
          <w:p>
            <w:pPr>
              <w:spacing w:after="0"/>
            </w:pPr>
            <w:r>
              <w:rPr>
                <w:rFonts w:ascii="Aptos" w:hAnsi="Aptos" w:eastAsia="Aptos"/>
                <w:sz w:val="17"/>
              </w:rPr>
              <w:t>NO-CHANGE-IN-MODEL / CANDIDATE / FAIL / ABSTAIN</w:t>
            </w:r>
          </w:p>
        </w:tc>
      </w:tr>
      <w:tr>
        <w:trPr>
          <w:cantSplit/>
        </w:trPr>
        <w:tc>
          <w:tcPr>
            <w:tcW w:type="dxa" w:w="2016"/>
            <w:tcMar>
              <w:top w:w="90" w:type="dxa"/>
              <w:start w:w="100" w:type="dxa"/>
              <w:bottom w:w="90" w:type="dxa"/>
              <w:end w:w="100" w:type="dxa"/>
            </w:tcMar>
            <w:vAlign w:val="center"/>
            <w:shd w:fill="F5F7F9"/>
          </w:tcPr>
          <w:p>
            <w:pPr>
              <w:spacing w:after="0"/>
            </w:pPr>
            <w:r>
              <w:rPr>
                <w:rFonts w:ascii="Aptos" w:hAnsi="Aptos" w:eastAsia="Aptos"/>
                <w:sz w:val="17"/>
              </w:rPr>
              <w:t>V_geom</w:t>
            </w:r>
          </w:p>
        </w:tc>
        <w:tc>
          <w:tcPr>
            <w:tcW w:type="dxa" w:w="7344"/>
            <w:tcMar>
              <w:top w:w="90" w:type="dxa"/>
              <w:start w:w="100" w:type="dxa"/>
              <w:bottom w:w="90" w:type="dxa"/>
              <w:end w:w="100" w:type="dxa"/>
            </w:tcMar>
            <w:vAlign w:val="center"/>
            <w:shd w:fill="F5F7F9"/>
          </w:tcPr>
          <w:p>
            <w:pPr>
              <w:spacing w:after="0"/>
            </w:pPr>
            <w:r>
              <w:rPr>
                <w:rFonts w:ascii="Aptos" w:hAnsi="Aptos" w:eastAsia="Aptos"/>
                <w:sz w:val="17"/>
              </w:rPr>
              <w:t>WELL-DEFINED / LOCAL-ONLY / GLOBAL / FAIL / ABSTAIN</w:t>
            </w:r>
          </w:p>
        </w:tc>
      </w:tr>
      <w:tr>
        <w:trPr>
          <w:cantSplit/>
        </w:trPr>
        <w:tc>
          <w:tcPr>
            <w:tcW w:type="dxa" w:w="2016"/>
            <w:tcMar>
              <w:top w:w="90" w:type="dxa"/>
              <w:start w:w="100" w:type="dxa"/>
              <w:bottom w:w="90" w:type="dxa"/>
              <w:end w:w="100" w:type="dxa"/>
            </w:tcMar>
            <w:vAlign w:val="center"/>
          </w:tcPr>
          <w:p>
            <w:pPr>
              <w:spacing w:after="0"/>
            </w:pPr>
            <w:r>
              <w:rPr>
                <w:rFonts w:ascii="Aptos" w:hAnsi="Aptos" w:eastAsia="Aptos"/>
                <w:sz w:val="17"/>
              </w:rPr>
              <w:t>V_ob</w:t>
            </w:r>
          </w:p>
        </w:tc>
        <w:tc>
          <w:tcPr>
            <w:tcW w:type="dxa" w:w="7344"/>
            <w:tcMar>
              <w:top w:w="90" w:type="dxa"/>
              <w:start w:w="100" w:type="dxa"/>
              <w:bottom w:w="90" w:type="dxa"/>
              <w:end w:w="100" w:type="dxa"/>
            </w:tcMar>
            <w:vAlign w:val="center"/>
          </w:tcPr>
          <w:p>
            <w:pPr>
              <w:spacing w:after="0"/>
            </w:pPr>
            <w:r>
              <w:rPr>
                <w:rFonts w:ascii="Aptos" w:hAnsi="Aptos" w:eastAsia="Aptos"/>
                <w:sz w:val="17"/>
              </w:rPr>
              <w:t>OBSTRUCTED / UNOBSTRUCTED-IN-CERTIFIED-COMPLEX / UNDETECTED / ABSTAIN</w:t>
            </w:r>
          </w:p>
        </w:tc>
      </w:tr>
      <w:tr>
        <w:trPr>
          <w:cantSplit/>
        </w:trPr>
        <w:tc>
          <w:tcPr>
            <w:tcW w:type="dxa" w:w="2016"/>
            <w:tcMar>
              <w:top w:w="90" w:type="dxa"/>
              <w:start w:w="100" w:type="dxa"/>
              <w:bottom w:w="90" w:type="dxa"/>
              <w:end w:w="100" w:type="dxa"/>
            </w:tcMar>
            <w:vAlign w:val="center"/>
            <w:shd w:fill="F5F7F9"/>
          </w:tcPr>
          <w:p>
            <w:pPr>
              <w:spacing w:after="0"/>
            </w:pPr>
            <w:r>
              <w:rPr>
                <w:rFonts w:ascii="Aptos" w:hAnsi="Aptos" w:eastAsia="Aptos"/>
                <w:sz w:val="17"/>
              </w:rPr>
              <w:t>V_global</w:t>
            </w:r>
          </w:p>
        </w:tc>
        <w:tc>
          <w:tcPr>
            <w:tcW w:type="dxa" w:w="7344"/>
            <w:tcMar>
              <w:top w:w="90" w:type="dxa"/>
              <w:start w:w="100" w:type="dxa"/>
              <w:bottom w:w="90" w:type="dxa"/>
              <w:end w:w="100" w:type="dxa"/>
            </w:tcMar>
            <w:vAlign w:val="center"/>
            <w:shd w:fill="F5F7F9"/>
          </w:tcPr>
          <w:p>
            <w:pPr>
              <w:spacing w:after="0"/>
            </w:pPr>
            <w:r>
              <w:rPr>
                <w:rFonts w:ascii="Aptos" w:hAnsi="Aptos" w:eastAsia="Aptos"/>
                <w:sz w:val="17"/>
              </w:rPr>
              <w:t>NO-GLOBAL-TRANSITION / CANDIDATE-GLOBAL / ABSTAIN</w:t>
            </w:r>
          </w:p>
        </w:tc>
      </w:tr>
      <w:tr>
        <w:trPr>
          <w:cantSplit/>
        </w:trPr>
        <w:tc>
          <w:tcPr>
            <w:tcW w:type="dxa" w:w="2016"/>
            <w:tcMar>
              <w:top w:w="90" w:type="dxa"/>
              <w:start w:w="100" w:type="dxa"/>
              <w:bottom w:w="90" w:type="dxa"/>
              <w:end w:w="100" w:type="dxa"/>
            </w:tcMar>
            <w:vAlign w:val="center"/>
          </w:tcPr>
          <w:p>
            <w:pPr>
              <w:spacing w:after="0"/>
            </w:pPr>
            <w:r>
              <w:rPr>
                <w:rFonts w:ascii="Aptos" w:hAnsi="Aptos" w:eastAsia="Aptos"/>
                <w:sz w:val="17"/>
              </w:rPr>
              <w:t>V_dyn</w:t>
            </w:r>
          </w:p>
        </w:tc>
        <w:tc>
          <w:tcPr>
            <w:tcW w:type="dxa" w:w="7344"/>
            <w:tcMar>
              <w:top w:w="90" w:type="dxa"/>
              <w:start w:w="100" w:type="dxa"/>
              <w:bottom w:w="90" w:type="dxa"/>
              <w:end w:w="100" w:type="dxa"/>
            </w:tcMar>
            <w:vAlign w:val="center"/>
          </w:tcPr>
          <w:p>
            <w:pPr>
              <w:spacing w:after="0"/>
            </w:pPr>
            <w:r>
              <w:rPr>
                <w:rFonts w:ascii="Aptos" w:hAnsi="Aptos" w:eastAsia="Aptos"/>
                <w:sz w:val="17"/>
              </w:rPr>
              <w:t>NO-HIT / TIME-CORRIDOR / CANDIDATE / ABSTAIN</w:t>
            </w:r>
          </w:p>
        </w:tc>
      </w:tr>
      <w:tr>
        <w:trPr>
          <w:cantSplit/>
        </w:trPr>
        <w:tc>
          <w:tcPr>
            <w:tcW w:type="dxa" w:w="2016"/>
            <w:tcMar>
              <w:top w:w="90" w:type="dxa"/>
              <w:start w:w="100" w:type="dxa"/>
              <w:bottom w:w="90" w:type="dxa"/>
              <w:end w:w="100" w:type="dxa"/>
            </w:tcMar>
            <w:vAlign w:val="center"/>
            <w:shd w:fill="F5F7F9"/>
          </w:tcPr>
          <w:p>
            <w:pPr>
              <w:spacing w:after="0"/>
            </w:pPr>
            <w:r>
              <w:rPr>
                <w:rFonts w:ascii="Aptos" w:hAnsi="Aptos" w:eastAsia="Aptos"/>
                <w:sz w:val="17"/>
              </w:rPr>
              <w:t>V_prob</w:t>
            </w:r>
          </w:p>
        </w:tc>
        <w:tc>
          <w:tcPr>
            <w:tcW w:type="dxa" w:w="7344"/>
            <w:tcMar>
              <w:top w:w="90" w:type="dxa"/>
              <w:start w:w="100" w:type="dxa"/>
              <w:bottom w:w="90" w:type="dxa"/>
              <w:end w:w="100" w:type="dxa"/>
            </w:tcMar>
            <w:vAlign w:val="center"/>
            <w:shd w:fill="F5F7F9"/>
          </w:tcPr>
          <w:p>
            <w:pPr>
              <w:spacing w:after="0"/>
            </w:pPr>
            <w:r>
              <w:rPr>
                <w:rFonts w:ascii="Aptos" w:hAnsi="Aptos" w:eastAsia="Aptos"/>
                <w:sz w:val="17"/>
              </w:rPr>
              <w:t>RISK-BOUND / EXP-SUPPRESSED / UNCERTIFIED</w:t>
            </w:r>
          </w:p>
        </w:tc>
      </w:tr>
      <w:tr>
        <w:trPr>
          <w:cantSplit/>
        </w:trPr>
        <w:tc>
          <w:tcPr>
            <w:tcW w:type="dxa" w:w="2016"/>
            <w:tcMar>
              <w:top w:w="90" w:type="dxa"/>
              <w:start w:w="100" w:type="dxa"/>
              <w:bottom w:w="90" w:type="dxa"/>
              <w:end w:w="100" w:type="dxa"/>
            </w:tcMar>
            <w:vAlign w:val="center"/>
          </w:tcPr>
          <w:p>
            <w:pPr>
              <w:spacing w:after="0"/>
            </w:pPr>
            <w:r>
              <w:rPr>
                <w:rFonts w:ascii="Aptos" w:hAnsi="Aptos" w:eastAsia="Aptos"/>
                <w:sz w:val="17"/>
              </w:rPr>
              <w:t>V_causal</w:t>
            </w:r>
          </w:p>
        </w:tc>
        <w:tc>
          <w:tcPr>
            <w:tcW w:type="dxa" w:w="7344"/>
            <w:tcMar>
              <w:top w:w="90" w:type="dxa"/>
              <w:start w:w="100" w:type="dxa"/>
              <w:bottom w:w="90" w:type="dxa"/>
              <w:end w:w="100" w:type="dxa"/>
            </w:tcMar>
            <w:vAlign w:val="center"/>
          </w:tcPr>
          <w:p>
            <w:pPr>
              <w:spacing w:after="0"/>
            </w:pPr>
            <w:r>
              <w:rPr>
                <w:rFonts w:ascii="Aptos" w:hAnsi="Aptos" w:eastAsia="Aptos"/>
                <w:sz w:val="17"/>
              </w:rPr>
              <w:t>IDENTIFIED / PARTIAL-BOUND / UNAVAILABLE / FALSIFIED</w:t>
            </w:r>
          </w:p>
        </w:tc>
      </w:tr>
      <w:tr>
        <w:trPr>
          <w:cantSplit/>
        </w:trPr>
        <w:tc>
          <w:tcPr>
            <w:tcW w:type="dxa" w:w="2016"/>
            <w:tcMar>
              <w:top w:w="90" w:type="dxa"/>
              <w:start w:w="100" w:type="dxa"/>
              <w:bottom w:w="90" w:type="dxa"/>
              <w:end w:w="100" w:type="dxa"/>
            </w:tcMar>
            <w:vAlign w:val="center"/>
            <w:shd w:fill="F5F7F9"/>
          </w:tcPr>
          <w:p>
            <w:pPr>
              <w:spacing w:after="0"/>
            </w:pPr>
            <w:r>
              <w:rPr>
                <w:rFonts w:ascii="Aptos" w:hAnsi="Aptos" w:eastAsia="Aptos"/>
                <w:sz w:val="17"/>
              </w:rPr>
              <w:t>V_phys</w:t>
            </w:r>
          </w:p>
        </w:tc>
        <w:tc>
          <w:tcPr>
            <w:tcW w:type="dxa" w:w="7344"/>
            <w:tcMar>
              <w:top w:w="90" w:type="dxa"/>
              <w:start w:w="100" w:type="dxa"/>
              <w:bottom w:w="90" w:type="dxa"/>
              <w:end w:w="100" w:type="dxa"/>
            </w:tcMar>
            <w:vAlign w:val="center"/>
            <w:shd w:fill="F5F7F9"/>
          </w:tcPr>
          <w:p>
            <w:pPr>
              <w:spacing w:after="0"/>
            </w:pPr>
            <w:r>
              <w:rPr>
                <w:rFonts w:ascii="Aptos" w:hAnsi="Aptos" w:eastAsia="Aptos"/>
                <w:sz w:val="17"/>
              </w:rPr>
              <w:t>NOT-TESTED / EXT-RUN-SUPPORTED / EXT-RUN-FALSIFIED</w:t>
            </w:r>
          </w:p>
        </w:tc>
      </w:tr>
    </w:tbl>
    <w:p>
      <w:pPr>
        <w:widowControl/>
      </w:pPr>
      <w:r>
        <w:rPr>
          <w:i w:val="0"/>
        </w:rPr>
        <w:t>Сводный ярлык может отображаться для интерфейса, но полный кортеж сохраняется в сертификате. Компонента V_phys по умолчанию NOT-TESTED и не наследует математические статусы.</w:t>
      </w:r>
    </w:p>
    <w:p>
      <w:bookmarkStart w:id="1335" w:name="h_3527"/>
      <w:pPr>
        <w:pStyle w:val="Heading1"/>
        <w:widowControl/>
      </w:pPr>
      <w:r>
        <w:t>402. Прогноз как множество сертифицированных продолжений</w:t>
      </w:r>
      <w:bookmarkEnd w:id="1335"/>
    </w:p>
    <w:p>
      <w:pPr>
        <w:widowControl/>
      </w:pPr>
      <w:r>
        <w:rPr>
          <w:i w:val="0"/>
        </w:rPr>
        <w:t>Пусть 𝒞(Q) — множество кандидатов, прошедших structural/dynamic gates. Определим</w:t>
      </w:r>
    </w:p>
    <w:p>
      <w:bookmarkStart w:id="2092" w:name="f_24_30"/>
      <w:pPr>
        <w:pStyle w:val="Quote"/>
        <w:widowControl/>
        <w:jc w:val="center"/>
      </w:pPr>
      <w:r>
        <w:t>Pred(Q)= {z∈𝒞(Q): margin(z,Δ_safe)≥m*, B(z)≼B*, Valid(D_z), Dom_z}.  (24.30)</w:t>
      </w:r>
      <w:bookmarkEnd w:id="2092"/>
    </w:p>
    <w:p>
      <w:pPr>
        <w:widowControl/>
      </w:pPr>
      <w:r>
        <w:rPr>
          <w:i w:val="0"/>
        </w:rPr>
        <w:t>Если Pred(Q) содержит несколько несравнимых элементов, оператор возвращает set-valued forecast, Pareto frontier или интервальный carrier. Выбор одного элемента требует loss/utility, указанных в Q.</w:t>
      </w:r>
    </w:p>
    <w:p>
      <w:pPr>
        <w:widowControl/>
      </w:pPr>
      <w:r>
        <w:rPr>
          <w:i w:val="0"/>
        </w:rPr>
        <w:t>Если множество пусто из-за blockers, возвращается ABSTAIN; если пустота доказана как непересечение support, допускается IMPOSSIBLE-IN-MODEL. Эти две пустоты различны.</w:t>
      </w:r>
    </w:p>
    <w:p>
      <w:bookmarkStart w:id="1336" w:name="h_3532"/>
      <w:pPr>
        <w:pStyle w:val="Heading1"/>
        <w:widowControl/>
      </w:pPr>
      <w:r>
        <w:t>403. Теорема о монотонности ABSTAIN</w:t>
      </w:r>
      <w:bookmarkEnd w:id="1336"/>
    </w:p>
    <w:p>
      <w:bookmarkStart w:id="1691" w:name="s_THM_24_3"/>
      <w:pPr>
        <w:widowControl/>
      </w:pPr>
      <w:r>
        <w:rPr>
          <w:i w:val="0"/>
        </w:rPr>
        <w:t>Теорема 24.3. Пусть Block(Q)⊆Block(Q′) и все остальные данные одинаковы. Если 𝔓_KLT(Q)=ABSTAIN из-за обязательного blocker b, то 𝔓_KLT(Q′) не может стать OK без proof object, закрывающего b или доказывающего его нерелевантность для запрошенного Mode.</w:t>
      </w:r>
      <w:bookmarkEnd w:id="1691"/>
    </w:p>
    <w:p>
      <w:pPr>
        <w:widowControl/>
      </w:pPr>
      <w:r>
        <w:rPr>
          <w:i w:val="0"/>
        </w:rPr>
        <w:t>Доказательство. Release predicate содержит условие Block_required=∅. Простое добавление blockers не меняет это условие на истинное. Изменение статуса возможно только при изменении графа зависимостей с доказательством нерелевантности либо при добавлении закрывающего сертификата. □</w:t>
      </w:r>
    </w:p>
    <w:p>
      <w:pPr>
        <w:widowControl/>
      </w:pPr>
      <w:r>
        <w:rPr>
          <w:i w:val="0"/>
        </w:rPr>
        <w:t>Следствие. Перезапуск программы, увеличение числа знаков после запятой и более убедительная цветовая палитра не закрывают математический blocker.</w:t>
      </w:r>
    </w:p>
    <w:p>
      <w:bookmarkStart w:id="1337" w:name="h_3536"/>
      <w:pPr>
        <w:pStyle w:val="Heading1"/>
        <w:widowControl/>
      </w:pPr>
      <w:r>
        <w:t>404. Общая условная теорема end-to-end безопасности</w:t>
      </w:r>
      <w:bookmarkEnd w:id="1337"/>
    </w:p>
    <w:p>
      <w:bookmarkStart w:id="1692" w:name="s_THM_24_4"/>
      <w:pPr>
        <w:widowControl/>
      </w:pPr>
      <w:r>
        <w:rPr>
          <w:i w:val="0"/>
        </w:rPr>
        <w:t>Теорема 24.4 (KLT-RBD end-to-end safety theorem). [COND] Для запроса Q и цепи F₀,…,F₁₁ предположим H1-H24:</w:t>
      </w:r>
      <w:bookmarkEnd w:id="1692"/>
    </w:p>
    <w:p>
      <w:pPr>
        <w:pStyle w:val="ListNumber"/>
        <w:widowControl/>
      </w:pPr>
      <w:r>
        <w:t>H1: source identity, schema и provenance подтверждены;</w:t>
      </w:r>
    </w:p>
    <w:p>
      <w:pPr>
        <w:pStyle w:val="ListNumber"/>
        <w:widowControl/>
      </w:pPr>
      <w:r>
        <w:t>H2: все Dom/Cod и единицы согласованы;</w:t>
      </w:r>
    </w:p>
    <w:p>
      <w:pPr>
        <w:pStyle w:val="ListNumber"/>
        <w:widowControl/>
      </w:pPr>
      <w:r>
        <w:t>H3: Reper-lift определён и (N,Q)≠(0,0);</w:t>
      </w:r>
    </w:p>
    <w:p>
      <w:pPr>
        <w:pStyle w:val="ListNumber"/>
        <w:widowControl/>
      </w:pPr>
      <w:r>
        <w:t>H4: D и Dom валидны для каждого обязательного узла;</w:t>
      </w:r>
    </w:p>
    <w:p>
      <w:pPr>
        <w:pStyle w:val="ListNumber"/>
        <w:widowControl/>
      </w:pPr>
      <w:r>
        <w:t>H5: алгебраические операции замкнуты и типизированы;</w:t>
      </w:r>
    </w:p>
    <w:p>
      <w:pPr>
        <w:pStyle w:val="ListNumber"/>
        <w:widowControl/>
      </w:pPr>
      <w:r>
        <w:t>H6: ассоциаторные/геометрические инварианты вычислены с сертификатом;</w:t>
      </w:r>
    </w:p>
    <w:p>
      <w:pPr>
        <w:pStyle w:val="ListNumber"/>
        <w:widowControl/>
      </w:pPr>
      <w:r>
        <w:t>H7: descent/cocycle/coherence условия закрыты там, где нужен global output;</w:t>
      </w:r>
    </w:p>
    <w:p>
      <w:pPr>
        <w:pStyle w:val="ListNumber"/>
        <w:widowControl/>
      </w:pPr>
      <w:r>
        <w:t>H8: obstruction quotients well-defined;</w:t>
      </w:r>
    </w:p>
    <w:p>
      <w:pPr>
        <w:pStyle w:val="ListNumber"/>
        <w:widowControl/>
      </w:pPr>
      <w:r>
        <w:t>H9: внешний мост Π_E используется только в доказанной области B1-B8;</w:t>
      </w:r>
    </w:p>
    <w:p>
      <w:pPr>
        <w:pStyle w:val="ListNumber"/>
        <w:widowControl/>
      </w:pPr>
      <w:r>
        <w:t>H10: moduli/virtual/refined переходы имеют свои carriers и не интерпретируются вероятностно без моста;</w:t>
      </w:r>
    </w:p>
    <w:p>
      <w:pPr>
        <w:pStyle w:val="ListNumber"/>
        <w:widowControl/>
      </w:pPr>
      <w:r>
        <w:t>H11: evolution family/generator существует на заявленном горизонте;</w:t>
      </w:r>
    </w:p>
    <w:p>
      <w:pPr>
        <w:pStyle w:val="ListNumber"/>
        <w:widowControl/>
      </w:pPr>
      <w:r>
        <w:t>H12: path domain и non-anticipation проверены;</w:t>
      </w:r>
    </w:p>
    <w:p>
      <w:pPr>
        <w:pStyle w:val="ListNumber"/>
        <w:widowControl/>
      </w:pPr>
      <w:r>
        <w:t>H13: stochastic law, filtration и martingale problem корректны;</w:t>
      </w:r>
    </w:p>
    <w:p>
      <w:pPr>
        <w:pStyle w:val="ListNumber"/>
        <w:widowControl/>
      </w:pPr>
      <w:r>
        <w:t>H14: stopping/selection/dependence учтены;</w:t>
      </w:r>
    </w:p>
    <w:p>
      <w:pPr>
        <w:pStyle w:val="ListNumber"/>
        <w:widowControl/>
      </w:pPr>
      <w:r>
        <w:t>H15: causal вывод имеет SCM/intervention/identification hypotheses;</w:t>
      </w:r>
    </w:p>
    <w:p>
      <w:pPr>
        <w:pStyle w:val="ListNumber"/>
        <w:widowControl/>
      </w:pPr>
      <w:r>
        <w:t>H16: LDP/rare-event слой не подменяет finite-sample bound;</w:t>
      </w:r>
    </w:p>
    <w:p>
      <w:pPr>
        <w:pStyle w:val="ListNumber"/>
        <w:widowControl/>
      </w:pPr>
      <w:r>
        <w:t>H17: finite-sample guarantee имеет coverage/remainder certificate;</w:t>
      </w:r>
    </w:p>
    <w:p>
      <w:pPr>
        <w:pStyle w:val="ListNumber"/>
        <w:widowControl/>
      </w:pPr>
      <w:r>
        <w:t>H18: ambiguity set имеет доказанный coverage status;</w:t>
      </w:r>
    </w:p>
    <w:p>
      <w:pPr>
        <w:pStyle w:val="ListNumber"/>
        <w:widowControl/>
      </w:pPr>
      <w:r>
        <w:t>H19: deterministic/numerical budgets перенесены через T_j;</w:t>
      </w:r>
    </w:p>
    <w:p>
      <w:pPr>
        <w:pStyle w:val="ListNumber"/>
        <w:widowControl/>
      </w:pPr>
      <w:r>
        <w:t>H20: общий α-budget распределён до раскрытия результата либо объединён валидной процедурой;</w:t>
      </w:r>
    </w:p>
    <w:p>
      <w:pPr>
        <w:pStyle w:val="ListNumber"/>
        <w:widowControl/>
      </w:pPr>
      <w:r>
        <w:t>H21: train/calibration/validation/external split не содержит leakage;</w:t>
      </w:r>
    </w:p>
    <w:p>
      <w:pPr>
        <w:pStyle w:val="ListNumber"/>
        <w:widowControl/>
      </w:pPr>
      <w:r>
        <w:t>H22: required blockers пусты и safe horizons не пересечены без явного candidate verdict;</w:t>
      </w:r>
    </w:p>
    <w:p>
      <w:pPr>
        <w:pStyle w:val="ListNumber"/>
        <w:widowControl/>
      </w:pPr>
      <w:r>
        <w:t>H23: code/data/environment hashes и manifest валидны;</w:t>
      </w:r>
    </w:p>
    <w:p>
      <w:pPr>
        <w:pStyle w:val="ListNumber"/>
        <w:widowControl/>
      </w:pPr>
      <w:r>
        <w:t>H24: release policy не повышает статусы и соответствует Mode.</w:t>
      </w:r>
    </w:p>
    <w:p>
      <w:pPr>
        <w:widowControl/>
      </w:pPr>
      <w:r>
        <w:rPr>
          <w:i w:val="0"/>
        </w:rPr>
        <w:t>Тогда 𝔓_KLT(Q) возвращает либо ABSTAIN/FAIL с корректным свидетельством, либо OK(V,Cert,B_out), причём:</w:t>
      </w:r>
    </w:p>
    <w:p>
      <w:pPr>
        <w:pStyle w:val="ListBullet"/>
        <w:widowControl/>
      </w:pPr>
      <w:r>
        <w:t>каждая координата V имеет статус не выше meet статусов необходимых рёбер;</w:t>
      </w:r>
    </w:p>
    <w:p>
      <w:pPr>
        <w:pStyle w:val="ListBullet"/>
        <w:widowControl/>
      </w:pPr>
      <w:r>
        <w:t>детерминированная ошибка ограничена аффинной формулой (24.10);</w:t>
      </w:r>
    </w:p>
    <w:p>
      <w:pPr>
        <w:pStyle w:val="ListBullet"/>
        <w:widowControl/>
      </w:pPr>
      <w:r>
        <w:t>вероятность хотя бы одного заявленного statistical failure не превышает α_tot из (24.11);</w:t>
      </w:r>
    </w:p>
    <w:p>
      <w:pPr>
        <w:pStyle w:val="ListBullet"/>
        <w:widowControl/>
      </w:pPr>
      <w:r>
        <w:t>робастный вывод действует для законов внутри сертифицированного 𝒰_out;</w:t>
      </w:r>
    </w:p>
    <w:p>
      <w:pPr>
        <w:pStyle w:val="ListBullet"/>
        <w:widowControl/>
      </w:pPr>
      <w:r>
        <w:t>причинная и физическая координаты остаются UNAVAILABLE/NOT-TESTED без своих мостов;</w:t>
      </w:r>
    </w:p>
    <w:p>
      <w:pPr>
        <w:pStyle w:val="ListBullet"/>
        <w:widowControl/>
      </w:pPr>
      <w:r>
        <w:t>все выводы ограничены Q, Dom, D, horizon, release manifest и версиями модулей.</w:t>
      </w:r>
    </w:p>
    <w:p>
      <w:bookmarkStart w:id="1338" w:name="h_3569"/>
      <w:pPr>
        <w:pStyle w:val="Heading1"/>
        <w:widowControl/>
      </w:pPr>
      <w:r>
        <w:t>405. Доказательство Теоремы 24.4</w:t>
      </w:r>
      <w:bookmarkEnd w:id="1338"/>
    </w:p>
    <w:p>
      <w:pPr>
        <w:widowControl/>
      </w:pPr>
      <w:r>
        <w:rPr>
          <w:i w:val="0"/>
        </w:rPr>
        <w:t>Доказательство ведётся индукцией по длине цепи.</w:t>
      </w:r>
    </w:p>
    <w:p>
      <w:pPr>
        <w:pStyle w:val="ListNumber"/>
        <w:widowControl/>
      </w:pPr>
      <w:r>
        <w:t>База. F₀ возвращает одну из ветвей Result и создаёт исходный сертификат. При OK выполнены H1 и начальный бюджет B₀.</w:t>
      </w:r>
    </w:p>
    <w:p>
      <w:pPr>
        <w:pStyle w:val="ListNumber"/>
        <w:widowControl/>
      </w:pPr>
      <w:r>
        <w:t>Индукционный шаг. Предположим, что после F_j получено OK(Z_j,C_j,B_j) с заявленными постусловиями. H2 и интерфейсный контракт дают Pre_{j+1}. Local soundness F_{j+1} даёт Post_{j+1}; бюджет обновляется T_{j+1}(B_j)⊕E_{j+1}.</w:t>
      </w:r>
    </w:p>
    <w:p>
      <w:pPr>
        <w:pStyle w:val="ListNumber"/>
        <w:widowControl/>
      </w:pPr>
      <w:r>
        <w:t>Если на любом шаге возникает ABSTAIN или FAIL, поглощающая семантика (24.7) сохраняет свидетельство до release и не допускает ложной OK-ветви.</w:t>
      </w:r>
    </w:p>
    <w:p>
      <w:pPr>
        <w:pStyle w:val="ListNumber"/>
        <w:widowControl/>
      </w:pPr>
      <w:r>
        <w:t>Ассоциативность категории CertKLT обеспечивает независимость от группировки модулей, если manifest фиксирует один и тот же порядок.</w:t>
      </w:r>
    </w:p>
    <w:p>
      <w:pPr>
        <w:pStyle w:val="ListNumber"/>
        <w:widowControl/>
      </w:pPr>
      <w:r>
        <w:t>Формула (24.10) доказывает deterministic bound; union bound доказывает α_tot без требования независимости; set pushforward доказывает robust enclosure.</w:t>
      </w:r>
    </w:p>
    <w:p>
      <w:pPr>
        <w:pStyle w:val="ListNumber"/>
        <w:widowControl/>
      </w:pPr>
      <w:r>
        <w:t>Weakest-link rule даёт ограничение статуса. H15 и H24 предотвращают перенос observational output в causal/physical координаты.</w:t>
      </w:r>
    </w:p>
    <w:p>
      <w:pPr>
        <w:pStyle w:val="ListNumber"/>
        <w:widowControl/>
      </w:pPr>
      <w:r>
        <w:t>H21-H23 обеспечивают независимую проверку и воспроизводимость. Release predicate (24.28) завершает вывод.</w:t>
      </w:r>
    </w:p>
    <w:p>
      <w:pPr>
        <w:widowControl/>
      </w:pPr>
      <w:r>
        <w:rPr>
          <w:i w:val="0"/>
        </w:rPr>
        <w:t>Следовательно, ветвь OK sound относительно заявленных гипотез и бюджета; сильнейших выводов вне них теорема не даёт. □</w:t>
      </w:r>
    </w:p>
    <w:p>
      <w:bookmarkStart w:id="1339" w:name="h_3579"/>
      <w:pPr>
        <w:pStyle w:val="Heading1"/>
        <w:widowControl/>
      </w:pPr>
      <w:r>
        <w:t>406. Что Теорема 24.4 не доказывает</w:t>
      </w:r>
      <w:bookmarkEnd w:id="1339"/>
    </w:p>
    <w:p>
      <w:pPr>
        <w:pStyle w:val="ListBullet"/>
        <w:widowControl/>
      </w:pPr>
      <w:r>
        <w:t>не доказывает существование универсального предсказательного оператора для любой предметной области;</w:t>
      </w:r>
    </w:p>
    <w:p>
      <w:pPr>
        <w:pStyle w:val="ListBullet"/>
        <w:widowControl/>
      </w:pPr>
      <w:r>
        <w:t>не доказывает completeness: истинный переход может не быть обнаружен;</w:t>
      </w:r>
    </w:p>
    <w:p>
      <w:pPr>
        <w:pStyle w:val="ListBullet"/>
        <w:widowControl/>
      </w:pPr>
      <w:r>
        <w:t>не доказывает корректность конкретной реализации без выполнения E2E-тестов;</w:t>
      </w:r>
    </w:p>
    <w:p>
      <w:pPr>
        <w:pStyle w:val="ListBullet"/>
        <w:widowControl/>
      </w:pPr>
      <w:r>
        <w:t>не превращает Reper-гармонию в эмпирическую вероятность;</w:t>
      </w:r>
    </w:p>
    <w:p>
      <w:pPr>
        <w:pStyle w:val="ListBullet"/>
        <w:widowControl/>
      </w:pPr>
      <w:r>
        <w:t>не превращает виртуальные или motivic коэффициенты во временную динамику;</w:t>
      </w:r>
    </w:p>
    <w:p>
      <w:pPr>
        <w:pStyle w:val="ListBullet"/>
        <w:widowControl/>
      </w:pPr>
      <w:r>
        <w:t>не идентифицирует причинность из наблюдательного закона;</w:t>
      </w:r>
    </w:p>
    <w:p>
      <w:pPr>
        <w:pStyle w:val="ListBullet"/>
        <w:widowControl/>
      </w:pPr>
      <w:r>
        <w:t>не подтверждает F-1-F-14 без независимого EXT-RUN;</w:t>
      </w:r>
    </w:p>
    <w:p>
      <w:pPr>
        <w:pStyle w:val="ListBullet"/>
        <w:widowControl/>
      </w:pPr>
      <w:r>
        <w:t>не расширяет юридическое значение регистрационных документов.</w:t>
      </w:r>
    </w:p>
    <w:tbl>
      <w:tblPr>
        <w:tblStyle w:val="TableGrid"/>
        <w:tblW w:type="auto" w:w="0"/>
        <w:jc w:val="center"/>
        <w:tblLook w:firstColumn="1" w:firstRow="1" w:lastColumn="0" w:lastRow="0" w:noHBand="0" w:noVBand="1" w:val="04A0"/>
        <w:tblBorders>
          <w:top w:val="single" w:sz="10" w:color="B21F24"/>
          <w:left w:val="single" w:sz="10" w:color="B21F24"/>
          <w:bottom w:val="single" w:sz="10" w:color="B21F24"/>
          <w:right w:val="single" w:sz="10" w:color="B21F24"/>
          <w:insideH w:val="single" w:sz="10" w:color="B21F24"/>
          <w:insideV w:val="single" w:sz="10" w:color="B21F24"/>
        </w:tblBorders>
      </w:tblPr>
      <w:tblGrid>
        <w:gridCol w:w="9752"/>
      </w:tblGrid>
      <w:tr>
        <w:trPr>
          <w:tblHeader w:val="true"/>
          <w:cantSplit/>
        </w:trPr>
        <w:tc>
          <w:tcPr>
            <w:tcW w:type="dxa" w:w="9752"/>
            <w:shd w:fill="FBE8E4"/>
            <w:tcMar>
              <w:top w:w="150" w:type="dxa"/>
              <w:start w:w="180" w:type="dxa"/>
              <w:bottom w:w="150" w:type="dxa"/>
              <w:end w:w="180" w:type="dxa"/>
            </w:tcMar>
          </w:tcPr>
          <w:p>
            <w:r>
              <w:rPr>
                <w:rFonts w:ascii="Aptos" w:hAnsi="Aptos" w:eastAsia="Aptos"/>
                <w:b/>
                <w:color w:val="B21F24"/>
                <w:sz w:val="24"/>
              </w:rPr>
              <w:t>ГНОСЕОЛОГИЧЕСКИЙ ПРЕДЕЛ</w:t>
              <w:br/>
            </w:r>
            <w:r>
              <w:rPr>
                <w:rFonts w:ascii="Aptos" w:hAnsi="Aptos" w:eastAsia="Aptos"/>
                <w:sz w:val="21"/>
              </w:rPr>
              <w:t>Soundness говорит: «если оператор выдал OK при выполненных гипотезах, вывод допустим». Completeness говорила бы: «оператор найдёт всякий допустимый вывод». Второе здесь не заявляется. ABSTAIN может быть следствием ограниченности метода, а не отсутствия структуры в мире.</w:t>
            </w:r>
          </w:p>
        </w:tc>
      </w:tr>
    </w:tbl>
    <w:p>
      <w:bookmarkStart w:id="1340" w:name="h_3588"/>
      <w:pPr>
        <w:pStyle w:val="Heading1"/>
        <w:widowControl/>
      </w:pPr>
      <w:r>
        <w:t>407. Контрпример: локально корректные, глобально несовместимые модули</w:t>
      </w:r>
      <w:bookmarkEnd w:id="1340"/>
    </w:p>
    <w:p>
      <w:pPr>
        <w:widowControl/>
      </w:pPr>
      <w:r>
        <w:rPr>
          <w:i w:val="0"/>
        </w:rPr>
        <w:t>Пусть F возвращает кривизну в единицах 1/м², а G интерпретирует числовое поле как безразмерный индекс. Оба модуля локально проходят свои тесты, но адаптер единиц отсутствует. Композиция численно определена, типово некорректна и должна вернуть FAIL-TYPE.</w:t>
      </w:r>
    </w:p>
    <w:p>
      <w:pPr>
        <w:widowControl/>
      </w:pPr>
      <w:r>
        <w:rPr>
          <w:i w:val="0"/>
        </w:rPr>
        <w:t>Контрпример показывает, что local pass не имплицирует end-to-end pass. Имя поля curvature не является доказательством его семантики.</w:t>
      </w:r>
    </w:p>
    <w:p>
      <w:bookmarkStart w:id="1341" w:name="h_3591"/>
      <w:pPr>
        <w:pStyle w:val="Heading1"/>
        <w:widowControl/>
      </w:pPr>
      <w:r>
        <w:t>408. Контрпример: инфляция вероятностного бюджета</w:t>
      </w:r>
      <w:bookmarkEnd w:id="1341"/>
    </w:p>
    <w:p>
      <w:pPr>
        <w:widowControl/>
      </w:pPr>
      <w:r>
        <w:rPr>
          <w:i w:val="0"/>
        </w:rPr>
        <w:t>Пусть десять независимых или зависимых модулей каждый заявляет ошибку не более 0,05. Без дополнительной процедуры общий уровень по union bound не превышает 0,5, а не 0,05. Использование 0,05 в финальном отчёте фальсифицирует release contract.</w:t>
      </w:r>
    </w:p>
    <w:p>
      <w:bookmarkStart w:id="2093" w:name="f_24_31"/>
      <w:pPr>
        <w:pStyle w:val="Quote"/>
        <w:widowControl/>
        <w:jc w:val="center"/>
      </w:pPr>
      <w:r>
        <w:t>10×0,05=0,50,  а не 0,05.  (24.31)</w:t>
      </w:r>
      <w:bookmarkEnd w:id="2093"/>
    </w:p>
    <w:p>
      <w:bookmarkStart w:id="1342" w:name="h_3594"/>
      <w:pPr>
        <w:pStyle w:val="Heading1"/>
        <w:widowControl/>
      </w:pPr>
      <w:r>
        <w:t>409. Контрпример: малая локальная ошибка и неограниченное усиление</w:t>
      </w:r>
      <w:bookmarkEnd w:id="1342"/>
    </w:p>
    <w:p>
      <w:pPr>
        <w:widowControl/>
      </w:pPr>
      <w:r>
        <w:rPr>
          <w:i w:val="0"/>
        </w:rPr>
        <w:t>Пусть F(x)=x+ε, |ε|≤10⁻⁶, а G(y)=1/y на области, допускающей y→0. Локальная ошибка F мала, но Lipschitz constant G не ограничен. End-to-end ошибка может быть сколь угодно большой. Поэтому близость к pole/boundary входит в b_dom и b_num.</w:t>
      </w:r>
    </w:p>
    <w:p>
      <w:bookmarkStart w:id="1343" w:name="h_3596"/>
      <w:pPr>
        <w:pStyle w:val="Heading1"/>
        <w:widowControl/>
      </w:pPr>
      <w:r>
        <w:t>410. Контрпример: скаляр λ у проективного полюса</w:t>
      </w:r>
      <w:bookmarkEnd w:id="1343"/>
    </w:p>
    <w:p>
      <w:pPr>
        <w:widowControl/>
      </w:pPr>
      <w:r>
        <w:rPr>
          <w:i w:val="0"/>
        </w:rPr>
        <w:t>Если Q=(U-D)(I-R) близок к нулю, λ=N/Q может иметь огромную численную вариацию при малом изменении входа. Однородная Λ=[N:Q] остаётся корректной, а scalar report обязан содержать chart и condition number. Без них вывод ABSTAIN-PROJECTIVE-CHART.</w:t>
      </w:r>
    </w:p>
    <w:p>
      <w:bookmarkStart w:id="1344" w:name="h_3598"/>
      <w:pPr>
        <w:pStyle w:val="Heading1"/>
        <w:widowControl/>
      </w:pPr>
      <w:r>
        <w:t>411. Контрпример: наблюдательная точность без причинной идентификации</w:t>
      </w:r>
      <w:bookmarkEnd w:id="1344"/>
    </w:p>
    <w:p>
      <w:pPr>
        <w:widowControl/>
      </w:pPr>
      <w:r>
        <w:rPr>
          <w:i w:val="0"/>
        </w:rPr>
        <w:t>Существуют две структурные причинные модели с одинаковым наблюдательным распределением P(X,Y), но разными P(Y|do(X)). Любой оператор, использующий только наблюдения, выдаёт одинаковый прогноз для обеих моделей и потому не может идентифицировать causal effect без дополнительных предпосылок.</w:t>
      </w:r>
    </w:p>
    <w:p>
      <w:pPr>
        <w:widowControl/>
      </w:pPr>
      <w:r>
        <w:rPr>
          <w:i w:val="0"/>
        </w:rPr>
        <w:t>Следовательно, V_prob=CALIBRATED совместимо с V_causal=UNAVAILABLE.</w:t>
      </w:r>
    </w:p>
    <w:p>
      <w:bookmarkStart w:id="1345" w:name="h_3601"/>
      <w:pPr>
        <w:pStyle w:val="Heading1"/>
        <w:widowControl/>
      </w:pPr>
      <w:r>
        <w:t>412. Протокол фальсифицируемости</w:t>
      </w:r>
      <w:bookmarkEnd w:id="1345"/>
    </w:p>
    <w:p>
      <w:pPr>
        <w:widowControl/>
      </w:pPr>
      <w:r>
        <w:rPr>
          <w:i w:val="0"/>
        </w:rPr>
        <w:t>Каждое утверждение Тома II должно иметь один из четырёх отрицательных интерфейсов:</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3251"/>
        <w:gridCol w:w="3251"/>
        <w:gridCol w:w="3251"/>
      </w:tblGrid>
      <w:tr>
        <w:trPr>
          <w:tblHeader w:val="true"/>
          <w:cantSplit/>
        </w:trPr>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6"/>
              </w:rPr>
              <w:t>Тип утверждения</w:t>
            </w:r>
          </w:p>
        </w:tc>
        <w:tc>
          <w:tcPr>
            <w:tcW w:type="dxa" w:w="5040"/>
            <w:shd w:fill="173B67"/>
            <w:tcMar>
              <w:top w:w="110" w:type="dxa"/>
              <w:start w:w="110" w:type="dxa"/>
              <w:bottom w:w="110" w:type="dxa"/>
              <w:end w:w="110" w:type="dxa"/>
            </w:tcMar>
            <w:vAlign w:val="center"/>
          </w:tcPr>
          <w:p>
            <w:pPr>
              <w:jc w:val="center"/>
            </w:pPr>
            <w:r>
              <w:rPr>
                <w:rFonts w:ascii="Aptos" w:hAnsi="Aptos" w:eastAsia="Aptos"/>
                <w:b/>
                <w:color w:val="FFFFFF"/>
                <w:sz w:val="16"/>
              </w:rPr>
              <w:t>Фальсифицирующий объект</w:t>
            </w:r>
          </w:p>
        </w:tc>
        <w:tc>
          <w:tcPr>
            <w:tcW w:type="dxa" w:w="2304"/>
            <w:shd w:fill="173B67"/>
            <w:tcMar>
              <w:top w:w="110" w:type="dxa"/>
              <w:start w:w="110" w:type="dxa"/>
              <w:bottom w:w="110" w:type="dxa"/>
              <w:end w:w="110" w:type="dxa"/>
            </w:tcMar>
            <w:vAlign w:val="center"/>
          </w:tcPr>
          <w:p>
            <w:pPr>
              <w:jc w:val="center"/>
            </w:pPr>
            <w:r>
              <w:rPr>
                <w:rFonts w:ascii="Aptos" w:hAnsi="Aptos" w:eastAsia="Aptos"/>
                <w:b/>
                <w:color w:val="FFFFFF"/>
                <w:sz w:val="16"/>
              </w:rPr>
              <w:t>Результат</w:t>
            </w:r>
          </w:p>
        </w:tc>
      </w:tr>
      <w:tr>
        <w:trPr>
          <w:cantSplit/>
        </w:trPr>
        <w:tc>
          <w:tcPr>
            <w:tcW w:type="dxa" w:w="2016"/>
            <w:tcMar>
              <w:top w:w="90" w:type="dxa"/>
              <w:start w:w="100" w:type="dxa"/>
              <w:bottom w:w="90" w:type="dxa"/>
              <w:end w:w="100" w:type="dxa"/>
            </w:tcMar>
            <w:vAlign w:val="center"/>
          </w:tcPr>
          <w:p>
            <w:pPr>
              <w:spacing w:after="0"/>
            </w:pPr>
            <w:r>
              <w:rPr>
                <w:rFonts w:ascii="Aptos" w:hAnsi="Aptos" w:eastAsia="Aptos"/>
                <w:sz w:val="16"/>
              </w:rPr>
              <w:t>чистая теорема</w:t>
            </w:r>
          </w:p>
        </w:tc>
        <w:tc>
          <w:tcPr>
            <w:tcW w:type="dxa" w:w="5040"/>
            <w:tcMar>
              <w:top w:w="90" w:type="dxa"/>
              <w:start w:w="100" w:type="dxa"/>
              <w:bottom w:w="90" w:type="dxa"/>
              <w:end w:w="100" w:type="dxa"/>
            </w:tcMar>
            <w:vAlign w:val="center"/>
          </w:tcPr>
          <w:p>
            <w:pPr>
              <w:spacing w:after="0"/>
            </w:pPr>
            <w:r>
              <w:rPr>
                <w:rFonts w:ascii="Aptos" w:hAnsi="Aptos" w:eastAsia="Aptos"/>
                <w:sz w:val="16"/>
              </w:rPr>
              <w:t>модель, удовлетворяющая гипотезам и нарушающая заключение</w:t>
            </w:r>
          </w:p>
        </w:tc>
        <w:tc>
          <w:tcPr>
            <w:tcW w:type="dxa" w:w="2304"/>
            <w:tcMar>
              <w:top w:w="90" w:type="dxa"/>
              <w:start w:w="100" w:type="dxa"/>
              <w:bottom w:w="90" w:type="dxa"/>
              <w:end w:w="100" w:type="dxa"/>
            </w:tcMar>
            <w:vAlign w:val="center"/>
          </w:tcPr>
          <w:p>
            <w:pPr>
              <w:spacing w:after="0"/>
            </w:pPr>
            <w:r>
              <w:rPr>
                <w:rFonts w:ascii="Aptos" w:hAnsi="Aptos" w:eastAsia="Aptos"/>
                <w:sz w:val="16"/>
              </w:rPr>
              <w:t>теорема опровергнута либо доказательство дефектно</w:t>
            </w:r>
          </w:p>
        </w:tc>
      </w:tr>
      <w:tr>
        <w:trPr>
          <w:cantSplit/>
        </w:trPr>
        <w:tc>
          <w:tcPr>
            <w:tcW w:type="dxa" w:w="2016"/>
            <w:tcMar>
              <w:top w:w="90" w:type="dxa"/>
              <w:start w:w="100" w:type="dxa"/>
              <w:bottom w:w="90" w:type="dxa"/>
              <w:end w:w="100" w:type="dxa"/>
            </w:tcMar>
            <w:vAlign w:val="center"/>
            <w:shd w:fill="F5F7F9"/>
          </w:tcPr>
          <w:p>
            <w:pPr>
              <w:spacing w:after="0"/>
            </w:pPr>
            <w:r>
              <w:rPr>
                <w:rFonts w:ascii="Aptos" w:hAnsi="Aptos" w:eastAsia="Aptos"/>
                <w:sz w:val="16"/>
              </w:rPr>
              <w:t>условный мост</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контрпример к well-definedness/invariance/identification</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мост понижен до OPEN/FAIL</w:t>
            </w:r>
          </w:p>
        </w:tc>
      </w:tr>
      <w:tr>
        <w:trPr>
          <w:cantSplit/>
        </w:trPr>
        <w:tc>
          <w:tcPr>
            <w:tcW w:type="dxa" w:w="2016"/>
            <w:tcMar>
              <w:top w:w="90" w:type="dxa"/>
              <w:start w:w="100" w:type="dxa"/>
              <w:bottom w:w="90" w:type="dxa"/>
              <w:end w:w="100" w:type="dxa"/>
            </w:tcMar>
            <w:vAlign w:val="center"/>
          </w:tcPr>
          <w:p>
            <w:pPr>
              <w:spacing w:after="0"/>
            </w:pPr>
            <w:r>
              <w:rPr>
                <w:rFonts w:ascii="Aptos" w:hAnsi="Aptos" w:eastAsia="Aptos"/>
                <w:sz w:val="16"/>
              </w:rPr>
              <w:t>вычислительный модуль</w:t>
            </w:r>
          </w:p>
        </w:tc>
        <w:tc>
          <w:tcPr>
            <w:tcW w:type="dxa" w:w="5040"/>
            <w:tcMar>
              <w:top w:w="90" w:type="dxa"/>
              <w:start w:w="100" w:type="dxa"/>
              <w:bottom w:w="90" w:type="dxa"/>
              <w:end w:w="100" w:type="dxa"/>
            </w:tcMar>
            <w:vAlign w:val="center"/>
          </w:tcPr>
          <w:p>
            <w:pPr>
              <w:spacing w:after="0"/>
            </w:pPr>
            <w:r>
              <w:rPr>
                <w:rFonts w:ascii="Aptos" w:hAnsi="Aptos" w:eastAsia="Aptos"/>
                <w:sz w:val="16"/>
              </w:rPr>
              <w:t>вход из заявленного Dom с нарушением postcondition</w:t>
            </w:r>
          </w:p>
        </w:tc>
        <w:tc>
          <w:tcPr>
            <w:tcW w:type="dxa" w:w="2304"/>
            <w:tcMar>
              <w:top w:w="90" w:type="dxa"/>
              <w:start w:w="100" w:type="dxa"/>
              <w:bottom w:w="90" w:type="dxa"/>
              <w:end w:w="100" w:type="dxa"/>
            </w:tcMar>
            <w:vAlign w:val="center"/>
          </w:tcPr>
          <w:p>
            <w:pPr>
              <w:spacing w:after="0"/>
            </w:pPr>
            <w:r>
              <w:rPr>
                <w:rFonts w:ascii="Aptos" w:hAnsi="Aptos" w:eastAsia="Aptos"/>
                <w:sz w:val="16"/>
              </w:rPr>
              <w:t>реализация FAIL; математическая теорема может сохраниться</w:t>
            </w:r>
          </w:p>
        </w:tc>
      </w:tr>
      <w:tr>
        <w:trPr>
          <w:cantSplit/>
        </w:trPr>
        <w:tc>
          <w:tcPr>
            <w:tcW w:type="dxa" w:w="2016"/>
            <w:tcMar>
              <w:top w:w="90" w:type="dxa"/>
              <w:start w:w="100" w:type="dxa"/>
              <w:bottom w:w="90" w:type="dxa"/>
              <w:end w:w="100" w:type="dxa"/>
            </w:tcMar>
            <w:vAlign w:val="center"/>
            <w:shd w:fill="F5F7F9"/>
          </w:tcPr>
          <w:p>
            <w:pPr>
              <w:spacing w:after="0"/>
            </w:pPr>
            <w:r>
              <w:rPr>
                <w:rFonts w:ascii="Aptos" w:hAnsi="Aptos" w:eastAsia="Aptos"/>
                <w:sz w:val="16"/>
              </w:rPr>
              <w:t>эмпирическая гипотеза</w:t>
            </w:r>
          </w:p>
        </w:tc>
        <w:tc>
          <w:tcPr>
            <w:tcW w:type="dxa" w:w="5040"/>
            <w:tcMar>
              <w:top w:w="90" w:type="dxa"/>
              <w:start w:w="100" w:type="dxa"/>
              <w:bottom w:w="90" w:type="dxa"/>
              <w:end w:w="100" w:type="dxa"/>
            </w:tcMar>
            <w:vAlign w:val="center"/>
            <w:shd w:fill="F5F7F9"/>
          </w:tcPr>
          <w:p>
            <w:pPr>
              <w:spacing w:after="0"/>
            </w:pPr>
            <w:r>
              <w:rPr>
                <w:rFonts w:ascii="Aptos" w:hAnsi="Aptos" w:eastAsia="Aptos"/>
                <w:sz w:val="16"/>
              </w:rPr>
              <w:t>предзарегистрированный независимый тест</w:t>
            </w:r>
          </w:p>
        </w:tc>
        <w:tc>
          <w:tcPr>
            <w:tcW w:type="dxa" w:w="2304"/>
            <w:tcMar>
              <w:top w:w="90" w:type="dxa"/>
              <w:start w:w="100" w:type="dxa"/>
              <w:bottom w:w="90" w:type="dxa"/>
              <w:end w:w="100" w:type="dxa"/>
            </w:tcMar>
            <w:vAlign w:val="center"/>
            <w:shd w:fill="F5F7F9"/>
          </w:tcPr>
          <w:p>
            <w:pPr>
              <w:spacing w:after="0"/>
            </w:pPr>
            <w:r>
              <w:rPr>
                <w:rFonts w:ascii="Aptos" w:hAnsi="Aptos" w:eastAsia="Aptos"/>
                <w:sz w:val="16"/>
              </w:rPr>
              <w:t>SUPPORTED / FALSIFIED / INCONCLUSIVE</w:t>
            </w:r>
          </w:p>
        </w:tc>
      </w:tr>
    </w:tbl>
    <w:p>
      <w:pPr>
        <w:widowControl/>
      </w:pPr>
      <w:r>
        <w:rPr>
          <w:i w:val="0"/>
        </w:rPr>
        <w:t>Фальсификация реализации не равна фальсификации абстрактной теоремы, а фальсификация физического моста не уничтожает внутреннюю алгебру. Граф зависимостей определяет область повреждения.</w:t>
      </w:r>
    </w:p>
    <w:p>
      <w:pPr>
        <w:widowControl/>
        <w:jc w:val="center"/>
      </w:pPr>
      <w:r>
        <w:drawing>
          <wp:inline xmlns:a="http://schemas.openxmlformats.org/drawingml/2006/main" xmlns:pic="http://schemas.openxmlformats.org/drawingml/2006/picture">
            <wp:extent cx="5897880" cy="3880184"/>
            <wp:docPr id="68" name="Picture 68" descr="Рисунок 24.4. Фальсифицирующие свидетели для разных слоёв и допустимые последствия. Собственная схема Тома II." title="Рисунок 24.4. Фальсифицирующие свидетели для разных слоёв и допустимые последствия. Собственная схема Тома II."/>
            <wp:cNvGraphicFramePr>
              <a:graphicFrameLocks noChangeAspect="1"/>
            </wp:cNvGraphicFramePr>
            <a:graphic>
              <a:graphicData uri="http://schemas.openxmlformats.org/drawingml/2006/picture">
                <pic:pic>
                  <pic:nvPicPr>
                    <pic:cNvPr id="0" name="fig24_4.png" descr="Рисунок 24.4. Фальсифицирующие свидетели для разных слоёв и допустимые последствия. Собственная схема Тома II." title="Рисунок 24.4. Фальсифицирующие свидетели для разных слоёв и допустимые последствия. Собственная схема Тома II."/>
                    <pic:cNvPicPr/>
                  </pic:nvPicPr>
                  <pic:blipFill>
                    <a:blip r:embed="rId105"/>
                    <a:stretch>
                      <a:fillRect/>
                    </a:stretch>
                  </pic:blipFill>
                  <pic:spPr>
                    <a:xfrm>
                      <a:off x="0" y="0"/>
                      <a:ext cx="5897880" cy="3880184"/>
                    </a:xfrm>
                    <a:prstGeom prst="rect"/>
                  </pic:spPr>
                </pic:pic>
              </a:graphicData>
            </a:graphic>
          </wp:inline>
        </w:drawing>
      </w:r>
    </w:p>
    <w:p>
      <w:pPr>
        <w:pStyle w:val="Caption"/>
        <w:widowControl/>
        <w:jc w:val="center"/>
      </w:pPr>
      <w:r>
        <w:t>Рисунок 24.4. Фальсифицирующие свидетели для разных слоёв и допустимые последствия. Собственная схема Тома II.</w:t>
      </w:r>
    </w:p>
    <w:p>
      <w:bookmarkStart w:id="1346" w:name="h_3606"/>
      <w:pPr>
        <w:pStyle w:val="Heading1"/>
        <w:widowControl/>
      </w:pPr>
      <w:r>
        <w:t>413. Итоговая матрица фальсифицируемости глав 1-24</w:t>
      </w:r>
      <w:bookmarkEnd w:id="1346"/>
    </w:p>
    <w:p>
      <w:pPr>
        <w:pStyle w:val="Heading2"/>
        <w:widowControl/>
      </w:pPr>
      <w:r>
        <w:t>Матрица 24-A: главы 1-8</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1950"/>
        <w:gridCol w:w="1950"/>
        <w:gridCol w:w="1950"/>
        <w:gridCol w:w="1950"/>
        <w:gridCol w:w="1950"/>
      </w:tblGrid>
      <w:tr>
        <w:trPr>
          <w:tblHeader w:val="true"/>
          <w:cantSplit/>
        </w:trPr>
        <w:tc>
          <w:tcPr>
            <w:tcW w:type="dxa" w:w="576"/>
            <w:shd w:fill="173B67"/>
            <w:tcMar>
              <w:top w:w="110" w:type="dxa"/>
              <w:start w:w="110" w:type="dxa"/>
              <w:bottom w:w="110" w:type="dxa"/>
              <w:end w:w="110" w:type="dxa"/>
            </w:tcMar>
            <w:vAlign w:val="center"/>
          </w:tcPr>
          <w:p>
            <w:pPr>
              <w:jc w:val="center"/>
            </w:pPr>
            <w:r>
              <w:rPr>
                <w:rFonts w:ascii="Aptos" w:hAnsi="Aptos" w:eastAsia="Aptos"/>
                <w:b/>
                <w:color w:val="FFFFFF"/>
                <w:sz w:val="15"/>
              </w:rPr>
              <w:t>Гл.</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5"/>
              </w:rPr>
              <w:t>Слой</w:t>
            </w:r>
          </w:p>
        </w:tc>
        <w:tc>
          <w:tcPr>
            <w:tcW w:type="dxa" w:w="3312"/>
            <w:shd w:fill="173B67"/>
            <w:tcMar>
              <w:top w:w="110" w:type="dxa"/>
              <w:start w:w="110" w:type="dxa"/>
              <w:bottom w:w="110" w:type="dxa"/>
              <w:end w:w="110" w:type="dxa"/>
            </w:tcMar>
            <w:vAlign w:val="center"/>
          </w:tcPr>
          <w:p>
            <w:pPr>
              <w:jc w:val="center"/>
            </w:pPr>
            <w:r>
              <w:rPr>
                <w:rFonts w:ascii="Aptos" w:hAnsi="Aptos" w:eastAsia="Aptos"/>
                <w:b/>
                <w:color w:val="FFFFFF"/>
                <w:sz w:val="15"/>
              </w:rPr>
              <w:t>Отрицательный свидетель</w:t>
            </w:r>
          </w:p>
        </w:tc>
        <w:tc>
          <w:tcPr>
            <w:tcW w:type="dxa" w:w="2160"/>
            <w:shd w:fill="173B67"/>
            <w:tcMar>
              <w:top w:w="110" w:type="dxa"/>
              <w:start w:w="110" w:type="dxa"/>
              <w:bottom w:w="110" w:type="dxa"/>
              <w:end w:w="110" w:type="dxa"/>
            </w:tcMar>
            <w:vAlign w:val="center"/>
          </w:tcPr>
          <w:p>
            <w:pPr>
              <w:jc w:val="center"/>
            </w:pPr>
            <w:r>
              <w:rPr>
                <w:rFonts w:ascii="Aptos" w:hAnsi="Aptos" w:eastAsia="Aptos"/>
                <w:b/>
                <w:color w:val="FFFFFF"/>
                <w:sz w:val="15"/>
              </w:rPr>
              <w:t>Проверка</w:t>
            </w:r>
          </w:p>
        </w:tc>
        <w:tc>
          <w:tcPr>
            <w:tcW w:type="dxa" w:w="1728"/>
            <w:shd w:fill="173B67"/>
            <w:tcMar>
              <w:top w:w="110" w:type="dxa"/>
              <w:start w:w="110" w:type="dxa"/>
              <w:bottom w:w="110" w:type="dxa"/>
              <w:end w:w="110" w:type="dxa"/>
            </w:tcMar>
            <w:vAlign w:val="center"/>
          </w:tcPr>
          <w:p>
            <w:pPr>
              <w:jc w:val="center"/>
            </w:pPr>
            <w:r>
              <w:rPr>
                <w:rFonts w:ascii="Aptos" w:hAnsi="Aptos" w:eastAsia="Aptos"/>
                <w:b/>
                <w:color w:val="FFFFFF"/>
                <w:sz w:val="15"/>
              </w:rPr>
              <w:t>Допустимый статус</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1</w:t>
            </w:r>
          </w:p>
        </w:tc>
        <w:tc>
          <w:tcPr>
            <w:tcW w:type="dxa" w:w="2016"/>
            <w:tcMar>
              <w:top w:w="90" w:type="dxa"/>
              <w:start w:w="100" w:type="dxa"/>
              <w:bottom w:w="90" w:type="dxa"/>
              <w:end w:w="100" w:type="dxa"/>
            </w:tcMar>
            <w:vAlign w:val="center"/>
          </w:tcPr>
          <w:p>
            <w:pPr>
              <w:spacing w:after="0"/>
            </w:pPr>
            <w:r>
              <w:rPr>
                <w:rFonts w:ascii="Aptos" w:hAnsi="Aptos" w:eastAsia="Aptos"/>
                <w:sz w:val="15"/>
              </w:rPr>
              <w:t>Интерфейс с Томом I</w:t>
            </w:r>
          </w:p>
        </w:tc>
        <w:tc>
          <w:tcPr>
            <w:tcW w:type="dxa" w:w="3312"/>
            <w:tcMar>
              <w:top w:w="90" w:type="dxa"/>
              <w:start w:w="100" w:type="dxa"/>
              <w:bottom w:w="90" w:type="dxa"/>
              <w:end w:w="100" w:type="dxa"/>
            </w:tcMar>
            <w:vAlign w:val="center"/>
          </w:tcPr>
          <w:p>
            <w:pPr>
              <w:spacing w:after="0"/>
            </w:pPr>
            <w:r>
              <w:rPr>
                <w:rFonts w:ascii="Aptos" w:hAnsi="Aptos" w:eastAsia="Aptos"/>
                <w:sz w:val="15"/>
              </w:rPr>
              <w:t>несогласованный импорт/изменение канона</w:t>
            </w:r>
          </w:p>
        </w:tc>
        <w:tc>
          <w:tcPr>
            <w:tcW w:type="dxa" w:w="2160"/>
            <w:tcMar>
              <w:top w:w="90" w:type="dxa"/>
              <w:start w:w="100" w:type="dxa"/>
              <w:bottom w:w="90" w:type="dxa"/>
              <w:end w:w="100" w:type="dxa"/>
            </w:tcMar>
            <w:vAlign w:val="center"/>
          </w:tcPr>
          <w:p>
            <w:pPr>
              <w:spacing w:after="0"/>
            </w:pPr>
            <w:r>
              <w:rPr>
                <w:rFonts w:ascii="Aptos" w:hAnsi="Aptos" w:eastAsia="Aptos"/>
                <w:sz w:val="15"/>
              </w:rPr>
              <w:t>hash/page/ID diff</w:t>
            </w:r>
          </w:p>
        </w:tc>
        <w:tc>
          <w:tcPr>
            <w:tcW w:type="dxa" w:w="1728"/>
            <w:tcMar>
              <w:top w:w="90" w:type="dxa"/>
              <w:start w:w="100" w:type="dxa"/>
              <w:bottom w:w="90" w:type="dxa"/>
              <w:end w:w="100" w:type="dxa"/>
            </w:tcMar>
            <w:vAlign w:val="center"/>
          </w:tcPr>
          <w:p>
            <w:pPr>
              <w:spacing w:after="0"/>
            </w:pPr>
            <w:r>
              <w:rPr>
                <w:rFonts w:ascii="Aptos" w:hAnsi="Aptos" w:eastAsia="Aptos"/>
                <w:sz w:val="15"/>
              </w:rPr>
              <w:t>FAIL-IMPORT</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2</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Notation ledger</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две семантики одного символа</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notation collision test</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FAIL-NOTATION</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3</w:t>
            </w:r>
          </w:p>
        </w:tc>
        <w:tc>
          <w:tcPr>
            <w:tcW w:type="dxa" w:w="2016"/>
            <w:tcMar>
              <w:top w:w="90" w:type="dxa"/>
              <w:start w:w="100" w:type="dxa"/>
              <w:bottom w:w="90" w:type="dxa"/>
              <w:end w:w="100" w:type="dxa"/>
            </w:tcMar>
            <w:vAlign w:val="center"/>
          </w:tcPr>
          <w:p>
            <w:pPr>
              <w:spacing w:after="0"/>
            </w:pPr>
            <w:r>
              <w:rPr>
                <w:rFonts w:ascii="Aptos" w:hAnsi="Aptos" w:eastAsia="Aptos"/>
                <w:sz w:val="15"/>
              </w:rPr>
              <w:t>Категория NAPG</w:t>
            </w:r>
          </w:p>
        </w:tc>
        <w:tc>
          <w:tcPr>
            <w:tcW w:type="dxa" w:w="3312"/>
            <w:tcMar>
              <w:top w:w="90" w:type="dxa"/>
              <w:start w:w="100" w:type="dxa"/>
              <w:bottom w:w="90" w:type="dxa"/>
              <w:end w:w="100" w:type="dxa"/>
            </w:tcMar>
            <w:vAlign w:val="center"/>
          </w:tcPr>
          <w:p>
            <w:pPr>
              <w:spacing w:after="0"/>
            </w:pPr>
            <w:r>
              <w:rPr>
                <w:rFonts w:ascii="Aptos" w:hAnsi="Aptos" w:eastAsia="Aptos"/>
                <w:sz w:val="15"/>
              </w:rPr>
              <w:t>нарушение identity/composition</w:t>
            </w:r>
          </w:p>
        </w:tc>
        <w:tc>
          <w:tcPr>
            <w:tcW w:type="dxa" w:w="2160"/>
            <w:tcMar>
              <w:top w:w="90" w:type="dxa"/>
              <w:start w:w="100" w:type="dxa"/>
              <w:bottom w:w="90" w:type="dxa"/>
              <w:end w:w="100" w:type="dxa"/>
            </w:tcMar>
            <w:vAlign w:val="center"/>
          </w:tcPr>
          <w:p>
            <w:pPr>
              <w:spacing w:after="0"/>
            </w:pPr>
            <w:r>
              <w:rPr>
                <w:rFonts w:ascii="Aptos" w:hAnsi="Aptos" w:eastAsia="Aptos"/>
                <w:sz w:val="15"/>
              </w:rPr>
              <w:t>явный морфизм</w:t>
            </w:r>
          </w:p>
        </w:tc>
        <w:tc>
          <w:tcPr>
            <w:tcW w:type="dxa" w:w="1728"/>
            <w:tcMar>
              <w:top w:w="90" w:type="dxa"/>
              <w:start w:w="100" w:type="dxa"/>
              <w:bottom w:w="90" w:type="dxa"/>
              <w:end w:w="100" w:type="dxa"/>
            </w:tcMar>
            <w:vAlign w:val="center"/>
          </w:tcPr>
          <w:p>
            <w:pPr>
              <w:spacing w:after="0"/>
            </w:pPr>
            <w:r>
              <w:rPr>
                <w:rFonts w:ascii="Aptos" w:hAnsi="Aptos" w:eastAsia="Aptos"/>
                <w:sz w:val="15"/>
              </w:rPr>
              <w:t>FAIL-CATEGORY</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4</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Градуированная алгебра</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незамкнутость/небилинейность</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явная пара элементов</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FAIL-ALG</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5</w:t>
            </w:r>
          </w:p>
        </w:tc>
        <w:tc>
          <w:tcPr>
            <w:tcW w:type="dxa" w:w="2016"/>
            <w:tcMar>
              <w:top w:w="90" w:type="dxa"/>
              <w:start w:w="100" w:type="dxa"/>
              <w:bottom w:w="90" w:type="dxa"/>
              <w:end w:w="100" w:type="dxa"/>
            </w:tcMar>
            <w:vAlign w:val="center"/>
          </w:tcPr>
          <w:p>
            <w:pPr>
              <w:spacing w:after="0"/>
            </w:pPr>
            <w:r>
              <w:rPr>
                <w:rFonts w:ascii="Aptos" w:hAnsi="Aptos" w:eastAsia="Aptos"/>
                <w:sz w:val="15"/>
              </w:rPr>
              <w:t>Ассоциатор и инварианты</w:t>
            </w:r>
          </w:p>
        </w:tc>
        <w:tc>
          <w:tcPr>
            <w:tcW w:type="dxa" w:w="3312"/>
            <w:tcMar>
              <w:top w:w="90" w:type="dxa"/>
              <w:start w:w="100" w:type="dxa"/>
              <w:bottom w:w="90" w:type="dxa"/>
              <w:end w:w="100" w:type="dxa"/>
            </w:tcMar>
            <w:vAlign w:val="center"/>
          </w:tcPr>
          <w:p>
            <w:pPr>
              <w:spacing w:after="0"/>
            </w:pPr>
            <w:r>
              <w:rPr>
                <w:rFonts w:ascii="Aptos" w:hAnsi="Aptos" w:eastAsia="Aptos"/>
                <w:sz w:val="15"/>
              </w:rPr>
              <w:t>зависимость от выбора/неверная тройка</w:t>
            </w:r>
          </w:p>
        </w:tc>
        <w:tc>
          <w:tcPr>
            <w:tcW w:type="dxa" w:w="2160"/>
            <w:tcMar>
              <w:top w:w="90" w:type="dxa"/>
              <w:start w:w="100" w:type="dxa"/>
              <w:bottom w:w="90" w:type="dxa"/>
              <w:end w:w="100" w:type="dxa"/>
            </w:tcMar>
            <w:vAlign w:val="center"/>
          </w:tcPr>
          <w:p>
            <w:pPr>
              <w:spacing w:after="0"/>
            </w:pPr>
            <w:r>
              <w:rPr>
                <w:rFonts w:ascii="Aptos" w:hAnsi="Aptos" w:eastAsia="Aptos"/>
                <w:sz w:val="15"/>
              </w:rPr>
              <w:t>exact counterexample</w:t>
            </w:r>
          </w:p>
        </w:tc>
        <w:tc>
          <w:tcPr>
            <w:tcW w:type="dxa" w:w="1728"/>
            <w:tcMar>
              <w:top w:w="90" w:type="dxa"/>
              <w:start w:w="100" w:type="dxa"/>
              <w:bottom w:w="90" w:type="dxa"/>
              <w:end w:w="100" w:type="dxa"/>
            </w:tcMar>
            <w:vAlign w:val="center"/>
          </w:tcPr>
          <w:p>
            <w:pPr>
              <w:spacing w:after="0"/>
            </w:pPr>
            <w:r>
              <w:rPr>
                <w:rFonts w:ascii="Aptos" w:hAnsi="Aptos" w:eastAsia="Aptos"/>
                <w:sz w:val="15"/>
              </w:rPr>
              <w:t>FAIL-INVARIANT</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6</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Двойственность</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неполнота/неверность функтора</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неизоморфные образы</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FAIL-DUAL</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7</w:t>
            </w:r>
          </w:p>
        </w:tc>
        <w:tc>
          <w:tcPr>
            <w:tcW w:type="dxa" w:w="2016"/>
            <w:tcMar>
              <w:top w:w="90" w:type="dxa"/>
              <w:start w:w="100" w:type="dxa"/>
              <w:bottom w:w="90" w:type="dxa"/>
              <w:end w:w="100" w:type="dxa"/>
            </w:tcMar>
            <w:vAlign w:val="center"/>
          </w:tcPr>
          <w:p>
            <w:pPr>
              <w:spacing w:after="0"/>
            </w:pPr>
            <w:r>
              <w:rPr>
                <w:rFonts w:ascii="Aptos" w:hAnsi="Aptos" w:eastAsia="Aptos"/>
                <w:sz w:val="15"/>
              </w:rPr>
              <w:t>Атласы и расслоения</w:t>
            </w:r>
          </w:p>
        </w:tc>
        <w:tc>
          <w:tcPr>
            <w:tcW w:type="dxa" w:w="3312"/>
            <w:tcMar>
              <w:top w:w="90" w:type="dxa"/>
              <w:start w:w="100" w:type="dxa"/>
              <w:bottom w:w="90" w:type="dxa"/>
              <w:end w:w="100" w:type="dxa"/>
            </w:tcMar>
            <w:vAlign w:val="center"/>
          </w:tcPr>
          <w:p>
            <w:pPr>
              <w:spacing w:after="0"/>
            </w:pPr>
            <w:r>
              <w:rPr>
                <w:rFonts w:ascii="Aptos" w:hAnsi="Aptos" w:eastAsia="Aptos"/>
                <w:sz w:val="15"/>
              </w:rPr>
              <w:t>нарушение cocycle</w:t>
            </w:r>
          </w:p>
        </w:tc>
        <w:tc>
          <w:tcPr>
            <w:tcW w:type="dxa" w:w="2160"/>
            <w:tcMar>
              <w:top w:w="90" w:type="dxa"/>
              <w:start w:w="100" w:type="dxa"/>
              <w:bottom w:w="90" w:type="dxa"/>
              <w:end w:w="100" w:type="dxa"/>
            </w:tcMar>
            <w:vAlign w:val="center"/>
          </w:tcPr>
          <w:p>
            <w:pPr>
              <w:spacing w:after="0"/>
            </w:pPr>
            <w:r>
              <w:rPr>
                <w:rFonts w:ascii="Aptos" w:hAnsi="Aptos" w:eastAsia="Aptos"/>
                <w:sz w:val="15"/>
              </w:rPr>
              <w:t>тройное перекрытие</w:t>
            </w:r>
          </w:p>
        </w:tc>
        <w:tc>
          <w:tcPr>
            <w:tcW w:type="dxa" w:w="1728"/>
            <w:tcMar>
              <w:top w:w="90" w:type="dxa"/>
              <w:start w:w="100" w:type="dxa"/>
              <w:bottom w:w="90" w:type="dxa"/>
              <w:end w:w="100" w:type="dxa"/>
            </w:tcMar>
            <w:vAlign w:val="center"/>
          </w:tcPr>
          <w:p>
            <w:pPr>
              <w:spacing w:after="0"/>
            </w:pPr>
            <w:r>
              <w:rPr>
                <w:rFonts w:ascii="Aptos" w:hAnsi="Aptos" w:eastAsia="Aptos"/>
                <w:sz w:val="15"/>
              </w:rPr>
              <w:t>FAIL-DESCENT</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8</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Касательные объекты</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формальное направление не интегрируется</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obstruction/arc absence</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FORMAL-ONLY</w:t>
            </w:r>
          </w:p>
        </w:tc>
      </w:tr>
    </w:tbl>
    <w:p>
      <w:pPr>
        <w:pStyle w:val="Heading2"/>
        <w:widowControl/>
      </w:pPr>
      <w:r>
        <w:t>Матрица 24-B: главы 9-16</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1950"/>
        <w:gridCol w:w="1950"/>
        <w:gridCol w:w="1950"/>
        <w:gridCol w:w="1950"/>
        <w:gridCol w:w="1950"/>
      </w:tblGrid>
      <w:tr>
        <w:trPr>
          <w:tblHeader w:val="true"/>
          <w:cantSplit/>
        </w:trPr>
        <w:tc>
          <w:tcPr>
            <w:tcW w:type="dxa" w:w="576"/>
            <w:shd w:fill="173B67"/>
            <w:tcMar>
              <w:top w:w="110" w:type="dxa"/>
              <w:start w:w="110" w:type="dxa"/>
              <w:bottom w:w="110" w:type="dxa"/>
              <w:end w:w="110" w:type="dxa"/>
            </w:tcMar>
            <w:vAlign w:val="center"/>
          </w:tcPr>
          <w:p>
            <w:pPr>
              <w:jc w:val="center"/>
            </w:pPr>
            <w:r>
              <w:rPr>
                <w:rFonts w:ascii="Aptos" w:hAnsi="Aptos" w:eastAsia="Aptos"/>
                <w:b/>
                <w:color w:val="FFFFFF"/>
                <w:sz w:val="15"/>
              </w:rPr>
              <w:t>Гл.</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5"/>
              </w:rPr>
              <w:t>Слой</w:t>
            </w:r>
          </w:p>
        </w:tc>
        <w:tc>
          <w:tcPr>
            <w:tcW w:type="dxa" w:w="3312"/>
            <w:shd w:fill="173B67"/>
            <w:tcMar>
              <w:top w:w="110" w:type="dxa"/>
              <w:start w:w="110" w:type="dxa"/>
              <w:bottom w:w="110" w:type="dxa"/>
              <w:end w:w="110" w:type="dxa"/>
            </w:tcMar>
            <w:vAlign w:val="center"/>
          </w:tcPr>
          <w:p>
            <w:pPr>
              <w:jc w:val="center"/>
            </w:pPr>
            <w:r>
              <w:rPr>
                <w:rFonts w:ascii="Aptos" w:hAnsi="Aptos" w:eastAsia="Aptos"/>
                <w:b/>
                <w:color w:val="FFFFFF"/>
                <w:sz w:val="15"/>
              </w:rPr>
              <w:t>Отрицательный свидетель</w:t>
            </w:r>
          </w:p>
        </w:tc>
        <w:tc>
          <w:tcPr>
            <w:tcW w:type="dxa" w:w="2160"/>
            <w:shd w:fill="173B67"/>
            <w:tcMar>
              <w:top w:w="110" w:type="dxa"/>
              <w:start w:w="110" w:type="dxa"/>
              <w:bottom w:w="110" w:type="dxa"/>
              <w:end w:w="110" w:type="dxa"/>
            </w:tcMar>
            <w:vAlign w:val="center"/>
          </w:tcPr>
          <w:p>
            <w:pPr>
              <w:jc w:val="center"/>
            </w:pPr>
            <w:r>
              <w:rPr>
                <w:rFonts w:ascii="Aptos" w:hAnsi="Aptos" w:eastAsia="Aptos"/>
                <w:b/>
                <w:color w:val="FFFFFF"/>
                <w:sz w:val="15"/>
              </w:rPr>
              <w:t>Проверка</w:t>
            </w:r>
          </w:p>
        </w:tc>
        <w:tc>
          <w:tcPr>
            <w:tcW w:type="dxa" w:w="1728"/>
            <w:shd w:fill="173B67"/>
            <w:tcMar>
              <w:top w:w="110" w:type="dxa"/>
              <w:start w:w="110" w:type="dxa"/>
              <w:bottom w:w="110" w:type="dxa"/>
              <w:end w:w="110" w:type="dxa"/>
            </w:tcMar>
            <w:vAlign w:val="center"/>
          </w:tcPr>
          <w:p>
            <w:pPr>
              <w:jc w:val="center"/>
            </w:pPr>
            <w:r>
              <w:rPr>
                <w:rFonts w:ascii="Aptos" w:hAnsi="Aptos" w:eastAsia="Aptos"/>
                <w:b/>
                <w:color w:val="FFFFFF"/>
                <w:sz w:val="15"/>
              </w:rPr>
              <w:t>Допустимый статус</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9</w:t>
            </w:r>
          </w:p>
        </w:tc>
        <w:tc>
          <w:tcPr>
            <w:tcW w:type="dxa" w:w="2016"/>
            <w:tcMar>
              <w:top w:w="90" w:type="dxa"/>
              <w:start w:w="100" w:type="dxa"/>
              <w:bottom w:w="90" w:type="dxa"/>
              <w:end w:w="100" w:type="dxa"/>
            </w:tcMar>
            <w:vAlign w:val="center"/>
          </w:tcPr>
          <w:p>
            <w:pPr>
              <w:spacing w:after="0"/>
            </w:pPr>
            <w:r>
              <w:rPr>
                <w:rFonts w:ascii="Aptos" w:hAnsi="Aptos" w:eastAsia="Aptos"/>
                <w:sz w:val="15"/>
              </w:rPr>
              <w:t>Связность и голономия</w:t>
            </w:r>
          </w:p>
        </w:tc>
        <w:tc>
          <w:tcPr>
            <w:tcW w:type="dxa" w:w="3312"/>
            <w:tcMar>
              <w:top w:w="90" w:type="dxa"/>
              <w:start w:w="100" w:type="dxa"/>
              <w:bottom w:w="90" w:type="dxa"/>
              <w:end w:w="100" w:type="dxa"/>
            </w:tcMar>
            <w:vAlign w:val="center"/>
          </w:tcPr>
          <w:p>
            <w:pPr>
              <w:spacing w:after="0"/>
            </w:pPr>
            <w:r>
              <w:rPr>
                <w:rFonts w:ascii="Aptos" w:hAnsi="Aptos" w:eastAsia="Aptos"/>
                <w:sz w:val="15"/>
              </w:rPr>
              <w:t>несогласованность транспорта</w:t>
            </w:r>
          </w:p>
        </w:tc>
        <w:tc>
          <w:tcPr>
            <w:tcW w:type="dxa" w:w="2160"/>
            <w:tcMar>
              <w:top w:w="90" w:type="dxa"/>
              <w:start w:w="100" w:type="dxa"/>
              <w:bottom w:w="90" w:type="dxa"/>
              <w:end w:w="100" w:type="dxa"/>
            </w:tcMar>
            <w:vAlign w:val="center"/>
          </w:tcPr>
          <w:p>
            <w:pPr>
              <w:spacing w:after="0"/>
            </w:pPr>
            <w:r>
              <w:rPr>
                <w:rFonts w:ascii="Aptos" w:hAnsi="Aptos" w:eastAsia="Aptos"/>
                <w:sz w:val="15"/>
              </w:rPr>
              <w:t>loop/composition residual</w:t>
            </w:r>
          </w:p>
        </w:tc>
        <w:tc>
          <w:tcPr>
            <w:tcW w:type="dxa" w:w="1728"/>
            <w:tcMar>
              <w:top w:w="90" w:type="dxa"/>
              <w:start w:w="100" w:type="dxa"/>
              <w:bottom w:w="90" w:type="dxa"/>
              <w:end w:w="100" w:type="dxa"/>
            </w:tcMar>
            <w:vAlign w:val="center"/>
          </w:tcPr>
          <w:p>
            <w:pPr>
              <w:spacing w:after="0"/>
            </w:pPr>
            <w:r>
              <w:rPr>
                <w:rFonts w:ascii="Aptos" w:hAnsi="Aptos" w:eastAsia="Aptos"/>
                <w:sz w:val="15"/>
              </w:rPr>
              <w:t>FAIL-CONN</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10</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Дифференциальные формы</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δ²≠0 или Leibniz failure</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точная форма</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FAIL-COMPLEX</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11</w:t>
            </w:r>
          </w:p>
        </w:tc>
        <w:tc>
          <w:tcPr>
            <w:tcW w:type="dxa" w:w="2016"/>
            <w:tcMar>
              <w:top w:w="90" w:type="dxa"/>
              <w:start w:w="100" w:type="dxa"/>
              <w:bottom w:w="90" w:type="dxa"/>
              <w:end w:w="100" w:type="dxa"/>
            </w:tcMar>
            <w:vAlign w:val="center"/>
          </w:tcPr>
          <w:p>
            <w:pPr>
              <w:spacing w:after="0"/>
            </w:pPr>
            <w:r>
              <w:rPr>
                <w:rFonts w:ascii="Aptos" w:hAnsi="Aptos" w:eastAsia="Aptos"/>
                <w:sz w:val="15"/>
              </w:rPr>
              <w:t>Hodge/Fredholm</w:t>
            </w:r>
          </w:p>
        </w:tc>
        <w:tc>
          <w:tcPr>
            <w:tcW w:type="dxa" w:w="3312"/>
            <w:tcMar>
              <w:top w:w="90" w:type="dxa"/>
              <w:start w:w="100" w:type="dxa"/>
              <w:bottom w:w="90" w:type="dxa"/>
              <w:end w:w="100" w:type="dxa"/>
            </w:tcMar>
            <w:vAlign w:val="center"/>
          </w:tcPr>
          <w:p>
            <w:pPr>
              <w:spacing w:after="0"/>
            </w:pPr>
            <w:r>
              <w:rPr>
                <w:rFonts w:ascii="Aptos" w:hAnsi="Aptos" w:eastAsia="Aptos"/>
                <w:sz w:val="15"/>
              </w:rPr>
              <w:t>нет области/сопряжённости/compactness</w:t>
            </w:r>
          </w:p>
        </w:tc>
        <w:tc>
          <w:tcPr>
            <w:tcW w:type="dxa" w:w="2160"/>
            <w:tcMar>
              <w:top w:w="90" w:type="dxa"/>
              <w:start w:w="100" w:type="dxa"/>
              <w:bottom w:w="90" w:type="dxa"/>
              <w:end w:w="100" w:type="dxa"/>
            </w:tcMar>
            <w:vAlign w:val="center"/>
          </w:tcPr>
          <w:p>
            <w:pPr>
              <w:spacing w:after="0"/>
            </w:pPr>
            <w:r>
              <w:rPr>
                <w:rFonts w:ascii="Aptos" w:hAnsi="Aptos" w:eastAsia="Aptos"/>
                <w:sz w:val="15"/>
              </w:rPr>
              <w:t>boundary counterexample</w:t>
            </w:r>
          </w:p>
        </w:tc>
        <w:tc>
          <w:tcPr>
            <w:tcW w:type="dxa" w:w="1728"/>
            <w:tcMar>
              <w:top w:w="90" w:type="dxa"/>
              <w:start w:w="100" w:type="dxa"/>
              <w:bottom w:w="90" w:type="dxa"/>
              <w:end w:w="100" w:type="dxa"/>
            </w:tcMar>
            <w:vAlign w:val="center"/>
          </w:tcPr>
          <w:p>
            <w:pPr>
              <w:spacing w:after="0"/>
            </w:pPr>
            <w:r>
              <w:rPr>
                <w:rFonts w:ascii="Aptos" w:hAnsi="Aptos" w:eastAsia="Aptos"/>
                <w:sz w:val="15"/>
              </w:rPr>
              <w:t>COND/FAIL</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12</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C_min, δ_min, Θ_min</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зависимость от выбора</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две реализации</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FAIL-INTERNAL</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13</w:t>
            </w:r>
          </w:p>
        </w:tc>
        <w:tc>
          <w:tcPr>
            <w:tcW w:type="dxa" w:w="2016"/>
            <w:tcMar>
              <w:top w:w="90" w:type="dxa"/>
              <w:start w:w="100" w:type="dxa"/>
              <w:bottom w:w="90" w:type="dxa"/>
              <w:end w:w="100" w:type="dxa"/>
            </w:tcMar>
            <w:vAlign w:val="center"/>
          </w:tcPr>
          <w:p>
            <w:pPr>
              <w:spacing w:after="0"/>
            </w:pPr>
            <w:r>
              <w:rPr>
                <w:rFonts w:ascii="Aptos" w:hAnsi="Aptos" w:eastAsia="Aptos"/>
                <w:sz w:val="15"/>
              </w:rPr>
              <w:t>Внешний E-мост</w:t>
            </w:r>
          </w:p>
        </w:tc>
        <w:tc>
          <w:tcPr>
            <w:tcW w:type="dxa" w:w="3312"/>
            <w:tcMar>
              <w:top w:w="90" w:type="dxa"/>
              <w:start w:w="100" w:type="dxa"/>
              <w:bottom w:w="90" w:type="dxa"/>
              <w:end w:w="100" w:type="dxa"/>
            </w:tcMar>
            <w:vAlign w:val="center"/>
          </w:tcPr>
          <w:p>
            <w:pPr>
              <w:spacing w:after="0"/>
            </w:pPr>
            <w:r>
              <w:rPr>
                <w:rFonts w:ascii="Aptos" w:hAnsi="Aptos" w:eastAsia="Aptos"/>
                <w:sz w:val="15"/>
              </w:rPr>
              <w:t>Π_E не well-defined/неинъективен</w:t>
            </w:r>
          </w:p>
        </w:tc>
        <w:tc>
          <w:tcPr>
            <w:tcW w:type="dxa" w:w="2160"/>
            <w:tcMar>
              <w:top w:w="90" w:type="dxa"/>
              <w:start w:w="100" w:type="dxa"/>
              <w:bottom w:w="90" w:type="dxa"/>
              <w:end w:w="100" w:type="dxa"/>
            </w:tcMar>
            <w:vAlign w:val="center"/>
          </w:tcPr>
          <w:p>
            <w:pPr>
              <w:spacing w:after="0"/>
            </w:pPr>
            <w:r>
              <w:rPr>
                <w:rFonts w:ascii="Aptos" w:hAnsi="Aptos" w:eastAsia="Aptos"/>
                <w:sz w:val="15"/>
              </w:rPr>
              <w:t>representative counterexample</w:t>
            </w:r>
          </w:p>
        </w:tc>
        <w:tc>
          <w:tcPr>
            <w:tcW w:type="dxa" w:w="1728"/>
            <w:tcMar>
              <w:top w:w="90" w:type="dxa"/>
              <w:start w:w="100" w:type="dxa"/>
              <w:bottom w:w="90" w:type="dxa"/>
              <w:end w:w="100" w:type="dxa"/>
            </w:tcMar>
            <w:vAlign w:val="center"/>
          </w:tcPr>
          <w:p>
            <w:pPr>
              <w:spacing w:after="0"/>
            </w:pPr>
            <w:r>
              <w:rPr>
                <w:rFonts w:ascii="Aptos" w:hAnsi="Aptos" w:eastAsia="Aptos"/>
                <w:sz w:val="15"/>
              </w:rPr>
              <w:t>OPEN/ONE-WAY</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14</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Пространства препятствий</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quotient/carrier неверен</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class calculation</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FAIL-OB</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15</w:t>
            </w:r>
          </w:p>
        </w:tc>
        <w:tc>
          <w:tcPr>
            <w:tcW w:type="dxa" w:w="2016"/>
            <w:tcMar>
              <w:top w:w="90" w:type="dxa"/>
              <w:start w:w="100" w:type="dxa"/>
              <w:bottom w:w="90" w:type="dxa"/>
              <w:end w:w="100" w:type="dxa"/>
            </w:tcMar>
            <w:vAlign w:val="center"/>
          </w:tcPr>
          <w:p>
            <w:pPr>
              <w:spacing w:after="0"/>
            </w:pPr>
            <w:r>
              <w:rPr>
                <w:rFonts w:ascii="Aptos" w:hAnsi="Aptos" w:eastAsia="Aptos"/>
                <w:sz w:val="15"/>
              </w:rPr>
              <w:t>Относительные конструкции</w:t>
            </w:r>
          </w:p>
        </w:tc>
        <w:tc>
          <w:tcPr>
            <w:tcW w:type="dxa" w:w="3312"/>
            <w:tcMar>
              <w:top w:w="90" w:type="dxa"/>
              <w:start w:w="100" w:type="dxa"/>
              <w:bottom w:w="90" w:type="dxa"/>
              <w:end w:w="100" w:type="dxa"/>
            </w:tcMar>
            <w:vAlign w:val="center"/>
          </w:tcPr>
          <w:p>
            <w:pPr>
              <w:spacing w:after="0"/>
            </w:pPr>
            <w:r>
              <w:rPr>
                <w:rFonts w:ascii="Aptos" w:hAnsi="Aptos" w:eastAsia="Aptos"/>
                <w:sz w:val="15"/>
              </w:rPr>
              <w:t>точность последовательности нарушена</w:t>
            </w:r>
          </w:p>
        </w:tc>
        <w:tc>
          <w:tcPr>
            <w:tcW w:type="dxa" w:w="2160"/>
            <w:tcMar>
              <w:top w:w="90" w:type="dxa"/>
              <w:start w:w="100" w:type="dxa"/>
              <w:bottom w:w="90" w:type="dxa"/>
              <w:end w:w="100" w:type="dxa"/>
            </w:tcMar>
            <w:vAlign w:val="center"/>
          </w:tcPr>
          <w:p>
            <w:pPr>
              <w:spacing w:after="0"/>
            </w:pPr>
            <w:r>
              <w:rPr>
                <w:rFonts w:ascii="Aptos" w:hAnsi="Aptos" w:eastAsia="Aptos"/>
                <w:sz w:val="15"/>
              </w:rPr>
              <w:t>explicit pair</w:t>
            </w:r>
          </w:p>
        </w:tc>
        <w:tc>
          <w:tcPr>
            <w:tcW w:type="dxa" w:w="1728"/>
            <w:tcMar>
              <w:top w:w="90" w:type="dxa"/>
              <w:start w:w="100" w:type="dxa"/>
              <w:bottom w:w="90" w:type="dxa"/>
              <w:end w:w="100" w:type="dxa"/>
            </w:tcMar>
            <w:vAlign w:val="center"/>
          </w:tcPr>
          <w:p>
            <w:pPr>
              <w:spacing w:after="0"/>
            </w:pPr>
            <w:r>
              <w:rPr>
                <w:rFonts w:ascii="Aptos" w:hAnsi="Aptos" w:eastAsia="Aptos"/>
                <w:sz w:val="15"/>
              </w:rPr>
              <w:t>FAIL-REL</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16</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Деформации/модули</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tangent не интегрируется</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higher obstruction</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COND</w:t>
            </w:r>
          </w:p>
        </w:tc>
      </w:tr>
    </w:tbl>
    <w:p>
      <w:pPr>
        <w:pStyle w:val="Heading2"/>
        <w:widowControl/>
      </w:pPr>
      <w:r>
        <w:t>Матрица 24-C: главы 17-24</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1950"/>
        <w:gridCol w:w="1950"/>
        <w:gridCol w:w="1950"/>
        <w:gridCol w:w="1950"/>
        <w:gridCol w:w="1950"/>
      </w:tblGrid>
      <w:tr>
        <w:trPr>
          <w:tblHeader w:val="true"/>
          <w:cantSplit/>
        </w:trPr>
        <w:tc>
          <w:tcPr>
            <w:tcW w:type="dxa" w:w="576"/>
            <w:shd w:fill="173B67"/>
            <w:tcMar>
              <w:top w:w="110" w:type="dxa"/>
              <w:start w:w="110" w:type="dxa"/>
              <w:bottom w:w="110" w:type="dxa"/>
              <w:end w:w="110" w:type="dxa"/>
            </w:tcMar>
            <w:vAlign w:val="center"/>
          </w:tcPr>
          <w:p>
            <w:pPr>
              <w:jc w:val="center"/>
            </w:pPr>
            <w:r>
              <w:rPr>
                <w:rFonts w:ascii="Aptos" w:hAnsi="Aptos" w:eastAsia="Aptos"/>
                <w:b/>
                <w:color w:val="FFFFFF"/>
                <w:sz w:val="15"/>
              </w:rPr>
              <w:t>Гл.</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5"/>
              </w:rPr>
              <w:t>Слой</w:t>
            </w:r>
          </w:p>
        </w:tc>
        <w:tc>
          <w:tcPr>
            <w:tcW w:type="dxa" w:w="3312"/>
            <w:shd w:fill="173B67"/>
            <w:tcMar>
              <w:top w:w="110" w:type="dxa"/>
              <w:start w:w="110" w:type="dxa"/>
              <w:bottom w:w="110" w:type="dxa"/>
              <w:end w:w="110" w:type="dxa"/>
            </w:tcMar>
            <w:vAlign w:val="center"/>
          </w:tcPr>
          <w:p>
            <w:pPr>
              <w:jc w:val="center"/>
            </w:pPr>
            <w:r>
              <w:rPr>
                <w:rFonts w:ascii="Aptos" w:hAnsi="Aptos" w:eastAsia="Aptos"/>
                <w:b/>
                <w:color w:val="FFFFFF"/>
                <w:sz w:val="15"/>
              </w:rPr>
              <w:t>Отрицательный свидетель</w:t>
            </w:r>
          </w:p>
        </w:tc>
        <w:tc>
          <w:tcPr>
            <w:tcW w:type="dxa" w:w="2160"/>
            <w:shd w:fill="173B67"/>
            <w:tcMar>
              <w:top w:w="110" w:type="dxa"/>
              <w:start w:w="110" w:type="dxa"/>
              <w:bottom w:w="110" w:type="dxa"/>
              <w:end w:w="110" w:type="dxa"/>
            </w:tcMar>
            <w:vAlign w:val="center"/>
          </w:tcPr>
          <w:p>
            <w:pPr>
              <w:jc w:val="center"/>
            </w:pPr>
            <w:r>
              <w:rPr>
                <w:rFonts w:ascii="Aptos" w:hAnsi="Aptos" w:eastAsia="Aptos"/>
                <w:b/>
                <w:color w:val="FFFFFF"/>
                <w:sz w:val="15"/>
              </w:rPr>
              <w:t>Проверка</w:t>
            </w:r>
          </w:p>
        </w:tc>
        <w:tc>
          <w:tcPr>
            <w:tcW w:type="dxa" w:w="1728"/>
            <w:shd w:fill="173B67"/>
            <w:tcMar>
              <w:top w:w="110" w:type="dxa"/>
              <w:start w:w="110" w:type="dxa"/>
              <w:bottom w:w="110" w:type="dxa"/>
              <w:end w:w="110" w:type="dxa"/>
            </w:tcMar>
            <w:vAlign w:val="center"/>
          </w:tcPr>
          <w:p>
            <w:pPr>
              <w:jc w:val="center"/>
            </w:pPr>
            <w:r>
              <w:rPr>
                <w:rFonts w:ascii="Aptos" w:hAnsi="Aptos" w:eastAsia="Aptos"/>
                <w:b/>
                <w:color w:val="FFFFFF"/>
                <w:sz w:val="15"/>
              </w:rPr>
              <w:t>Допустимый статус</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17</w:t>
            </w:r>
          </w:p>
        </w:tc>
        <w:tc>
          <w:tcPr>
            <w:tcW w:type="dxa" w:w="2016"/>
            <w:tcMar>
              <w:top w:w="90" w:type="dxa"/>
              <w:start w:w="100" w:type="dxa"/>
              <w:bottom w:w="90" w:type="dxa"/>
              <w:end w:w="100" w:type="dxa"/>
            </w:tcMar>
            <w:vAlign w:val="center"/>
          </w:tcPr>
          <w:p>
            <w:pPr>
              <w:spacing w:after="0"/>
            </w:pPr>
            <w:r>
              <w:rPr>
                <w:rFonts w:ascii="Aptos" w:hAnsi="Aptos" w:eastAsia="Aptos"/>
                <w:sz w:val="15"/>
              </w:rPr>
              <w:t>Wall-crossing</w:t>
            </w:r>
          </w:p>
        </w:tc>
        <w:tc>
          <w:tcPr>
            <w:tcW w:type="dxa" w:w="3312"/>
            <w:tcMar>
              <w:top w:w="90" w:type="dxa"/>
              <w:start w:w="100" w:type="dxa"/>
              <w:bottom w:w="90" w:type="dxa"/>
              <w:end w:w="100" w:type="dxa"/>
            </w:tcMar>
            <w:vAlign w:val="center"/>
          </w:tcPr>
          <w:p>
            <w:pPr>
              <w:spacing w:after="0"/>
            </w:pPr>
            <w:r>
              <w:rPr>
                <w:rFonts w:ascii="Aptos" w:hAnsi="Aptos" w:eastAsia="Aptos"/>
                <w:sz w:val="15"/>
              </w:rPr>
              <w:t>branch/monodromy нестабилен</w:t>
            </w:r>
          </w:p>
        </w:tc>
        <w:tc>
          <w:tcPr>
            <w:tcW w:type="dxa" w:w="2160"/>
            <w:tcMar>
              <w:top w:w="90" w:type="dxa"/>
              <w:start w:w="100" w:type="dxa"/>
              <w:bottom w:w="90" w:type="dxa"/>
              <w:end w:w="100" w:type="dxa"/>
            </w:tcMar>
            <w:vAlign w:val="center"/>
          </w:tcPr>
          <w:p>
            <w:pPr>
              <w:spacing w:after="0"/>
            </w:pPr>
            <w:r>
              <w:rPr>
                <w:rFonts w:ascii="Aptos" w:hAnsi="Aptos" w:eastAsia="Aptos"/>
                <w:sz w:val="15"/>
              </w:rPr>
              <w:t>loop/chamber test</w:t>
            </w:r>
          </w:p>
        </w:tc>
        <w:tc>
          <w:tcPr>
            <w:tcW w:type="dxa" w:w="1728"/>
            <w:tcMar>
              <w:top w:w="90" w:type="dxa"/>
              <w:start w:w="100" w:type="dxa"/>
              <w:bottom w:w="90" w:type="dxa"/>
              <w:end w:w="100" w:type="dxa"/>
            </w:tcMar>
            <w:vAlign w:val="center"/>
          </w:tcPr>
          <w:p>
            <w:pPr>
              <w:spacing w:after="0"/>
            </w:pPr>
            <w:r>
              <w:rPr>
                <w:rFonts w:ascii="Aptos" w:hAnsi="Aptos" w:eastAsia="Aptos"/>
                <w:sz w:val="15"/>
              </w:rPr>
              <w:t>FAIL-WALL</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18</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Global stacky moduli</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coherence/descent fails</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triple/quadruple overlap</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ABSTAIN</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19</w:t>
            </w:r>
          </w:p>
        </w:tc>
        <w:tc>
          <w:tcPr>
            <w:tcW w:type="dxa" w:w="2016"/>
            <w:tcMar>
              <w:top w:w="90" w:type="dxa"/>
              <w:start w:w="100" w:type="dxa"/>
              <w:bottom w:w="90" w:type="dxa"/>
              <w:end w:w="100" w:type="dxa"/>
            </w:tcMar>
            <w:vAlign w:val="center"/>
          </w:tcPr>
          <w:p>
            <w:pPr>
              <w:spacing w:after="0"/>
            </w:pPr>
            <w:r>
              <w:rPr>
                <w:rFonts w:ascii="Aptos" w:hAnsi="Aptos" w:eastAsia="Aptos"/>
                <w:sz w:val="15"/>
              </w:rPr>
              <w:t>Virtual cycles</w:t>
            </w:r>
          </w:p>
        </w:tc>
        <w:tc>
          <w:tcPr>
            <w:tcW w:type="dxa" w:w="3312"/>
            <w:tcMar>
              <w:top w:w="90" w:type="dxa"/>
              <w:start w:w="100" w:type="dxa"/>
              <w:bottom w:w="90" w:type="dxa"/>
              <w:end w:w="100" w:type="dxa"/>
            </w:tcMar>
            <w:vAlign w:val="center"/>
          </w:tcPr>
          <w:p>
            <w:pPr>
              <w:spacing w:after="0"/>
            </w:pPr>
            <w:r>
              <w:rPr>
                <w:rFonts w:ascii="Aptos" w:hAnsi="Aptos" w:eastAsia="Aptos"/>
                <w:sz w:val="15"/>
              </w:rPr>
              <w:t>orientation/properness fails</w:t>
            </w:r>
          </w:p>
        </w:tc>
        <w:tc>
          <w:tcPr>
            <w:tcW w:type="dxa" w:w="2160"/>
            <w:tcMar>
              <w:top w:w="90" w:type="dxa"/>
              <w:start w:w="100" w:type="dxa"/>
              <w:bottom w:w="90" w:type="dxa"/>
              <w:end w:w="100" w:type="dxa"/>
            </w:tcMar>
            <w:vAlign w:val="center"/>
          </w:tcPr>
          <w:p>
            <w:pPr>
              <w:spacing w:after="0"/>
            </w:pPr>
            <w:r>
              <w:rPr>
                <w:rFonts w:ascii="Aptos" w:hAnsi="Aptos" w:eastAsia="Aptos"/>
                <w:sz w:val="15"/>
              </w:rPr>
              <w:t>virtual package audit</w:t>
            </w:r>
          </w:p>
        </w:tc>
        <w:tc>
          <w:tcPr>
            <w:tcW w:type="dxa" w:w="1728"/>
            <w:tcMar>
              <w:top w:w="90" w:type="dxa"/>
              <w:start w:w="100" w:type="dxa"/>
              <w:bottom w:w="90" w:type="dxa"/>
              <w:end w:w="100" w:type="dxa"/>
            </w:tcMar>
            <w:vAlign w:val="center"/>
          </w:tcPr>
          <w:p>
            <w:pPr>
              <w:spacing w:after="0"/>
            </w:pPr>
            <w:r>
              <w:rPr>
                <w:rFonts w:ascii="Aptos" w:hAnsi="Aptos" w:eastAsia="Aptos"/>
                <w:sz w:val="15"/>
              </w:rPr>
              <w:t>ABSTAIN-VFC</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20</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Motivic/refined</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realization loses required data</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two motives same realization</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FORMAL-ONLY</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21</w:t>
            </w:r>
          </w:p>
        </w:tc>
        <w:tc>
          <w:tcPr>
            <w:tcW w:type="dxa" w:w="2016"/>
            <w:tcMar>
              <w:top w:w="90" w:type="dxa"/>
              <w:start w:w="100" w:type="dxa"/>
              <w:bottom w:w="90" w:type="dxa"/>
              <w:end w:w="100" w:type="dxa"/>
            </w:tcMar>
            <w:vAlign w:val="center"/>
          </w:tcPr>
          <w:p>
            <w:pPr>
              <w:spacing w:after="0"/>
            </w:pPr>
            <w:r>
              <w:rPr>
                <w:rFonts w:ascii="Aptos" w:hAnsi="Aptos" w:eastAsia="Aptos"/>
                <w:sz w:val="15"/>
              </w:rPr>
              <w:t>Evolution/transfer</w:t>
            </w:r>
          </w:p>
        </w:tc>
        <w:tc>
          <w:tcPr>
            <w:tcW w:type="dxa" w:w="3312"/>
            <w:tcMar>
              <w:top w:w="90" w:type="dxa"/>
              <w:start w:w="100" w:type="dxa"/>
              <w:bottom w:w="90" w:type="dxa"/>
              <w:end w:w="100" w:type="dxa"/>
            </w:tcMar>
            <w:vAlign w:val="center"/>
          </w:tcPr>
          <w:p>
            <w:pPr>
              <w:spacing w:after="0"/>
            </w:pPr>
            <w:r>
              <w:rPr>
                <w:rFonts w:ascii="Aptos" w:hAnsi="Aptos" w:eastAsia="Aptos"/>
                <w:sz w:val="15"/>
              </w:rPr>
              <w:t>semigroup/path law fails</w:t>
            </w:r>
          </w:p>
        </w:tc>
        <w:tc>
          <w:tcPr>
            <w:tcW w:type="dxa" w:w="2160"/>
            <w:tcMar>
              <w:top w:w="90" w:type="dxa"/>
              <w:start w:w="100" w:type="dxa"/>
              <w:bottom w:w="90" w:type="dxa"/>
              <w:end w:w="100" w:type="dxa"/>
            </w:tcMar>
            <w:vAlign w:val="center"/>
          </w:tcPr>
          <w:p>
            <w:pPr>
              <w:spacing w:after="0"/>
            </w:pPr>
            <w:r>
              <w:rPr>
                <w:rFonts w:ascii="Aptos" w:hAnsi="Aptos" w:eastAsia="Aptos"/>
                <w:sz w:val="15"/>
              </w:rPr>
              <w:t>cocycle/nonanticipation test</w:t>
            </w:r>
          </w:p>
        </w:tc>
        <w:tc>
          <w:tcPr>
            <w:tcW w:type="dxa" w:w="1728"/>
            <w:tcMar>
              <w:top w:w="90" w:type="dxa"/>
              <w:start w:w="100" w:type="dxa"/>
              <w:bottom w:w="90" w:type="dxa"/>
              <w:end w:w="100" w:type="dxa"/>
            </w:tcMar>
            <w:vAlign w:val="center"/>
          </w:tcPr>
          <w:p>
            <w:pPr>
              <w:spacing w:after="0"/>
            </w:pPr>
            <w:r>
              <w:rPr>
                <w:rFonts w:ascii="Aptos" w:hAnsi="Aptos" w:eastAsia="Aptos"/>
                <w:sz w:val="15"/>
              </w:rPr>
              <w:t>FAIL-EVOL</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22</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Stochastic/control/causal</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martingale/identification fails</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null model/SCM pair</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RISK/CAUSAL-UNAVAILABLE</w:t>
            </w:r>
          </w:p>
        </w:tc>
      </w:tr>
      <w:tr>
        <w:trPr>
          <w:cantSplit/>
        </w:trPr>
        <w:tc>
          <w:tcPr>
            <w:tcW w:type="dxa" w:w="576"/>
            <w:tcMar>
              <w:top w:w="90" w:type="dxa"/>
              <w:start w:w="100" w:type="dxa"/>
              <w:bottom w:w="90" w:type="dxa"/>
              <w:end w:w="100" w:type="dxa"/>
            </w:tcMar>
            <w:vAlign w:val="center"/>
          </w:tcPr>
          <w:p>
            <w:pPr>
              <w:spacing w:after="0"/>
            </w:pPr>
            <w:r>
              <w:rPr>
                <w:rFonts w:ascii="Aptos" w:hAnsi="Aptos" w:eastAsia="Aptos"/>
                <w:sz w:val="15"/>
              </w:rPr>
              <w:t>23</w:t>
            </w:r>
          </w:p>
        </w:tc>
        <w:tc>
          <w:tcPr>
            <w:tcW w:type="dxa" w:w="2016"/>
            <w:tcMar>
              <w:top w:w="90" w:type="dxa"/>
              <w:start w:w="100" w:type="dxa"/>
              <w:bottom w:w="90" w:type="dxa"/>
              <w:end w:w="100" w:type="dxa"/>
            </w:tcMar>
            <w:vAlign w:val="center"/>
          </w:tcPr>
          <w:p>
            <w:pPr>
              <w:spacing w:after="0"/>
            </w:pPr>
            <w:r>
              <w:rPr>
                <w:rFonts w:ascii="Aptos" w:hAnsi="Aptos" w:eastAsia="Aptos"/>
                <w:sz w:val="15"/>
              </w:rPr>
              <w:t>Rare/robust</w:t>
            </w:r>
          </w:p>
        </w:tc>
        <w:tc>
          <w:tcPr>
            <w:tcW w:type="dxa" w:w="3312"/>
            <w:tcMar>
              <w:top w:w="90" w:type="dxa"/>
              <w:start w:w="100" w:type="dxa"/>
              <w:bottom w:w="90" w:type="dxa"/>
              <w:end w:w="100" w:type="dxa"/>
            </w:tcMar>
            <w:vAlign w:val="center"/>
          </w:tcPr>
          <w:p>
            <w:pPr>
              <w:spacing w:after="0"/>
            </w:pPr>
            <w:r>
              <w:rPr>
                <w:rFonts w:ascii="Aptos" w:hAnsi="Aptos" w:eastAsia="Aptos"/>
                <w:sz w:val="15"/>
              </w:rPr>
              <w:t>coverage/remainder fails</w:t>
            </w:r>
          </w:p>
        </w:tc>
        <w:tc>
          <w:tcPr>
            <w:tcW w:type="dxa" w:w="2160"/>
            <w:tcMar>
              <w:top w:w="90" w:type="dxa"/>
              <w:start w:w="100" w:type="dxa"/>
              <w:bottom w:w="90" w:type="dxa"/>
              <w:end w:w="100" w:type="dxa"/>
            </w:tcMar>
            <w:vAlign w:val="center"/>
          </w:tcPr>
          <w:p>
            <w:pPr>
              <w:spacing w:after="0"/>
            </w:pPr>
            <w:r>
              <w:rPr>
                <w:rFonts w:ascii="Aptos" w:hAnsi="Aptos" w:eastAsia="Aptos"/>
                <w:sz w:val="15"/>
              </w:rPr>
              <w:t>external exceedance</w:t>
            </w:r>
          </w:p>
        </w:tc>
        <w:tc>
          <w:tcPr>
            <w:tcW w:type="dxa" w:w="1728"/>
            <w:tcMar>
              <w:top w:w="90" w:type="dxa"/>
              <w:start w:w="100" w:type="dxa"/>
              <w:bottom w:w="90" w:type="dxa"/>
              <w:end w:w="100" w:type="dxa"/>
            </w:tcMar>
            <w:vAlign w:val="center"/>
          </w:tcPr>
          <w:p>
            <w:pPr>
              <w:spacing w:after="0"/>
            </w:pPr>
            <w:r>
              <w:rPr>
                <w:rFonts w:ascii="Aptos" w:hAnsi="Aptos" w:eastAsia="Aptos"/>
                <w:sz w:val="15"/>
              </w:rPr>
              <w:t>BOUND-FAILED</w:t>
            </w:r>
          </w:p>
        </w:tc>
      </w:tr>
      <w:tr>
        <w:trPr>
          <w:cantSplit/>
        </w:trPr>
        <w:tc>
          <w:tcPr>
            <w:tcW w:type="dxa" w:w="576"/>
            <w:tcMar>
              <w:top w:w="90" w:type="dxa"/>
              <w:start w:w="100" w:type="dxa"/>
              <w:bottom w:w="90" w:type="dxa"/>
              <w:end w:w="100" w:type="dxa"/>
            </w:tcMar>
            <w:vAlign w:val="center"/>
            <w:shd w:fill="F5F7F9"/>
          </w:tcPr>
          <w:p>
            <w:pPr>
              <w:spacing w:after="0"/>
            </w:pPr>
            <w:r>
              <w:rPr>
                <w:rFonts w:ascii="Aptos" w:hAnsi="Aptos" w:eastAsia="Aptos"/>
                <w:sz w:val="15"/>
              </w:rPr>
              <w:t>24</w:t>
            </w:r>
          </w:p>
        </w:tc>
        <w:tc>
          <w:tcPr>
            <w:tcW w:type="dxa" w:w="2016"/>
            <w:tcMar>
              <w:top w:w="90" w:type="dxa"/>
              <w:start w:w="100" w:type="dxa"/>
              <w:bottom w:w="90" w:type="dxa"/>
              <w:end w:w="100" w:type="dxa"/>
            </w:tcMar>
            <w:vAlign w:val="center"/>
            <w:shd w:fill="F5F7F9"/>
          </w:tcPr>
          <w:p>
            <w:pPr>
              <w:spacing w:after="0"/>
            </w:pPr>
            <w:r>
              <w:rPr>
                <w:rFonts w:ascii="Aptos" w:hAnsi="Aptos" w:eastAsia="Aptos"/>
                <w:sz w:val="15"/>
              </w:rPr>
              <w:t>End-to-end synthesis</w:t>
            </w:r>
          </w:p>
        </w:tc>
        <w:tc>
          <w:tcPr>
            <w:tcW w:type="dxa" w:w="3312"/>
            <w:tcMar>
              <w:top w:w="90" w:type="dxa"/>
              <w:start w:w="100" w:type="dxa"/>
              <w:bottom w:w="90" w:type="dxa"/>
              <w:end w:w="100" w:type="dxa"/>
            </w:tcMar>
            <w:vAlign w:val="center"/>
            <w:shd w:fill="F5F7F9"/>
          </w:tcPr>
          <w:p>
            <w:pPr>
              <w:spacing w:after="0"/>
            </w:pPr>
            <w:r>
              <w:rPr>
                <w:rFonts w:ascii="Aptos" w:hAnsi="Aptos" w:eastAsia="Aptos"/>
                <w:sz w:val="15"/>
              </w:rPr>
              <w:t>OK при нарушенном contract</w:t>
            </w:r>
          </w:p>
        </w:tc>
        <w:tc>
          <w:tcPr>
            <w:tcW w:type="dxa" w:w="2160"/>
            <w:tcMar>
              <w:top w:w="90" w:type="dxa"/>
              <w:start w:w="100" w:type="dxa"/>
              <w:bottom w:w="90" w:type="dxa"/>
              <w:end w:w="100" w:type="dxa"/>
            </w:tcMar>
            <w:vAlign w:val="center"/>
            <w:shd w:fill="F5F7F9"/>
          </w:tcPr>
          <w:p>
            <w:pPr>
              <w:spacing w:after="0"/>
            </w:pPr>
            <w:r>
              <w:rPr>
                <w:rFonts w:ascii="Aptos" w:hAnsi="Aptos" w:eastAsia="Aptos"/>
                <w:sz w:val="15"/>
              </w:rPr>
              <w:t>integrated adversarial test</w:t>
            </w:r>
          </w:p>
        </w:tc>
        <w:tc>
          <w:tcPr>
            <w:tcW w:type="dxa" w:w="1728"/>
            <w:tcMar>
              <w:top w:w="90" w:type="dxa"/>
              <w:start w:w="100" w:type="dxa"/>
              <w:bottom w:w="90" w:type="dxa"/>
              <w:end w:w="100" w:type="dxa"/>
            </w:tcMar>
            <w:vAlign w:val="center"/>
            <w:shd w:fill="F5F7F9"/>
          </w:tcPr>
          <w:p>
            <w:pPr>
              <w:spacing w:after="0"/>
            </w:pPr>
            <w:r>
              <w:rPr>
                <w:rFonts w:ascii="Aptos" w:hAnsi="Aptos" w:eastAsia="Aptos"/>
                <w:sz w:val="15"/>
              </w:rPr>
              <w:t>FAIL-RELEASE</w:t>
            </w:r>
          </w:p>
        </w:tc>
      </w:tr>
    </w:tbl>
    <w:p>
      <w:bookmarkStart w:id="1347" w:name="h_3610"/>
      <w:pPr>
        <w:pStyle w:val="Heading1"/>
        <w:widowControl/>
      </w:pPr>
      <w:r>
        <w:t>414. Итоговая матрица статусов Тома II</w:t>
      </w:r>
      <w:bookmarkEnd w:id="1347"/>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3251"/>
        <w:gridCol w:w="3251"/>
        <w:gridCol w:w="3251"/>
      </w:tblGrid>
      <w:tr>
        <w:trPr>
          <w:tblHeader w:val="true"/>
          <w:cantSplit/>
        </w:trPr>
        <w:tc>
          <w:tcPr>
            <w:tcW w:type="dxa" w:w="2880"/>
            <w:shd w:fill="173B67"/>
            <w:tcMar>
              <w:top w:w="110" w:type="dxa"/>
              <w:start w:w="110" w:type="dxa"/>
              <w:bottom w:w="110" w:type="dxa"/>
              <w:end w:w="110" w:type="dxa"/>
            </w:tcMar>
            <w:vAlign w:val="center"/>
          </w:tcPr>
          <w:p>
            <w:pPr>
              <w:jc w:val="center"/>
            </w:pPr>
            <w:r>
              <w:rPr>
                <w:rFonts w:ascii="Aptos" w:hAnsi="Aptos" w:eastAsia="Aptos"/>
                <w:b/>
                <w:color w:val="FFFFFF"/>
                <w:sz w:val="16"/>
              </w:rPr>
              <w:t>Кластер</w:t>
            </w:r>
          </w:p>
        </w:tc>
        <w:tc>
          <w:tcPr>
            <w:tcW w:type="dxa" w:w="3456"/>
            <w:shd w:fill="173B67"/>
            <w:tcMar>
              <w:top w:w="110" w:type="dxa"/>
              <w:start w:w="110" w:type="dxa"/>
              <w:bottom w:w="110" w:type="dxa"/>
              <w:end w:w="110" w:type="dxa"/>
            </w:tcMar>
            <w:vAlign w:val="center"/>
          </w:tcPr>
          <w:p>
            <w:pPr>
              <w:jc w:val="center"/>
            </w:pPr>
            <w:r>
              <w:rPr>
                <w:rFonts w:ascii="Aptos" w:hAnsi="Aptos" w:eastAsia="Aptos"/>
                <w:b/>
                <w:color w:val="FFFFFF"/>
                <w:sz w:val="16"/>
              </w:rPr>
              <w:t>Наиболее сильный доступный статус</w:t>
            </w:r>
          </w:p>
        </w:tc>
        <w:tc>
          <w:tcPr>
            <w:tcW w:type="dxa" w:w="3168"/>
            <w:shd w:fill="173B67"/>
            <w:tcMar>
              <w:top w:w="110" w:type="dxa"/>
              <w:start w:w="110" w:type="dxa"/>
              <w:bottom w:w="110" w:type="dxa"/>
              <w:end w:w="110" w:type="dxa"/>
            </w:tcMar>
            <w:vAlign w:val="center"/>
          </w:tcPr>
          <w:p>
            <w:pPr>
              <w:jc w:val="center"/>
            </w:pPr>
            <w:r>
              <w:rPr>
                <w:rFonts w:ascii="Aptos" w:hAnsi="Aptos" w:eastAsia="Aptos"/>
                <w:b/>
                <w:color w:val="FFFFFF"/>
                <w:sz w:val="16"/>
              </w:rPr>
              <w:t>Незакрытая граница</w:t>
            </w:r>
          </w:p>
        </w:tc>
      </w:tr>
      <w:tr>
        <w:trPr>
          <w:cantSplit/>
        </w:trPr>
        <w:tc>
          <w:tcPr>
            <w:tcW w:type="dxa" w:w="2880"/>
            <w:tcMar>
              <w:top w:w="90" w:type="dxa"/>
              <w:start w:w="100" w:type="dxa"/>
              <w:bottom w:w="90" w:type="dxa"/>
              <w:end w:w="100" w:type="dxa"/>
            </w:tcMar>
            <w:vAlign w:val="center"/>
          </w:tcPr>
          <w:p>
            <w:pPr>
              <w:spacing w:after="0"/>
            </w:pPr>
            <w:r>
              <w:rPr>
                <w:rFonts w:ascii="Aptos" w:hAnsi="Aptos" w:eastAsia="Aptos"/>
                <w:sz w:val="16"/>
              </w:rPr>
              <w:t>Типы, категория, явные алгебраические леммы</w:t>
            </w:r>
          </w:p>
        </w:tc>
        <w:tc>
          <w:tcPr>
            <w:tcW w:type="dxa" w:w="3456"/>
            <w:tcMar>
              <w:top w:w="90" w:type="dxa"/>
              <w:start w:w="100" w:type="dxa"/>
              <w:bottom w:w="90" w:type="dxa"/>
              <w:end w:w="100" w:type="dxa"/>
            </w:tcMar>
            <w:vAlign w:val="center"/>
          </w:tcPr>
          <w:p>
            <w:pPr>
              <w:spacing w:after="0"/>
            </w:pPr>
            <w:r>
              <w:rPr>
                <w:rFonts w:ascii="Aptos" w:hAnsi="Aptos" w:eastAsia="Aptos"/>
                <w:sz w:val="16"/>
              </w:rPr>
              <w:t>THM в фиксированных носителях</w:t>
            </w:r>
          </w:p>
        </w:tc>
        <w:tc>
          <w:tcPr>
            <w:tcW w:type="dxa" w:w="3168"/>
            <w:tcMar>
              <w:top w:w="90" w:type="dxa"/>
              <w:start w:w="100" w:type="dxa"/>
              <w:bottom w:w="90" w:type="dxa"/>
              <w:end w:w="100" w:type="dxa"/>
            </w:tcMar>
            <w:vAlign w:val="center"/>
          </w:tcPr>
          <w:p>
            <w:pPr>
              <w:spacing w:after="0"/>
            </w:pPr>
            <w:r>
              <w:rPr>
                <w:rFonts w:ascii="Aptos" w:hAnsi="Aptos" w:eastAsia="Aptos"/>
                <w:sz w:val="16"/>
              </w:rPr>
              <w:t>обобщение на более широкие классы</w:t>
            </w:r>
          </w:p>
        </w:tc>
      </w:tr>
      <w:tr>
        <w:trPr>
          <w:cantSplit/>
        </w:trPr>
        <w:tc>
          <w:tcPr>
            <w:tcW w:type="dxa" w:w="2880"/>
            <w:tcMar>
              <w:top w:w="90" w:type="dxa"/>
              <w:start w:w="100" w:type="dxa"/>
              <w:bottom w:w="90" w:type="dxa"/>
              <w:end w:w="100" w:type="dxa"/>
            </w:tcMar>
            <w:vAlign w:val="center"/>
            <w:shd w:fill="F5F7F9"/>
          </w:tcPr>
          <w:p>
            <w:pPr>
              <w:spacing w:after="0"/>
            </w:pPr>
            <w:r>
              <w:rPr>
                <w:rFonts w:ascii="Aptos" w:hAnsi="Aptos" w:eastAsia="Aptos"/>
                <w:sz w:val="16"/>
              </w:rPr>
              <w:t>Алгебро-геометрическая двойственность</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COND/THM на essential image</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существенная сюръективность и каноничность</w:t>
            </w:r>
          </w:p>
        </w:tc>
      </w:tr>
      <w:tr>
        <w:trPr>
          <w:cantSplit/>
        </w:trPr>
        <w:tc>
          <w:tcPr>
            <w:tcW w:type="dxa" w:w="2880"/>
            <w:tcMar>
              <w:top w:w="90" w:type="dxa"/>
              <w:start w:w="100" w:type="dxa"/>
              <w:bottom w:w="90" w:type="dxa"/>
              <w:end w:w="100" w:type="dxa"/>
            </w:tcMar>
            <w:vAlign w:val="center"/>
          </w:tcPr>
          <w:p>
            <w:pPr>
              <w:spacing w:after="0"/>
            </w:pPr>
            <w:r>
              <w:rPr>
                <w:rFonts w:ascii="Aptos" w:hAnsi="Aptos" w:eastAsia="Aptos"/>
                <w:sz w:val="16"/>
              </w:rPr>
              <w:t>Атласы, descent, connections</w:t>
            </w:r>
          </w:p>
        </w:tc>
        <w:tc>
          <w:tcPr>
            <w:tcW w:type="dxa" w:w="3456"/>
            <w:tcMar>
              <w:top w:w="90" w:type="dxa"/>
              <w:start w:w="100" w:type="dxa"/>
              <w:bottom w:w="90" w:type="dxa"/>
              <w:end w:w="100" w:type="dxa"/>
            </w:tcMar>
            <w:vAlign w:val="center"/>
          </w:tcPr>
          <w:p>
            <w:pPr>
              <w:spacing w:after="0"/>
            </w:pPr>
            <w:r>
              <w:rPr>
                <w:rFonts w:ascii="Aptos" w:hAnsi="Aptos" w:eastAsia="Aptos"/>
                <w:sz w:val="16"/>
              </w:rPr>
              <w:t>THM/COND при стандартных гипотезах</w:t>
            </w:r>
          </w:p>
        </w:tc>
        <w:tc>
          <w:tcPr>
            <w:tcW w:type="dxa" w:w="3168"/>
            <w:tcMar>
              <w:top w:w="90" w:type="dxa"/>
              <w:start w:w="100" w:type="dxa"/>
              <w:bottom w:w="90" w:type="dxa"/>
              <w:end w:w="100" w:type="dxa"/>
            </w:tcMar>
            <w:vAlign w:val="center"/>
          </w:tcPr>
          <w:p>
            <w:pPr>
              <w:spacing w:after="0"/>
            </w:pPr>
            <w:r>
              <w:rPr>
                <w:rFonts w:ascii="Aptos" w:hAnsi="Aptos" w:eastAsia="Aptos"/>
                <w:sz w:val="16"/>
              </w:rPr>
              <w:t>неассоциативные higher coherences</w:t>
            </w:r>
          </w:p>
        </w:tc>
      </w:tr>
      <w:tr>
        <w:trPr>
          <w:cantSplit/>
        </w:trPr>
        <w:tc>
          <w:tcPr>
            <w:tcW w:type="dxa" w:w="2880"/>
            <w:tcMar>
              <w:top w:w="90" w:type="dxa"/>
              <w:start w:w="100" w:type="dxa"/>
              <w:bottom w:w="90" w:type="dxa"/>
              <w:end w:w="100" w:type="dxa"/>
            </w:tcMar>
            <w:vAlign w:val="center"/>
            <w:shd w:fill="F5F7F9"/>
          </w:tcPr>
          <w:p>
            <w:pPr>
              <w:spacing w:after="0"/>
            </w:pPr>
            <w:r>
              <w:rPr>
                <w:rFonts w:ascii="Aptos" w:hAnsi="Aptos" w:eastAsia="Aptos"/>
                <w:sz w:val="16"/>
              </w:rPr>
              <w:t>Внутренние complexes/obstructions</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THM/COMP для явных моделей</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универсальность комплекса</w:t>
            </w:r>
          </w:p>
        </w:tc>
      </w:tr>
      <w:tr>
        <w:trPr>
          <w:cantSplit/>
        </w:trPr>
        <w:tc>
          <w:tcPr>
            <w:tcW w:type="dxa" w:w="2880"/>
            <w:tcMar>
              <w:top w:w="90" w:type="dxa"/>
              <w:start w:w="100" w:type="dxa"/>
              <w:bottom w:w="90" w:type="dxa"/>
              <w:end w:w="100" w:type="dxa"/>
            </w:tcMar>
            <w:vAlign w:val="center"/>
          </w:tcPr>
          <w:p>
            <w:pPr>
              <w:spacing w:after="0"/>
            </w:pPr>
            <w:r>
              <w:rPr>
                <w:rFonts w:ascii="Aptos" w:hAnsi="Aptos" w:eastAsia="Aptos"/>
                <w:sz w:val="16"/>
              </w:rPr>
              <w:t>Внешний E-мост Π_E</w:t>
            </w:r>
          </w:p>
        </w:tc>
        <w:tc>
          <w:tcPr>
            <w:tcW w:type="dxa" w:w="3456"/>
            <w:tcMar>
              <w:top w:w="90" w:type="dxa"/>
              <w:start w:w="100" w:type="dxa"/>
              <w:bottom w:w="90" w:type="dxa"/>
              <w:end w:w="100" w:type="dxa"/>
            </w:tcMar>
            <w:vAlign w:val="center"/>
          </w:tcPr>
          <w:p>
            <w:pPr>
              <w:spacing w:after="0"/>
            </w:pPr>
            <w:r>
              <w:rPr>
                <w:rFonts w:ascii="Aptos" w:hAnsi="Aptos" w:eastAsia="Aptos"/>
                <w:sz w:val="16"/>
              </w:rPr>
              <w:t>COND</w:t>
            </w:r>
          </w:p>
        </w:tc>
        <w:tc>
          <w:tcPr>
            <w:tcW w:type="dxa" w:w="3168"/>
            <w:tcMar>
              <w:top w:w="90" w:type="dxa"/>
              <w:start w:w="100" w:type="dxa"/>
              <w:bottom w:w="90" w:type="dxa"/>
              <w:end w:w="100" w:type="dxa"/>
            </w:tcMar>
            <w:vAlign w:val="center"/>
          </w:tcPr>
          <w:p>
            <w:pPr>
              <w:spacing w:after="0"/>
            </w:pPr>
            <w:r>
              <w:rPr>
                <w:rFonts w:ascii="Aptos" w:hAnsi="Aptos" w:eastAsia="Aptos"/>
                <w:sz w:val="16"/>
              </w:rPr>
              <w:t>B1-B8, injectivity/completeness</w:t>
            </w:r>
          </w:p>
        </w:tc>
      </w:tr>
      <w:tr>
        <w:trPr>
          <w:cantSplit/>
        </w:trPr>
        <w:tc>
          <w:tcPr>
            <w:tcW w:type="dxa" w:w="2880"/>
            <w:tcMar>
              <w:top w:w="90" w:type="dxa"/>
              <w:start w:w="100" w:type="dxa"/>
              <w:bottom w:w="90" w:type="dxa"/>
              <w:end w:w="100" w:type="dxa"/>
            </w:tcMar>
            <w:vAlign w:val="center"/>
            <w:shd w:fill="F5F7F9"/>
          </w:tcPr>
          <w:p>
            <w:pPr>
              <w:spacing w:after="0"/>
            </w:pPr>
            <w:r>
              <w:rPr>
                <w:rFonts w:ascii="Aptos" w:hAnsi="Aptos" w:eastAsia="Aptos"/>
                <w:sz w:val="16"/>
              </w:rPr>
              <w:t>Kuranishi, wall, global derived</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COND/MODEL</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properness, coherence, orientation</w:t>
            </w:r>
          </w:p>
        </w:tc>
      </w:tr>
      <w:tr>
        <w:trPr>
          <w:cantSplit/>
        </w:trPr>
        <w:tc>
          <w:tcPr>
            <w:tcW w:type="dxa" w:w="2880"/>
            <w:tcMar>
              <w:top w:w="90" w:type="dxa"/>
              <w:start w:w="100" w:type="dxa"/>
              <w:bottom w:w="90" w:type="dxa"/>
              <w:end w:w="100" w:type="dxa"/>
            </w:tcMar>
            <w:vAlign w:val="center"/>
          </w:tcPr>
          <w:p>
            <w:pPr>
              <w:spacing w:after="0"/>
            </w:pPr>
            <w:r>
              <w:rPr>
                <w:rFonts w:ascii="Aptos" w:hAnsi="Aptos" w:eastAsia="Aptos"/>
                <w:sz w:val="16"/>
              </w:rPr>
              <w:t>Virtual/motivic/refined</w:t>
            </w:r>
          </w:p>
        </w:tc>
        <w:tc>
          <w:tcPr>
            <w:tcW w:type="dxa" w:w="3456"/>
            <w:tcMar>
              <w:top w:w="90" w:type="dxa"/>
              <w:start w:w="100" w:type="dxa"/>
              <w:bottom w:w="90" w:type="dxa"/>
              <w:end w:w="100" w:type="dxa"/>
            </w:tcMar>
            <w:vAlign w:val="center"/>
          </w:tcPr>
          <w:p>
            <w:pPr>
              <w:spacing w:after="0"/>
            </w:pPr>
            <w:r>
              <w:rPr>
                <w:rFonts w:ascii="Aptos" w:hAnsi="Aptos" w:eastAsia="Aptos"/>
                <w:sz w:val="16"/>
              </w:rPr>
              <w:t>THM prior art + MODEL bridge</w:t>
            </w:r>
          </w:p>
        </w:tc>
        <w:tc>
          <w:tcPr>
            <w:tcW w:type="dxa" w:w="3168"/>
            <w:tcMar>
              <w:top w:w="90" w:type="dxa"/>
              <w:start w:w="100" w:type="dxa"/>
              <w:bottom w:w="90" w:type="dxa"/>
              <w:end w:w="100" w:type="dxa"/>
            </w:tcMar>
            <w:vAlign w:val="center"/>
          </w:tcPr>
          <w:p>
            <w:pPr>
              <w:spacing w:after="0"/>
            </w:pPr>
            <w:r>
              <w:rPr>
                <w:rFonts w:ascii="Aptos" w:hAnsi="Aptos" w:eastAsia="Aptos"/>
                <w:sz w:val="16"/>
              </w:rPr>
              <w:t>probability/dynamics firewall</w:t>
            </w:r>
          </w:p>
        </w:tc>
      </w:tr>
      <w:tr>
        <w:trPr>
          <w:cantSplit/>
        </w:trPr>
        <w:tc>
          <w:tcPr>
            <w:tcW w:type="dxa" w:w="2880"/>
            <w:tcMar>
              <w:top w:w="90" w:type="dxa"/>
              <w:start w:w="100" w:type="dxa"/>
              <w:bottom w:w="90" w:type="dxa"/>
              <w:end w:w="100" w:type="dxa"/>
            </w:tcMar>
            <w:vAlign w:val="center"/>
            <w:shd w:fill="F5F7F9"/>
          </w:tcPr>
          <w:p>
            <w:pPr>
              <w:spacing w:after="0"/>
            </w:pPr>
            <w:r>
              <w:rPr>
                <w:rFonts w:ascii="Aptos" w:hAnsi="Aptos" w:eastAsia="Aptos"/>
                <w:sz w:val="16"/>
              </w:rPr>
              <w:t>Evolution/stochastic</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THM prior art + COND application</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existence, calibration, shift</w:t>
            </w:r>
          </w:p>
        </w:tc>
      </w:tr>
      <w:tr>
        <w:trPr>
          <w:cantSplit/>
        </w:trPr>
        <w:tc>
          <w:tcPr>
            <w:tcW w:type="dxa" w:w="2880"/>
            <w:tcMar>
              <w:top w:w="90" w:type="dxa"/>
              <w:start w:w="100" w:type="dxa"/>
              <w:bottom w:w="90" w:type="dxa"/>
              <w:end w:w="100" w:type="dxa"/>
            </w:tcMar>
            <w:vAlign w:val="center"/>
          </w:tcPr>
          <w:p>
            <w:pPr>
              <w:spacing w:after="0"/>
            </w:pPr>
            <w:r>
              <w:rPr>
                <w:rFonts w:ascii="Aptos" w:hAnsi="Aptos" w:eastAsia="Aptos"/>
                <w:sz w:val="16"/>
              </w:rPr>
              <w:t>Causal interface</w:t>
            </w:r>
          </w:p>
        </w:tc>
        <w:tc>
          <w:tcPr>
            <w:tcW w:type="dxa" w:w="3456"/>
            <w:tcMar>
              <w:top w:w="90" w:type="dxa"/>
              <w:start w:w="100" w:type="dxa"/>
              <w:bottom w:w="90" w:type="dxa"/>
              <w:end w:w="100" w:type="dxa"/>
            </w:tcMar>
            <w:vAlign w:val="center"/>
          </w:tcPr>
          <w:p>
            <w:pPr>
              <w:spacing w:after="0"/>
            </w:pPr>
            <w:r>
              <w:rPr>
                <w:rFonts w:ascii="Aptos" w:hAnsi="Aptos" w:eastAsia="Aptos"/>
                <w:sz w:val="16"/>
              </w:rPr>
              <w:t>COND/UNAVAILABLE</w:t>
            </w:r>
          </w:p>
        </w:tc>
        <w:tc>
          <w:tcPr>
            <w:tcW w:type="dxa" w:w="3168"/>
            <w:tcMar>
              <w:top w:w="90" w:type="dxa"/>
              <w:start w:w="100" w:type="dxa"/>
              <w:bottom w:w="90" w:type="dxa"/>
              <w:end w:w="100" w:type="dxa"/>
            </w:tcMar>
            <w:vAlign w:val="center"/>
          </w:tcPr>
          <w:p>
            <w:pPr>
              <w:spacing w:after="0"/>
            </w:pPr>
            <w:r>
              <w:rPr>
                <w:rFonts w:ascii="Aptos" w:hAnsi="Aptos" w:eastAsia="Aptos"/>
                <w:sz w:val="16"/>
              </w:rPr>
              <w:t>identification и transportability</w:t>
            </w:r>
          </w:p>
        </w:tc>
      </w:tr>
      <w:tr>
        <w:trPr>
          <w:cantSplit/>
        </w:trPr>
        <w:tc>
          <w:tcPr>
            <w:tcW w:type="dxa" w:w="2880"/>
            <w:tcMar>
              <w:top w:w="90" w:type="dxa"/>
              <w:start w:w="100" w:type="dxa"/>
              <w:bottom w:w="90" w:type="dxa"/>
              <w:end w:w="100" w:type="dxa"/>
            </w:tcMar>
            <w:vAlign w:val="center"/>
            <w:shd w:fill="F5F7F9"/>
          </w:tcPr>
          <w:p>
            <w:pPr>
              <w:spacing w:after="0"/>
            </w:pPr>
            <w:r>
              <w:rPr>
                <w:rFonts w:ascii="Aptos" w:hAnsi="Aptos" w:eastAsia="Aptos"/>
                <w:sz w:val="16"/>
              </w:rPr>
              <w:t>Rare-event/robust</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THM prior art + COND finite-n</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remainder/coverage/external validation</w:t>
            </w:r>
          </w:p>
        </w:tc>
      </w:tr>
      <w:tr>
        <w:trPr>
          <w:cantSplit/>
        </w:trPr>
        <w:tc>
          <w:tcPr>
            <w:tcW w:type="dxa" w:w="2880"/>
            <w:tcMar>
              <w:top w:w="90" w:type="dxa"/>
              <w:start w:w="100" w:type="dxa"/>
              <w:bottom w:w="90" w:type="dxa"/>
              <w:end w:w="100" w:type="dxa"/>
            </w:tcMar>
            <w:vAlign w:val="center"/>
          </w:tcPr>
          <w:p>
            <w:pPr>
              <w:spacing w:after="0"/>
            </w:pPr>
            <w:r>
              <w:rPr>
                <w:rFonts w:ascii="Aptos" w:hAnsi="Aptos" w:eastAsia="Aptos"/>
                <w:sz w:val="16"/>
              </w:rPr>
              <w:t>End-to-end operator</w:t>
            </w:r>
          </w:p>
        </w:tc>
        <w:tc>
          <w:tcPr>
            <w:tcW w:type="dxa" w:w="3456"/>
            <w:tcMar>
              <w:top w:w="90" w:type="dxa"/>
              <w:start w:w="100" w:type="dxa"/>
              <w:bottom w:w="90" w:type="dxa"/>
              <w:end w:w="100" w:type="dxa"/>
            </w:tcMar>
            <w:vAlign w:val="center"/>
          </w:tcPr>
          <w:p>
            <w:pPr>
              <w:spacing w:after="0"/>
            </w:pPr>
            <w:r>
              <w:rPr>
                <w:rFonts w:ascii="Aptos" w:hAnsi="Aptos" w:eastAsia="Aptos"/>
                <w:sz w:val="16"/>
              </w:rPr>
              <w:t>COND theorem schema + COMP contract</w:t>
            </w:r>
          </w:p>
        </w:tc>
        <w:tc>
          <w:tcPr>
            <w:tcW w:type="dxa" w:w="3168"/>
            <w:tcMar>
              <w:top w:w="90" w:type="dxa"/>
              <w:start w:w="100" w:type="dxa"/>
              <w:bottom w:w="90" w:type="dxa"/>
              <w:end w:w="100" w:type="dxa"/>
            </w:tcMar>
            <w:vAlign w:val="center"/>
          </w:tcPr>
          <w:p>
            <w:pPr>
              <w:spacing w:after="0"/>
            </w:pPr>
            <w:r>
              <w:rPr>
                <w:rFonts w:ascii="Aptos" w:hAnsi="Aptos" w:eastAsia="Aptos"/>
                <w:sz w:val="16"/>
              </w:rPr>
              <w:t>интегральная реализация и independent run</w:t>
            </w:r>
          </w:p>
        </w:tc>
      </w:tr>
      <w:tr>
        <w:trPr>
          <w:cantSplit/>
        </w:trPr>
        <w:tc>
          <w:tcPr>
            <w:tcW w:type="dxa" w:w="2880"/>
            <w:tcMar>
              <w:top w:w="90" w:type="dxa"/>
              <w:start w:w="100" w:type="dxa"/>
              <w:bottom w:w="90" w:type="dxa"/>
              <w:end w:w="100" w:type="dxa"/>
            </w:tcMar>
            <w:vAlign w:val="center"/>
            <w:shd w:fill="F5F7F9"/>
          </w:tcPr>
          <w:p>
            <w:pPr>
              <w:spacing w:after="0"/>
            </w:pPr>
            <w:r>
              <w:rPr>
                <w:rFonts w:ascii="Aptos" w:hAnsi="Aptos" w:eastAsia="Aptos"/>
                <w:sz w:val="16"/>
              </w:rPr>
              <w:t>F-1-F-14 и физические мосты</w:t>
            </w:r>
          </w:p>
        </w:tc>
        <w:tc>
          <w:tcPr>
            <w:tcW w:type="dxa" w:w="3456"/>
            <w:tcMar>
              <w:top w:w="90" w:type="dxa"/>
              <w:start w:w="100" w:type="dxa"/>
              <w:bottom w:w="90" w:type="dxa"/>
              <w:end w:w="100" w:type="dxa"/>
            </w:tcMar>
            <w:vAlign w:val="center"/>
            <w:shd w:fill="F5F7F9"/>
          </w:tcPr>
          <w:p>
            <w:pPr>
              <w:spacing w:after="0"/>
            </w:pPr>
            <w:r>
              <w:rPr>
                <w:rFonts w:ascii="Aptos" w:hAnsi="Aptos" w:eastAsia="Aptos"/>
                <w:sz w:val="16"/>
              </w:rPr>
              <w:t>PHY-HYP</w:t>
            </w:r>
          </w:p>
        </w:tc>
        <w:tc>
          <w:tcPr>
            <w:tcW w:type="dxa" w:w="3168"/>
            <w:tcMar>
              <w:top w:w="90" w:type="dxa"/>
              <w:start w:w="100" w:type="dxa"/>
              <w:bottom w:w="90" w:type="dxa"/>
              <w:end w:w="100" w:type="dxa"/>
            </w:tcMar>
            <w:vAlign w:val="center"/>
            <w:shd w:fill="F5F7F9"/>
          </w:tcPr>
          <w:p>
            <w:pPr>
              <w:spacing w:after="0"/>
            </w:pPr>
            <w:r>
              <w:rPr>
                <w:rFonts w:ascii="Aptos" w:hAnsi="Aptos" w:eastAsia="Aptos"/>
                <w:sz w:val="16"/>
              </w:rPr>
              <w:t>EXT-RUN не исполнен</w:t>
            </w:r>
          </w:p>
        </w:tc>
      </w:tr>
    </w:tbl>
    <w:p>
      <w:bookmarkStart w:id="1348" w:name="h_3611"/>
      <w:pPr>
        <w:pStyle w:val="Heading1"/>
        <w:widowControl/>
      </w:pPr>
      <w:r>
        <w:t>415. Вычислительный сертификат E2E-KLT v0.21</w:t>
      </w:r>
      <w:bookmarkEnd w:id="1348"/>
    </w:p>
    <w:p>
      <w:pPr>
        <w:widowControl/>
      </w:pPr>
      <w:r>
        <w:rPr>
          <w:i w:val="0"/>
        </w:rPr>
        <w:t>Сертификат состоит из 60 проверок, объединённых в десять групп.</w:t>
      </w:r>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4876"/>
        <w:gridCol w:w="4876"/>
      </w:tblGrid>
      <w:tr>
        <w:trPr>
          <w:tblHeader w:val="true"/>
          <w:cantSplit/>
        </w:trPr>
        <w:tc>
          <w:tcPr>
            <w:tcW w:type="dxa" w:w="1872"/>
            <w:shd w:fill="173B67"/>
            <w:tcMar>
              <w:top w:w="110" w:type="dxa"/>
              <w:start w:w="110" w:type="dxa"/>
              <w:bottom w:w="110" w:type="dxa"/>
              <w:end w:w="110" w:type="dxa"/>
            </w:tcMar>
            <w:vAlign w:val="center"/>
          </w:tcPr>
          <w:p>
            <w:pPr>
              <w:jc w:val="center"/>
            </w:pPr>
            <w:r>
              <w:rPr>
                <w:rFonts w:ascii="Aptos" w:hAnsi="Aptos" w:eastAsia="Aptos"/>
                <w:b/>
                <w:color w:val="FFFFFF"/>
                <w:sz w:val="17"/>
              </w:rPr>
              <w:t>Диапазон</w:t>
            </w:r>
          </w:p>
        </w:tc>
        <w:tc>
          <w:tcPr>
            <w:tcW w:type="dxa" w:w="7488"/>
            <w:shd w:fill="173B67"/>
            <w:tcMar>
              <w:top w:w="110" w:type="dxa"/>
              <w:start w:w="110" w:type="dxa"/>
              <w:bottom w:w="110" w:type="dxa"/>
              <w:end w:w="110" w:type="dxa"/>
            </w:tcMar>
            <w:vAlign w:val="center"/>
          </w:tcPr>
          <w:p>
            <w:pPr>
              <w:jc w:val="center"/>
            </w:pPr>
            <w:r>
              <w:rPr>
                <w:rFonts w:ascii="Aptos" w:hAnsi="Aptos" w:eastAsia="Aptos"/>
                <w:b/>
                <w:color w:val="FFFFFF"/>
                <w:sz w:val="17"/>
              </w:rPr>
              <w:t>Проверки</w:t>
            </w:r>
          </w:p>
        </w:tc>
      </w:tr>
      <w:tr>
        <w:trPr>
          <w:cantSplit/>
        </w:trPr>
        <w:tc>
          <w:tcPr>
            <w:tcW w:type="dxa" w:w="1872"/>
            <w:tcMar>
              <w:top w:w="90" w:type="dxa"/>
              <w:start w:w="100" w:type="dxa"/>
              <w:bottom w:w="90" w:type="dxa"/>
              <w:end w:w="100" w:type="dxa"/>
            </w:tcMar>
            <w:vAlign w:val="center"/>
          </w:tcPr>
          <w:p>
            <w:pPr>
              <w:spacing w:after="0"/>
            </w:pPr>
            <w:r>
              <w:rPr>
                <w:rFonts w:ascii="Aptos" w:hAnsi="Aptos" w:eastAsia="Aptos"/>
                <w:sz w:val="17"/>
              </w:rPr>
              <w:t>E2E-01-06</w:t>
            </w:r>
          </w:p>
        </w:tc>
        <w:tc>
          <w:tcPr>
            <w:tcW w:type="dxa" w:w="7488"/>
            <w:tcMar>
              <w:top w:w="90" w:type="dxa"/>
              <w:start w:w="100" w:type="dxa"/>
              <w:bottom w:w="90" w:type="dxa"/>
              <w:end w:w="100" w:type="dxa"/>
            </w:tcMar>
            <w:vAlign w:val="center"/>
          </w:tcPr>
          <w:p>
            <w:pPr>
              <w:spacing w:after="0"/>
            </w:pPr>
            <w:r>
              <w:rPr>
                <w:rFonts w:ascii="Aptos" w:hAnsi="Aptos" w:eastAsia="Aptos"/>
                <w:sz w:val="17"/>
              </w:rPr>
              <w:t>source/schema/hash/license/identity/version</w:t>
            </w:r>
          </w:p>
        </w:tc>
      </w:tr>
      <w:tr>
        <w:trPr>
          <w:cantSplit/>
        </w:trPr>
        <w:tc>
          <w:tcPr>
            <w:tcW w:type="dxa" w:w="1872"/>
            <w:tcMar>
              <w:top w:w="90" w:type="dxa"/>
              <w:start w:w="100" w:type="dxa"/>
              <w:bottom w:w="90" w:type="dxa"/>
              <w:end w:w="100" w:type="dxa"/>
            </w:tcMar>
            <w:vAlign w:val="center"/>
            <w:shd w:fill="F5F7F9"/>
          </w:tcPr>
          <w:p>
            <w:pPr>
              <w:spacing w:after="0"/>
            </w:pPr>
            <w:r>
              <w:rPr>
                <w:rFonts w:ascii="Aptos" w:hAnsi="Aptos" w:eastAsia="Aptos"/>
                <w:sz w:val="17"/>
              </w:rPr>
              <w:t>E2E-07-12</w:t>
            </w:r>
          </w:p>
        </w:tc>
        <w:tc>
          <w:tcPr>
            <w:tcW w:type="dxa" w:w="7488"/>
            <w:tcMar>
              <w:top w:w="90" w:type="dxa"/>
              <w:start w:w="100" w:type="dxa"/>
              <w:bottom w:w="90" w:type="dxa"/>
              <w:end w:w="100" w:type="dxa"/>
            </w:tcMar>
            <w:vAlign w:val="center"/>
            <w:shd w:fill="F5F7F9"/>
          </w:tcPr>
          <w:p>
            <w:pPr>
              <w:spacing w:after="0"/>
            </w:pPr>
            <w:r>
              <w:rPr>
                <w:rFonts w:ascii="Aptos" w:hAnsi="Aptos" w:eastAsia="Aptos"/>
                <w:sz w:val="17"/>
              </w:rPr>
              <w:t>C@C, Reper, D/Dom, homogeneous Λ, pole/degeneracy</w:t>
            </w:r>
          </w:p>
        </w:tc>
      </w:tr>
      <w:tr>
        <w:trPr>
          <w:cantSplit/>
        </w:trPr>
        <w:tc>
          <w:tcPr>
            <w:tcW w:type="dxa" w:w="1872"/>
            <w:tcMar>
              <w:top w:w="90" w:type="dxa"/>
              <w:start w:w="100" w:type="dxa"/>
              <w:bottom w:w="90" w:type="dxa"/>
              <w:end w:w="100" w:type="dxa"/>
            </w:tcMar>
            <w:vAlign w:val="center"/>
          </w:tcPr>
          <w:p>
            <w:pPr>
              <w:spacing w:after="0"/>
            </w:pPr>
            <w:r>
              <w:rPr>
                <w:rFonts w:ascii="Aptos" w:hAnsi="Aptos" w:eastAsia="Aptos"/>
                <w:sz w:val="17"/>
              </w:rPr>
              <w:t>E2E-13-18</w:t>
            </w:r>
          </w:p>
        </w:tc>
        <w:tc>
          <w:tcPr>
            <w:tcW w:type="dxa" w:w="7488"/>
            <w:tcMar>
              <w:top w:w="90" w:type="dxa"/>
              <w:start w:w="100" w:type="dxa"/>
              <w:bottom w:w="90" w:type="dxa"/>
              <w:end w:w="100" w:type="dxa"/>
            </w:tcMar>
            <w:vAlign w:val="center"/>
          </w:tcPr>
          <w:p>
            <w:pPr>
              <w:spacing w:after="0"/>
            </w:pPr>
            <w:r>
              <w:rPr>
                <w:rFonts w:ascii="Aptos" w:hAnsi="Aptos" w:eastAsia="Aptos"/>
                <w:sz w:val="17"/>
              </w:rPr>
              <w:t>algebra closure, bilinearity, associator, invariants, exact arithmetic</w:t>
            </w:r>
          </w:p>
        </w:tc>
      </w:tr>
      <w:tr>
        <w:trPr>
          <w:cantSplit/>
        </w:trPr>
        <w:tc>
          <w:tcPr>
            <w:tcW w:type="dxa" w:w="1872"/>
            <w:tcMar>
              <w:top w:w="90" w:type="dxa"/>
              <w:start w:w="100" w:type="dxa"/>
              <w:bottom w:w="90" w:type="dxa"/>
              <w:end w:w="100" w:type="dxa"/>
            </w:tcMar>
            <w:vAlign w:val="center"/>
            <w:shd w:fill="F5F7F9"/>
          </w:tcPr>
          <w:p>
            <w:pPr>
              <w:spacing w:after="0"/>
            </w:pPr>
            <w:r>
              <w:rPr>
                <w:rFonts w:ascii="Aptos" w:hAnsi="Aptos" w:eastAsia="Aptos"/>
                <w:sz w:val="17"/>
              </w:rPr>
              <w:t>E2E-19-24</w:t>
            </w:r>
          </w:p>
        </w:tc>
        <w:tc>
          <w:tcPr>
            <w:tcW w:type="dxa" w:w="7488"/>
            <w:tcMar>
              <w:top w:w="90" w:type="dxa"/>
              <w:start w:w="100" w:type="dxa"/>
              <w:bottom w:w="90" w:type="dxa"/>
              <w:end w:w="100" w:type="dxa"/>
            </w:tcMar>
            <w:vAlign w:val="center"/>
            <w:shd w:fill="F5F7F9"/>
          </w:tcPr>
          <w:p>
            <w:pPr>
              <w:spacing w:after="0"/>
            </w:pPr>
            <w:r>
              <w:rPr>
                <w:rFonts w:ascii="Aptos" w:hAnsi="Aptos" w:eastAsia="Aptos"/>
                <w:sz w:val="17"/>
              </w:rPr>
              <w:t>atlas, cocycle, connection, curvature, holonomy, descent</w:t>
            </w:r>
          </w:p>
        </w:tc>
      </w:tr>
      <w:tr>
        <w:trPr>
          <w:cantSplit/>
        </w:trPr>
        <w:tc>
          <w:tcPr>
            <w:tcW w:type="dxa" w:w="1872"/>
            <w:tcMar>
              <w:top w:w="90" w:type="dxa"/>
              <w:start w:w="100" w:type="dxa"/>
              <w:bottom w:w="90" w:type="dxa"/>
              <w:end w:w="100" w:type="dxa"/>
            </w:tcMar>
            <w:vAlign w:val="center"/>
          </w:tcPr>
          <w:p>
            <w:pPr>
              <w:spacing w:after="0"/>
            </w:pPr>
            <w:r>
              <w:rPr>
                <w:rFonts w:ascii="Aptos" w:hAnsi="Aptos" w:eastAsia="Aptos"/>
                <w:sz w:val="17"/>
              </w:rPr>
              <w:t>E2E-25-30</w:t>
            </w:r>
          </w:p>
        </w:tc>
        <w:tc>
          <w:tcPr>
            <w:tcW w:type="dxa" w:w="7488"/>
            <w:tcMar>
              <w:top w:w="90" w:type="dxa"/>
              <w:start w:w="100" w:type="dxa"/>
              <w:bottom w:w="90" w:type="dxa"/>
              <w:end w:w="100" w:type="dxa"/>
            </w:tcMar>
            <w:vAlign w:val="center"/>
          </w:tcPr>
          <w:p>
            <w:pPr>
              <w:spacing w:after="0"/>
            </w:pPr>
            <w:r>
              <w:rPr>
                <w:rFonts w:ascii="Aptos" w:hAnsi="Aptos" w:eastAsia="Aptos"/>
                <w:sz w:val="17"/>
              </w:rPr>
              <w:t>complexes, δ², quotients, obstruction, Π_E assumptions, representative independence</w:t>
            </w:r>
          </w:p>
        </w:tc>
      </w:tr>
      <w:tr>
        <w:trPr>
          <w:cantSplit/>
        </w:trPr>
        <w:tc>
          <w:tcPr>
            <w:tcW w:type="dxa" w:w="1872"/>
            <w:tcMar>
              <w:top w:w="90" w:type="dxa"/>
              <w:start w:w="100" w:type="dxa"/>
              <w:bottom w:w="90" w:type="dxa"/>
              <w:end w:w="100" w:type="dxa"/>
            </w:tcMar>
            <w:vAlign w:val="center"/>
            <w:shd w:fill="F5F7F9"/>
          </w:tcPr>
          <w:p>
            <w:pPr>
              <w:spacing w:after="0"/>
            </w:pPr>
            <w:r>
              <w:rPr>
                <w:rFonts w:ascii="Aptos" w:hAnsi="Aptos" w:eastAsia="Aptos"/>
                <w:sz w:val="17"/>
              </w:rPr>
              <w:t>E2E-31-36</w:t>
            </w:r>
          </w:p>
        </w:tc>
        <w:tc>
          <w:tcPr>
            <w:tcW w:type="dxa" w:w="7488"/>
            <w:tcMar>
              <w:top w:w="90" w:type="dxa"/>
              <w:start w:w="100" w:type="dxa"/>
              <w:bottom w:w="90" w:type="dxa"/>
              <w:end w:w="100" w:type="dxa"/>
            </w:tcMar>
            <w:vAlign w:val="center"/>
            <w:shd w:fill="F5F7F9"/>
          </w:tcPr>
          <w:p>
            <w:pPr>
              <w:spacing w:after="0"/>
            </w:pPr>
            <w:r>
              <w:rPr>
                <w:rFonts w:ascii="Aptos" w:hAnsi="Aptos" w:eastAsia="Aptos"/>
                <w:sz w:val="17"/>
              </w:rPr>
              <w:t>Kuranishi/global coherence, walls, monodromy, virtual/refined firewalls</w:t>
            </w:r>
          </w:p>
        </w:tc>
      </w:tr>
      <w:tr>
        <w:trPr>
          <w:cantSplit/>
        </w:trPr>
        <w:tc>
          <w:tcPr>
            <w:tcW w:type="dxa" w:w="1872"/>
            <w:tcMar>
              <w:top w:w="90" w:type="dxa"/>
              <w:start w:w="100" w:type="dxa"/>
              <w:bottom w:w="90" w:type="dxa"/>
              <w:end w:w="100" w:type="dxa"/>
            </w:tcMar>
            <w:vAlign w:val="center"/>
          </w:tcPr>
          <w:p>
            <w:pPr>
              <w:spacing w:after="0"/>
            </w:pPr>
            <w:r>
              <w:rPr>
                <w:rFonts w:ascii="Aptos" w:hAnsi="Aptos" w:eastAsia="Aptos"/>
                <w:sz w:val="17"/>
              </w:rPr>
              <w:t>E2E-37-42</w:t>
            </w:r>
          </w:p>
        </w:tc>
        <w:tc>
          <w:tcPr>
            <w:tcW w:type="dxa" w:w="7488"/>
            <w:tcMar>
              <w:top w:w="90" w:type="dxa"/>
              <w:start w:w="100" w:type="dxa"/>
              <w:bottom w:w="90" w:type="dxa"/>
              <w:end w:w="100" w:type="dxa"/>
            </w:tcMar>
            <w:vAlign w:val="center"/>
          </w:tcPr>
          <w:p>
            <w:pPr>
              <w:spacing w:after="0"/>
            </w:pPr>
            <w:r>
              <w:rPr>
                <w:rFonts w:ascii="Aptos" w:hAnsi="Aptos" w:eastAsia="Aptos"/>
                <w:sz w:val="17"/>
              </w:rPr>
              <w:t>evolution, generator, path consistency, nonanticipation, stochastic law, stopping</w:t>
            </w:r>
          </w:p>
        </w:tc>
      </w:tr>
      <w:tr>
        <w:trPr>
          <w:cantSplit/>
        </w:trPr>
        <w:tc>
          <w:tcPr>
            <w:tcW w:type="dxa" w:w="1872"/>
            <w:tcMar>
              <w:top w:w="90" w:type="dxa"/>
              <w:start w:w="100" w:type="dxa"/>
              <w:bottom w:w="90" w:type="dxa"/>
              <w:end w:w="100" w:type="dxa"/>
            </w:tcMar>
            <w:vAlign w:val="center"/>
            <w:shd w:fill="F5F7F9"/>
          </w:tcPr>
          <w:p>
            <w:pPr>
              <w:spacing w:after="0"/>
            </w:pPr>
            <w:r>
              <w:rPr>
                <w:rFonts w:ascii="Aptos" w:hAnsi="Aptos" w:eastAsia="Aptos"/>
                <w:sz w:val="17"/>
              </w:rPr>
              <w:t>E2E-43-48</w:t>
            </w:r>
          </w:p>
        </w:tc>
        <w:tc>
          <w:tcPr>
            <w:tcW w:type="dxa" w:w="7488"/>
            <w:tcMar>
              <w:top w:w="90" w:type="dxa"/>
              <w:start w:w="100" w:type="dxa"/>
              <w:bottom w:w="90" w:type="dxa"/>
              <w:end w:w="100" w:type="dxa"/>
            </w:tcMar>
            <w:vAlign w:val="center"/>
            <w:shd w:fill="F5F7F9"/>
          </w:tcPr>
          <w:p>
            <w:pPr>
              <w:spacing w:after="0"/>
            </w:pPr>
            <w:r>
              <w:rPr>
                <w:rFonts w:ascii="Aptos" w:hAnsi="Aptos" w:eastAsia="Aptos"/>
                <w:sz w:val="17"/>
              </w:rPr>
              <w:t>causal identification, LDP/remainder, ambiguity coverage, robust risk, tail assumptions</w:t>
            </w:r>
          </w:p>
        </w:tc>
      </w:tr>
      <w:tr>
        <w:trPr>
          <w:cantSplit/>
        </w:trPr>
        <w:tc>
          <w:tcPr>
            <w:tcW w:type="dxa" w:w="1872"/>
            <w:tcMar>
              <w:top w:w="90" w:type="dxa"/>
              <w:start w:w="100" w:type="dxa"/>
              <w:bottom w:w="90" w:type="dxa"/>
              <w:end w:w="100" w:type="dxa"/>
            </w:tcMar>
            <w:vAlign w:val="center"/>
          </w:tcPr>
          <w:p>
            <w:pPr>
              <w:spacing w:after="0"/>
            </w:pPr>
            <w:r>
              <w:rPr>
                <w:rFonts w:ascii="Aptos" w:hAnsi="Aptos" w:eastAsia="Aptos"/>
                <w:sz w:val="17"/>
              </w:rPr>
              <w:t>E2E-49-54</w:t>
            </w:r>
          </w:p>
        </w:tc>
        <w:tc>
          <w:tcPr>
            <w:tcW w:type="dxa" w:w="7488"/>
            <w:tcMar>
              <w:top w:w="90" w:type="dxa"/>
              <w:start w:w="100" w:type="dxa"/>
              <w:bottom w:w="90" w:type="dxa"/>
              <w:end w:w="100" w:type="dxa"/>
            </w:tcMar>
            <w:vAlign w:val="center"/>
          </w:tcPr>
          <w:p>
            <w:pPr>
              <w:spacing w:after="0"/>
            </w:pPr>
            <w:r>
              <w:rPr>
                <w:rFonts w:ascii="Aptos" w:hAnsi="Aptos" w:eastAsia="Aptos"/>
                <w:sz w:val="17"/>
              </w:rPr>
              <w:t>budget transport, α-spending, numerical residual, scalarization policy, status meet</w:t>
            </w:r>
          </w:p>
        </w:tc>
      </w:tr>
      <w:tr>
        <w:trPr>
          <w:cantSplit/>
        </w:trPr>
        <w:tc>
          <w:tcPr>
            <w:tcW w:type="dxa" w:w="1872"/>
            <w:tcMar>
              <w:top w:w="90" w:type="dxa"/>
              <w:start w:w="100" w:type="dxa"/>
              <w:bottom w:w="90" w:type="dxa"/>
              <w:end w:w="100" w:type="dxa"/>
            </w:tcMar>
            <w:vAlign w:val="center"/>
            <w:shd w:fill="F5F7F9"/>
          </w:tcPr>
          <w:p>
            <w:pPr>
              <w:spacing w:after="0"/>
            </w:pPr>
            <w:r>
              <w:rPr>
                <w:rFonts w:ascii="Aptos" w:hAnsi="Aptos" w:eastAsia="Aptos"/>
                <w:sz w:val="17"/>
              </w:rPr>
              <w:t>E2E-55-60</w:t>
            </w:r>
          </w:p>
        </w:tc>
        <w:tc>
          <w:tcPr>
            <w:tcW w:type="dxa" w:w="7488"/>
            <w:tcMar>
              <w:top w:w="90" w:type="dxa"/>
              <w:start w:w="100" w:type="dxa"/>
              <w:bottom w:w="90" w:type="dxa"/>
              <w:end w:w="100" w:type="dxa"/>
            </w:tcMar>
            <w:vAlign w:val="center"/>
            <w:shd w:fill="F5F7F9"/>
          </w:tcPr>
          <w:p>
            <w:pPr>
              <w:spacing w:after="0"/>
            </w:pPr>
            <w:r>
              <w:rPr>
                <w:rFonts w:ascii="Aptos" w:hAnsi="Aptos" w:eastAsia="Aptos"/>
                <w:sz w:val="17"/>
              </w:rPr>
              <w:t>external split, leakage, release policy, manifest, hash root, reproducibility</w:t>
            </w:r>
          </w:p>
        </w:tc>
      </w:tr>
    </w:tbl>
    <w:p>
      <w:pPr>
        <w:widowControl/>
      </w:pPr>
      <w:r>
        <w:rPr>
          <w:i w:val="0"/>
        </w:rPr>
        <w:t>PASS всех проверок не повышает физический статус. Он удостоверяет лишь соответствие реализации контракту v0.21.</w:t>
      </w:r>
    </w:p>
    <w:p>
      <w:bookmarkStart w:id="1349" w:name="h_3614"/>
      <w:pPr>
        <w:pStyle w:val="Heading1"/>
        <w:widowControl/>
      </w:pPr>
      <w:r>
        <w:t>416. Канонический псевдокод</w:t>
      </w:r>
      <w:bookmarkEnd w:id="1349"/>
    </w:p>
    <w:p>
      <w:bookmarkStart w:id="2094" w:name="f_24_32"/>
      <w:pPr>
        <w:pStyle w:val="Quote"/>
        <w:widowControl/>
        <w:jc w:val="center"/>
      </w:pPr>
      <w:r>
        <w:t>INPUT Q, release_manifest M</w:t>
        <w:br/>
        <w:t>VERIFY source identities, schemas, notation and immutable hashes</w:t>
        <w:br/>
        <w:t>Z ← INGEST(Q)</w:t>
        <w:br/>
        <w:t>FOR F in [REPER,NAPG,GEOMETRY,OBSTRUCTION,GLOBAL,EVOLUTION,STOCHASTIC,CAUSAL,RARE,VALIDATE]:</w:t>
        <w:br/>
        <w:t xml:space="preserve">    IF F is required by Q.Mode or M.policy:</w:t>
        <w:br/>
        <w:t xml:space="preserve">        r ← F(Z)</w:t>
        <w:br/>
        <w:t xml:space="preserve">        IF r = FAIL(w): RETURN FAIL(w, audit_chain)</w:t>
        <w:br/>
        <w:t xml:space="preserve">        IF r = ABSTAIN(b): RETURN ABSTAIN(b, audit_chain)</w:t>
        <w:br/>
        <w:t xml:space="preserve">        Z ← OK_payload(r); TRANSPORT budgets and proof chain</w:t>
        <w:br/>
        <w:t>COMPUTE verdict vector V and Pred(Q)</w:t>
        <w:br/>
        <w:t>CHECK total budgets, blockers, status meet, external split and release policy</w:t>
        <w:br/>
        <w:t>IF any required condition fails: RETURN ABSTAIN</w:t>
        <w:br/>
        <w:t>RETURN OK(V, Pred(Q), Cert, HashRoot); truth_layer_promotion=0.  (24.32)</w:t>
      </w:r>
      <w:bookmarkEnd w:id="2094"/>
    </w:p>
    <w:p>
      <w:pPr>
        <w:widowControl/>
      </w:pPr>
      <w:r>
        <w:rPr>
          <w:i w:val="0"/>
        </w:rPr>
        <w:t>Порядок модулей является частью manifest. Оптимизатор может переупорядочивать только доказанно коммутирующие независимые модули и обязан сохранить эквивалентность бюджета и proof chain.</w:t>
      </w:r>
    </w:p>
    <w:p>
      <w:bookmarkStart w:id="1350" w:name="h_3617"/>
      <w:pPr>
        <w:pStyle w:val="Heading1"/>
        <w:widowControl/>
      </w:pPr>
      <w:r>
        <w:t>417. Воспроизводимость и корневой хеш</w:t>
      </w:r>
      <w:bookmarkEnd w:id="1350"/>
    </w:p>
    <w:p>
      <w:pPr>
        <w:widowControl/>
      </w:pPr>
      <w:r>
        <w:rPr>
          <w:i w:val="0"/>
        </w:rPr>
        <w:t>Для каждого шага вычисляется запись</w:t>
      </w:r>
    </w:p>
    <w:p>
      <w:bookmarkStart w:id="2095" w:name="f_24_33"/>
      <w:pPr>
        <w:pStyle w:val="Quote"/>
        <w:widowControl/>
        <w:jc w:val="center"/>
      </w:pPr>
      <w:r>
        <w:t>h_j = H(h_{j-1} || module_id || input_hash || output_hash || cert_hash || budget_hash).  (24.33)</w:t>
      </w:r>
      <w:bookmarkEnd w:id="2095"/>
    </w:p>
    <w:p>
      <w:pPr>
        <w:widowControl/>
      </w:pPr>
      <w:r>
        <w:rPr>
          <w:i w:val="0"/>
        </w:rPr>
        <w:t>Корень h_m связывает последовательность вычислений, но не доказывает математическую корректность содержимого. Хеш удостоверяет неизменность байтов относительно выбранной функции H; proof object удостоверяет утверждение. Эти роли нельзя менять местами.</w:t>
      </w:r>
    </w:p>
    <w:p>
      <w:pPr>
        <w:pStyle w:val="ListBullet"/>
        <w:widowControl/>
      </w:pPr>
      <w:r>
        <w:t>фиксируются версии ОС, интерпретатора, библиотек и solver;</w:t>
      </w:r>
    </w:p>
    <w:p>
      <w:pPr>
        <w:pStyle w:val="ListBullet"/>
        <w:widowControl/>
      </w:pPr>
      <w:r>
        <w:t>рандомизированные процедуры сохраняют seed и генератор;</w:t>
      </w:r>
    </w:p>
    <w:p>
      <w:pPr>
        <w:pStyle w:val="ListBullet"/>
        <w:widowControl/>
      </w:pPr>
      <w:r>
        <w:t>неопределённый parallel reduction либо запрещается, либо получает tolerance certificate;</w:t>
      </w:r>
    </w:p>
    <w:p>
      <w:pPr>
        <w:pStyle w:val="ListBullet"/>
        <w:widowControl/>
      </w:pPr>
      <w:r>
        <w:t>внешние API-ответы кэшируются с датой и хешем;</w:t>
      </w:r>
    </w:p>
    <w:p>
      <w:pPr>
        <w:pStyle w:val="ListBullet"/>
        <w:widowControl/>
      </w:pPr>
      <w:r>
        <w:t>секретные данные допускают commitment/secure audit, но отсутствие доступа отражается в reproducibility status.</w:t>
      </w:r>
    </w:p>
    <w:p>
      <w:bookmarkStart w:id="1351" w:name="h_3626"/>
      <w:pPr>
        <w:pStyle w:val="Heading1"/>
        <w:widowControl/>
      </w:pPr>
      <w:r>
        <w:t>418. Доказательные обязательства T2-PO-427-T2-PO-480</w:t>
      </w:r>
      <w:bookmarkEnd w:id="1351"/>
    </w:p>
    <w:tbl>
      <w:tblPr>
        <w:tblStyle w:val="TableGrid"/>
        <w:tblW w:type="auto" w:w="0"/>
        <w:jc w:val="center"/>
        <w:tblLook w:firstColumn="1" w:firstRow="1" w:lastColumn="0" w:lastRow="0" w:noHBand="0" w:noVBand="1" w:val="04A0"/>
        <w:tblBorders>
          <w:top w:val="single" w:sz="6" w:color="B5C3D1"/>
          <w:left w:val="single" w:sz="6" w:color="B5C3D1"/>
          <w:bottom w:val="single" w:sz="6" w:color="B5C3D1"/>
          <w:right w:val="single" w:sz="6" w:color="B5C3D1"/>
          <w:insideH w:val="single" w:sz="6" w:color="B5C3D1"/>
          <w:insideV w:val="single" w:sz="6" w:color="B5C3D1"/>
        </w:tblBorders>
      </w:tblPr>
      <w:tblGrid>
        <w:gridCol w:w="2438"/>
        <w:gridCol w:w="2438"/>
        <w:gridCol w:w="2438"/>
        <w:gridCol w:w="2438"/>
      </w:tblGrid>
      <w:tr>
        <w:trPr>
          <w:tblHeader w:val="true"/>
          <w:cantSplit/>
        </w:trPr>
        <w:tc>
          <w:tcPr>
            <w:tcW w:type="dxa" w:w="1440"/>
            <w:shd w:fill="173B67"/>
            <w:tcMar>
              <w:top w:w="110" w:type="dxa"/>
              <w:start w:w="110" w:type="dxa"/>
              <w:bottom w:w="110" w:type="dxa"/>
              <w:end w:w="110" w:type="dxa"/>
            </w:tcMar>
            <w:vAlign w:val="center"/>
          </w:tcPr>
          <w:p>
            <w:pPr>
              <w:jc w:val="center"/>
            </w:pPr>
            <w:r>
              <w:rPr>
                <w:rFonts w:ascii="Aptos" w:hAnsi="Aptos" w:eastAsia="Aptos"/>
                <w:b/>
                <w:color w:val="FFFFFF"/>
                <w:sz w:val="14"/>
              </w:rPr>
              <w:t>ID</w:t>
            </w:r>
          </w:p>
        </w:tc>
        <w:tc>
          <w:tcPr>
            <w:tcW w:type="dxa" w:w="5040"/>
            <w:shd w:fill="173B67"/>
            <w:tcMar>
              <w:top w:w="110" w:type="dxa"/>
              <w:start w:w="110" w:type="dxa"/>
              <w:bottom w:w="110" w:type="dxa"/>
              <w:end w:w="110" w:type="dxa"/>
            </w:tcMar>
            <w:vAlign w:val="center"/>
          </w:tcPr>
          <w:p>
            <w:pPr>
              <w:jc w:val="center"/>
            </w:pPr>
            <w:r>
              <w:rPr>
                <w:rFonts w:ascii="Aptos" w:hAnsi="Aptos" w:eastAsia="Aptos"/>
                <w:b/>
                <w:color w:val="FFFFFF"/>
                <w:sz w:val="14"/>
              </w:rPr>
              <w:t>Утверждение</w:t>
            </w:r>
          </w:p>
        </w:tc>
        <w:tc>
          <w:tcPr>
            <w:tcW w:type="dxa" w:w="1440"/>
            <w:shd w:fill="173B67"/>
            <w:tcMar>
              <w:top w:w="110" w:type="dxa"/>
              <w:start w:w="110" w:type="dxa"/>
              <w:bottom w:w="110" w:type="dxa"/>
              <w:end w:w="110" w:type="dxa"/>
            </w:tcMar>
            <w:vAlign w:val="center"/>
          </w:tcPr>
          <w:p>
            <w:pPr>
              <w:jc w:val="center"/>
            </w:pPr>
            <w:r>
              <w:rPr>
                <w:rFonts w:ascii="Aptos" w:hAnsi="Aptos" w:eastAsia="Aptos"/>
                <w:b/>
                <w:color w:val="FFFFFF"/>
                <w:sz w:val="14"/>
              </w:rPr>
              <w:t>Статус</w:t>
            </w:r>
          </w:p>
        </w:tc>
        <w:tc>
          <w:tcPr>
            <w:tcW w:type="dxa" w:w="2016"/>
            <w:shd w:fill="173B67"/>
            <w:tcMar>
              <w:top w:w="110" w:type="dxa"/>
              <w:start w:w="110" w:type="dxa"/>
              <w:bottom w:w="110" w:type="dxa"/>
              <w:end w:w="110" w:type="dxa"/>
            </w:tcMar>
            <w:vAlign w:val="center"/>
          </w:tcPr>
          <w:p>
            <w:pPr>
              <w:jc w:val="center"/>
            </w:pPr>
            <w:r>
              <w:rPr>
                <w:rFonts w:ascii="Aptos" w:hAnsi="Aptos" w:eastAsia="Aptos"/>
                <w:b/>
                <w:color w:val="FFFFFF"/>
                <w:sz w:val="14"/>
              </w:rPr>
              <w:t>Следующий шаг</w:t>
            </w:r>
          </w:p>
        </w:tc>
      </w:tr>
      <w:tr>
        <w:trPr>
          <w:cantSplit/>
        </w:trPr>
        <w:tc>
          <w:tcPr>
            <w:tcW w:type="dxa" w:w="1440"/>
            <w:tcMar>
              <w:top w:w="90" w:type="dxa"/>
              <w:start w:w="100" w:type="dxa"/>
              <w:bottom w:w="90" w:type="dxa"/>
              <w:end w:w="100" w:type="dxa"/>
            </w:tcMar>
            <w:vAlign w:val="center"/>
          </w:tcPr>
          <w:p>
            <w:bookmarkStart w:id="2523" w:name="po_427"/>
            <w:pPr>
              <w:spacing w:after="0"/>
            </w:pPr>
            <w:r>
              <w:rPr>
                <w:rFonts w:ascii="Aptos" w:hAnsi="Aptos" w:eastAsia="Aptos"/>
                <w:sz w:val="14"/>
              </w:rPr>
              <w:t>T2-PO-427</w:t>
            </w:r>
            <w:bookmarkEnd w:id="2523"/>
          </w:p>
        </w:tc>
        <w:tc>
          <w:tcPr>
            <w:tcW w:type="dxa" w:w="5040"/>
            <w:tcMar>
              <w:top w:w="90" w:type="dxa"/>
              <w:start w:w="100" w:type="dxa"/>
              <w:bottom w:w="90" w:type="dxa"/>
              <w:end w:w="100" w:type="dxa"/>
            </w:tcMar>
            <w:vAlign w:val="center"/>
          </w:tcPr>
          <w:p>
            <w:pPr>
              <w:spacing w:after="0"/>
            </w:pPr>
            <w:r>
              <w:rPr>
                <w:rFonts w:ascii="Aptos" w:hAnsi="Aptos" w:eastAsia="Aptos"/>
                <w:sz w:val="14"/>
              </w:rPr>
              <w:t>Категория CertKLT формализована в выбранной foundational system</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дать машинно-проверяемое определение</w:t>
            </w:r>
          </w:p>
        </w:tc>
      </w:tr>
      <w:tr>
        <w:trPr>
          <w:cantSplit/>
        </w:trPr>
        <w:tc>
          <w:tcPr>
            <w:tcW w:type="dxa" w:w="1440"/>
            <w:tcMar>
              <w:top w:w="90" w:type="dxa"/>
              <w:start w:w="100" w:type="dxa"/>
              <w:bottom w:w="90" w:type="dxa"/>
              <w:end w:w="100" w:type="dxa"/>
            </w:tcMar>
            <w:vAlign w:val="center"/>
            <w:shd w:fill="F5F7F9"/>
          </w:tcPr>
          <w:p>
            <w:bookmarkStart w:id="2524" w:name="po_428"/>
            <w:pPr>
              <w:spacing w:after="0"/>
            </w:pPr>
            <w:r>
              <w:rPr>
                <w:rFonts w:ascii="Aptos" w:hAnsi="Aptos" w:eastAsia="Aptos"/>
                <w:sz w:val="14"/>
              </w:rPr>
              <w:t>T2-PO-428</w:t>
            </w:r>
            <w:bookmarkEnd w:id="2524"/>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Result semantics согласована с частичными картами</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THM-text</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formalize cases</w:t>
            </w:r>
          </w:p>
        </w:tc>
      </w:tr>
      <w:tr>
        <w:trPr>
          <w:cantSplit/>
        </w:trPr>
        <w:tc>
          <w:tcPr>
            <w:tcW w:type="dxa" w:w="1440"/>
            <w:tcMar>
              <w:top w:w="90" w:type="dxa"/>
              <w:start w:w="100" w:type="dxa"/>
              <w:bottom w:w="90" w:type="dxa"/>
              <w:end w:w="100" w:type="dxa"/>
            </w:tcMar>
            <w:vAlign w:val="center"/>
          </w:tcPr>
          <w:p>
            <w:bookmarkStart w:id="2525" w:name="po_429"/>
            <w:pPr>
              <w:spacing w:after="0"/>
            </w:pPr>
            <w:r>
              <w:rPr>
                <w:rFonts w:ascii="Aptos" w:hAnsi="Aptos" w:eastAsia="Aptos"/>
                <w:sz w:val="14"/>
              </w:rPr>
              <w:t>T2-PO-429</w:t>
            </w:r>
            <w:bookmarkEnd w:id="2525"/>
          </w:p>
        </w:tc>
        <w:tc>
          <w:tcPr>
            <w:tcW w:type="dxa" w:w="5040"/>
            <w:tcMar>
              <w:top w:w="90" w:type="dxa"/>
              <w:start w:w="100" w:type="dxa"/>
              <w:bottom w:w="90" w:type="dxa"/>
              <w:end w:w="100" w:type="dxa"/>
            </w:tcMar>
            <w:vAlign w:val="center"/>
          </w:tcPr>
          <w:p>
            <w:pPr>
              <w:spacing w:after="0"/>
            </w:pPr>
            <w:r>
              <w:rPr>
                <w:rFonts w:ascii="Aptos" w:hAnsi="Aptos" w:eastAsia="Aptos"/>
                <w:sz w:val="14"/>
              </w:rPr>
              <w:t>Budget transformers образуют ассоциативную систему</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проверить каждый тип бюджета</w:t>
            </w:r>
          </w:p>
        </w:tc>
      </w:tr>
      <w:tr>
        <w:trPr>
          <w:cantSplit/>
        </w:trPr>
        <w:tc>
          <w:tcPr>
            <w:tcW w:type="dxa" w:w="1440"/>
            <w:tcMar>
              <w:top w:w="90" w:type="dxa"/>
              <w:start w:w="100" w:type="dxa"/>
              <w:bottom w:w="90" w:type="dxa"/>
              <w:end w:w="100" w:type="dxa"/>
            </w:tcMar>
            <w:vAlign w:val="center"/>
            <w:shd w:fill="F5F7F9"/>
          </w:tcPr>
          <w:p>
            <w:bookmarkStart w:id="2526" w:name="po_430"/>
            <w:pPr>
              <w:spacing w:after="0"/>
            </w:pPr>
            <w:r>
              <w:rPr>
                <w:rFonts w:ascii="Aptos" w:hAnsi="Aptos" w:eastAsia="Aptos"/>
                <w:sz w:val="14"/>
              </w:rPr>
              <w:t>T2-PO-430</w:t>
            </w:r>
            <w:bookmarkEnd w:id="2526"/>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Однородная Λ совместима со всеми Reper-морфизмами</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naturality proof</w:t>
            </w:r>
          </w:p>
        </w:tc>
      </w:tr>
      <w:tr>
        <w:trPr>
          <w:cantSplit/>
        </w:trPr>
        <w:tc>
          <w:tcPr>
            <w:tcW w:type="dxa" w:w="1440"/>
            <w:tcMar>
              <w:top w:w="90" w:type="dxa"/>
              <w:start w:w="100" w:type="dxa"/>
              <w:bottom w:w="90" w:type="dxa"/>
              <w:end w:w="100" w:type="dxa"/>
            </w:tcMar>
            <w:vAlign w:val="center"/>
          </w:tcPr>
          <w:p>
            <w:bookmarkStart w:id="2527" w:name="po_431"/>
            <w:pPr>
              <w:spacing w:after="0"/>
            </w:pPr>
            <w:r>
              <w:rPr>
                <w:rFonts w:ascii="Aptos" w:hAnsi="Aptos" w:eastAsia="Aptos"/>
                <w:sz w:val="14"/>
              </w:rPr>
              <w:t>T2-PO-431</w:t>
            </w:r>
            <w:bookmarkEnd w:id="2527"/>
          </w:p>
        </w:tc>
        <w:tc>
          <w:tcPr>
            <w:tcW w:type="dxa" w:w="5040"/>
            <w:tcMar>
              <w:top w:w="90" w:type="dxa"/>
              <w:start w:w="100" w:type="dxa"/>
              <w:bottom w:w="90" w:type="dxa"/>
              <w:end w:w="100" w:type="dxa"/>
            </w:tcMar>
            <w:vAlign w:val="center"/>
          </w:tcPr>
          <w:p>
            <w:pPr>
              <w:spacing w:after="0"/>
            </w:pPr>
            <w:r>
              <w:rPr>
                <w:rFonts w:ascii="Aptos" w:hAnsi="Aptos" w:eastAsia="Aptos"/>
                <w:sz w:val="14"/>
              </w:rPr>
              <w:t>Harmonic locus N+Q=0 инвариантен</w:t>
            </w:r>
          </w:p>
        </w:tc>
        <w:tc>
          <w:tcPr>
            <w:tcW w:type="dxa" w:w="1440"/>
            <w:tcMar>
              <w:top w:w="90" w:type="dxa"/>
              <w:start w:w="100" w:type="dxa"/>
              <w:bottom w:w="90" w:type="dxa"/>
              <w:end w:w="100" w:type="dxa"/>
            </w:tcMar>
            <w:vAlign w:val="center"/>
          </w:tcPr>
          <w:p>
            <w:pPr>
              <w:spacing w:after="0"/>
            </w:pPr>
            <w:r>
              <w:rPr>
                <w:rFonts w:ascii="Aptos" w:hAnsi="Aptos" w:eastAsia="Aptos"/>
                <w:sz w:val="14"/>
              </w:rPr>
              <w:t>THM-local</w:t>
            </w:r>
          </w:p>
        </w:tc>
        <w:tc>
          <w:tcPr>
            <w:tcW w:type="dxa" w:w="2016"/>
            <w:tcMar>
              <w:top w:w="90" w:type="dxa"/>
              <w:start w:w="100" w:type="dxa"/>
              <w:bottom w:w="90" w:type="dxa"/>
              <w:end w:w="100" w:type="dxa"/>
            </w:tcMar>
            <w:vAlign w:val="center"/>
          </w:tcPr>
          <w:p>
            <w:pPr>
              <w:spacing w:after="0"/>
            </w:pPr>
            <w:r>
              <w:rPr>
                <w:rFonts w:ascii="Aptos" w:hAnsi="Aptos" w:eastAsia="Aptos"/>
                <w:sz w:val="14"/>
              </w:rPr>
              <w:t>global carrier proof</w:t>
            </w:r>
          </w:p>
        </w:tc>
      </w:tr>
      <w:tr>
        <w:trPr>
          <w:cantSplit/>
        </w:trPr>
        <w:tc>
          <w:tcPr>
            <w:tcW w:type="dxa" w:w="1440"/>
            <w:tcMar>
              <w:top w:w="90" w:type="dxa"/>
              <w:start w:w="100" w:type="dxa"/>
              <w:bottom w:w="90" w:type="dxa"/>
              <w:end w:w="100" w:type="dxa"/>
            </w:tcMar>
            <w:vAlign w:val="center"/>
            <w:shd w:fill="F5F7F9"/>
          </w:tcPr>
          <w:p>
            <w:bookmarkStart w:id="2528" w:name="po_432"/>
            <w:pPr>
              <w:spacing w:after="0"/>
            </w:pPr>
            <w:r>
              <w:rPr>
                <w:rFonts w:ascii="Aptos" w:hAnsi="Aptos" w:eastAsia="Aptos"/>
                <w:sz w:val="14"/>
              </w:rPr>
              <w:t>T2-PO-432</w:t>
            </w:r>
            <w:bookmarkEnd w:id="2528"/>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Degenerate locus [0:0] корректно блокируется</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property-based tests</w:t>
            </w:r>
          </w:p>
        </w:tc>
      </w:tr>
      <w:tr>
        <w:trPr>
          <w:cantSplit/>
        </w:trPr>
        <w:tc>
          <w:tcPr>
            <w:tcW w:type="dxa" w:w="1440"/>
            <w:tcMar>
              <w:top w:w="90" w:type="dxa"/>
              <w:start w:w="100" w:type="dxa"/>
              <w:bottom w:w="90" w:type="dxa"/>
              <w:end w:w="100" w:type="dxa"/>
            </w:tcMar>
            <w:vAlign w:val="center"/>
          </w:tcPr>
          <w:p>
            <w:bookmarkStart w:id="2529" w:name="po_433"/>
            <w:pPr>
              <w:spacing w:after="0"/>
            </w:pPr>
            <w:r>
              <w:rPr>
                <w:rFonts w:ascii="Aptos" w:hAnsi="Aptos" w:eastAsia="Aptos"/>
                <w:sz w:val="14"/>
              </w:rPr>
              <w:t>T2-PO-433</w:t>
            </w:r>
            <w:bookmarkEnd w:id="2529"/>
          </w:p>
        </w:tc>
        <w:tc>
          <w:tcPr>
            <w:tcW w:type="dxa" w:w="5040"/>
            <w:tcMar>
              <w:top w:w="90" w:type="dxa"/>
              <w:start w:w="100" w:type="dxa"/>
              <w:bottom w:w="90" w:type="dxa"/>
              <w:end w:w="100" w:type="dxa"/>
            </w:tcMar>
            <w:vAlign w:val="center"/>
          </w:tcPr>
          <w:p>
            <w:pPr>
              <w:spacing w:after="0"/>
            </w:pPr>
            <w:r>
              <w:rPr>
                <w:rFonts w:ascii="Aptos" w:hAnsi="Aptos" w:eastAsia="Aptos"/>
                <w:sz w:val="14"/>
              </w:rPr>
              <w:t>Unit/type adapters сертифицированы</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adapter library</w:t>
            </w:r>
          </w:p>
        </w:tc>
      </w:tr>
      <w:tr>
        <w:trPr>
          <w:cantSplit/>
        </w:trPr>
        <w:tc>
          <w:tcPr>
            <w:tcW w:type="dxa" w:w="1440"/>
            <w:tcMar>
              <w:top w:w="90" w:type="dxa"/>
              <w:start w:w="100" w:type="dxa"/>
              <w:bottom w:w="90" w:type="dxa"/>
              <w:end w:w="100" w:type="dxa"/>
            </w:tcMar>
            <w:vAlign w:val="center"/>
            <w:shd w:fill="F5F7F9"/>
          </w:tcPr>
          <w:p>
            <w:bookmarkStart w:id="2530" w:name="po_434"/>
            <w:pPr>
              <w:spacing w:after="0"/>
            </w:pPr>
            <w:r>
              <w:rPr>
                <w:rFonts w:ascii="Aptos" w:hAnsi="Aptos" w:eastAsia="Aptos"/>
                <w:sz w:val="14"/>
              </w:rPr>
              <w:t>T2-PO-434</w:t>
            </w:r>
            <w:bookmarkEnd w:id="2530"/>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Affine deterministic bound реализован interval arithmetic</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exact test suite</w:t>
            </w:r>
          </w:p>
        </w:tc>
      </w:tr>
      <w:tr>
        <w:trPr>
          <w:cantSplit/>
        </w:trPr>
        <w:tc>
          <w:tcPr>
            <w:tcW w:type="dxa" w:w="1440"/>
            <w:tcMar>
              <w:top w:w="90" w:type="dxa"/>
              <w:start w:w="100" w:type="dxa"/>
              <w:bottom w:w="90" w:type="dxa"/>
              <w:end w:w="100" w:type="dxa"/>
            </w:tcMar>
            <w:vAlign w:val="center"/>
          </w:tcPr>
          <w:p>
            <w:bookmarkStart w:id="2531" w:name="po_435"/>
            <w:pPr>
              <w:spacing w:after="0"/>
            </w:pPr>
            <w:r>
              <w:rPr>
                <w:rFonts w:ascii="Aptos" w:hAnsi="Aptos" w:eastAsia="Aptos"/>
                <w:sz w:val="14"/>
              </w:rPr>
              <w:t>T2-PO-435</w:t>
            </w:r>
            <w:bookmarkEnd w:id="2531"/>
          </w:p>
        </w:tc>
        <w:tc>
          <w:tcPr>
            <w:tcW w:type="dxa" w:w="5040"/>
            <w:tcMar>
              <w:top w:w="90" w:type="dxa"/>
              <w:start w:w="100" w:type="dxa"/>
              <w:bottom w:w="90" w:type="dxa"/>
              <w:end w:w="100" w:type="dxa"/>
            </w:tcMar>
            <w:vAlign w:val="center"/>
          </w:tcPr>
          <w:p>
            <w:pPr>
              <w:spacing w:after="0"/>
            </w:pPr>
            <w:r>
              <w:rPr>
                <w:rFonts w:ascii="Aptos" w:hAnsi="Aptos" w:eastAsia="Aptos"/>
                <w:sz w:val="14"/>
              </w:rPr>
              <w:t>Condition numbers вычисляются/ограничиваются</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domain-specific bounds</w:t>
            </w:r>
          </w:p>
        </w:tc>
      </w:tr>
      <w:tr>
        <w:trPr>
          <w:cantSplit/>
        </w:trPr>
        <w:tc>
          <w:tcPr>
            <w:tcW w:type="dxa" w:w="1440"/>
            <w:tcMar>
              <w:top w:w="90" w:type="dxa"/>
              <w:start w:w="100" w:type="dxa"/>
              <w:bottom w:w="90" w:type="dxa"/>
              <w:end w:w="100" w:type="dxa"/>
            </w:tcMar>
            <w:vAlign w:val="center"/>
            <w:shd w:fill="F5F7F9"/>
          </w:tcPr>
          <w:p>
            <w:bookmarkStart w:id="2532" w:name="po_436"/>
            <w:pPr>
              <w:spacing w:after="0"/>
            </w:pPr>
            <w:r>
              <w:rPr>
                <w:rFonts w:ascii="Aptos" w:hAnsi="Aptos" w:eastAsia="Aptos"/>
                <w:sz w:val="14"/>
              </w:rPr>
              <w:t>T2-PO-436</w:t>
            </w:r>
            <w:bookmarkEnd w:id="2532"/>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α-ledger защищён от постселекции</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pre-registration mechanism</w:t>
            </w:r>
          </w:p>
        </w:tc>
      </w:tr>
      <w:tr>
        <w:trPr>
          <w:cantSplit/>
        </w:trPr>
        <w:tc>
          <w:tcPr>
            <w:tcW w:type="dxa" w:w="1440"/>
            <w:tcMar>
              <w:top w:w="90" w:type="dxa"/>
              <w:start w:w="100" w:type="dxa"/>
              <w:bottom w:w="90" w:type="dxa"/>
              <w:end w:w="100" w:type="dxa"/>
            </w:tcMar>
            <w:vAlign w:val="center"/>
          </w:tcPr>
          <w:p>
            <w:bookmarkStart w:id="2533" w:name="po_437"/>
            <w:pPr>
              <w:spacing w:after="0"/>
            </w:pPr>
            <w:r>
              <w:rPr>
                <w:rFonts w:ascii="Aptos" w:hAnsi="Aptos" w:eastAsia="Aptos"/>
                <w:sz w:val="14"/>
              </w:rPr>
              <w:t>T2-PO-437</w:t>
            </w:r>
            <w:bookmarkEnd w:id="2533"/>
          </w:p>
        </w:tc>
        <w:tc>
          <w:tcPr>
            <w:tcW w:type="dxa" w:w="5040"/>
            <w:tcMar>
              <w:top w:w="90" w:type="dxa"/>
              <w:start w:w="100" w:type="dxa"/>
              <w:bottom w:w="90" w:type="dxa"/>
              <w:end w:w="100" w:type="dxa"/>
            </w:tcMar>
            <w:vAlign w:val="center"/>
          </w:tcPr>
          <w:p>
            <w:pPr>
              <w:spacing w:after="0"/>
            </w:pPr>
            <w:r>
              <w:rPr>
                <w:rFonts w:ascii="Aptos" w:hAnsi="Aptos" w:eastAsia="Aptos"/>
                <w:sz w:val="14"/>
              </w:rPr>
              <w:t>e-process merge использует общую нулевую модель</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filtration audit</w:t>
            </w:r>
          </w:p>
        </w:tc>
      </w:tr>
      <w:tr>
        <w:trPr>
          <w:cantSplit/>
        </w:trPr>
        <w:tc>
          <w:tcPr>
            <w:tcW w:type="dxa" w:w="1440"/>
            <w:tcMar>
              <w:top w:w="90" w:type="dxa"/>
              <w:start w:w="100" w:type="dxa"/>
              <w:bottom w:w="90" w:type="dxa"/>
              <w:end w:w="100" w:type="dxa"/>
            </w:tcMar>
            <w:vAlign w:val="center"/>
            <w:shd w:fill="F5F7F9"/>
          </w:tcPr>
          <w:p>
            <w:bookmarkStart w:id="2534" w:name="po_438"/>
            <w:pPr>
              <w:spacing w:after="0"/>
            </w:pPr>
            <w:r>
              <w:rPr>
                <w:rFonts w:ascii="Aptos" w:hAnsi="Aptos" w:eastAsia="Aptos"/>
                <w:sz w:val="14"/>
              </w:rPr>
              <w:t>T2-PO-438</w:t>
            </w:r>
            <w:bookmarkEnd w:id="2534"/>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Robust set pushforward корректен</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metric-specific proof</w:t>
            </w:r>
          </w:p>
        </w:tc>
      </w:tr>
      <w:tr>
        <w:trPr>
          <w:cantSplit/>
        </w:trPr>
        <w:tc>
          <w:tcPr>
            <w:tcW w:type="dxa" w:w="1440"/>
            <w:tcMar>
              <w:top w:w="90" w:type="dxa"/>
              <w:start w:w="100" w:type="dxa"/>
              <w:bottom w:w="90" w:type="dxa"/>
              <w:end w:w="100" w:type="dxa"/>
            </w:tcMar>
            <w:vAlign w:val="center"/>
          </w:tcPr>
          <w:p>
            <w:bookmarkStart w:id="2535" w:name="po_439"/>
            <w:pPr>
              <w:spacing w:after="0"/>
            </w:pPr>
            <w:r>
              <w:rPr>
                <w:rFonts w:ascii="Aptos" w:hAnsi="Aptos" w:eastAsia="Aptos"/>
                <w:sz w:val="14"/>
              </w:rPr>
              <w:t>T2-PO-439</w:t>
            </w:r>
            <w:bookmarkEnd w:id="2535"/>
          </w:p>
        </w:tc>
        <w:tc>
          <w:tcPr>
            <w:tcW w:type="dxa" w:w="5040"/>
            <w:tcMar>
              <w:top w:w="90" w:type="dxa"/>
              <w:start w:w="100" w:type="dxa"/>
              <w:bottom w:w="90" w:type="dxa"/>
              <w:end w:w="100" w:type="dxa"/>
            </w:tcMar>
            <w:vAlign w:val="center"/>
          </w:tcPr>
          <w:p>
            <w:pPr>
              <w:spacing w:after="0"/>
            </w:pPr>
            <w:r>
              <w:rPr>
                <w:rFonts w:ascii="Aptos" w:hAnsi="Aptos" w:eastAsia="Aptos"/>
                <w:sz w:val="14"/>
              </w:rPr>
              <w:t>Shift radius имеет coverage status</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external calibration</w:t>
            </w:r>
          </w:p>
        </w:tc>
      </w:tr>
      <w:tr>
        <w:trPr>
          <w:cantSplit/>
        </w:trPr>
        <w:tc>
          <w:tcPr>
            <w:tcW w:type="dxa" w:w="1440"/>
            <w:tcMar>
              <w:top w:w="90" w:type="dxa"/>
              <w:start w:w="100" w:type="dxa"/>
              <w:bottom w:w="90" w:type="dxa"/>
              <w:end w:w="100" w:type="dxa"/>
            </w:tcMar>
            <w:vAlign w:val="center"/>
            <w:shd w:fill="F5F7F9"/>
          </w:tcPr>
          <w:p>
            <w:bookmarkStart w:id="2536" w:name="po_440"/>
            <w:pPr>
              <w:spacing w:after="0"/>
            </w:pPr>
            <w:r>
              <w:rPr>
                <w:rFonts w:ascii="Aptos" w:hAnsi="Aptos" w:eastAsia="Aptos"/>
                <w:sz w:val="14"/>
              </w:rPr>
              <w:t>T2-PO-440</w:t>
            </w:r>
            <w:bookmarkEnd w:id="2536"/>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Status lattice и meet machine-readable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schema + tests</w:t>
            </w:r>
          </w:p>
        </w:tc>
      </w:tr>
      <w:tr>
        <w:trPr>
          <w:cantSplit/>
        </w:trPr>
        <w:tc>
          <w:tcPr>
            <w:tcW w:type="dxa" w:w="1440"/>
            <w:tcMar>
              <w:top w:w="90" w:type="dxa"/>
              <w:start w:w="100" w:type="dxa"/>
              <w:bottom w:w="90" w:type="dxa"/>
              <w:end w:w="100" w:type="dxa"/>
            </w:tcMar>
            <w:vAlign w:val="center"/>
          </w:tcPr>
          <w:p>
            <w:bookmarkStart w:id="2537" w:name="po_441"/>
            <w:pPr>
              <w:spacing w:after="0"/>
            </w:pPr>
            <w:r>
              <w:rPr>
                <w:rFonts w:ascii="Aptos" w:hAnsi="Aptos" w:eastAsia="Aptos"/>
                <w:sz w:val="14"/>
              </w:rPr>
              <w:t>T2-PO-441</w:t>
            </w:r>
            <w:bookmarkEnd w:id="2537"/>
          </w:p>
        </w:tc>
        <w:tc>
          <w:tcPr>
            <w:tcW w:type="dxa" w:w="5040"/>
            <w:tcMar>
              <w:top w:w="90" w:type="dxa"/>
              <w:start w:w="100" w:type="dxa"/>
              <w:bottom w:w="90" w:type="dxa"/>
              <w:end w:w="100" w:type="dxa"/>
            </w:tcMar>
            <w:vAlign w:val="center"/>
          </w:tcPr>
          <w:p>
            <w:pPr>
              <w:spacing w:after="0"/>
            </w:pPr>
            <w:r>
              <w:rPr>
                <w:rFonts w:ascii="Aptos" w:hAnsi="Aptos" w:eastAsia="Aptos"/>
                <w:sz w:val="14"/>
              </w:rPr>
              <w:t>PHY-HYP отделён от mathematical status</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release policy tests</w:t>
            </w:r>
          </w:p>
        </w:tc>
      </w:tr>
      <w:tr>
        <w:trPr>
          <w:cantSplit/>
        </w:trPr>
        <w:tc>
          <w:tcPr>
            <w:tcW w:type="dxa" w:w="1440"/>
            <w:tcMar>
              <w:top w:w="90" w:type="dxa"/>
              <w:start w:w="100" w:type="dxa"/>
              <w:bottom w:w="90" w:type="dxa"/>
              <w:end w:w="100" w:type="dxa"/>
            </w:tcMar>
            <w:vAlign w:val="center"/>
            <w:shd w:fill="F5F7F9"/>
          </w:tcPr>
          <w:p>
            <w:bookmarkStart w:id="2538" w:name="po_442"/>
            <w:pPr>
              <w:spacing w:after="0"/>
            </w:pPr>
            <w:r>
              <w:rPr>
                <w:rFonts w:ascii="Aptos" w:hAnsi="Aptos" w:eastAsia="Aptos"/>
                <w:sz w:val="14"/>
              </w:rPr>
              <w:t>T2-PO-442</w:t>
            </w:r>
            <w:bookmarkEnd w:id="2538"/>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Ingest различает копии и версии</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hash/content tests</w:t>
            </w:r>
          </w:p>
        </w:tc>
      </w:tr>
      <w:tr>
        <w:trPr>
          <w:cantSplit/>
        </w:trPr>
        <w:tc>
          <w:tcPr>
            <w:tcW w:type="dxa" w:w="1440"/>
            <w:tcMar>
              <w:top w:w="90" w:type="dxa"/>
              <w:start w:w="100" w:type="dxa"/>
              <w:bottom w:w="90" w:type="dxa"/>
              <w:end w:w="100" w:type="dxa"/>
            </w:tcMar>
            <w:vAlign w:val="center"/>
          </w:tcPr>
          <w:p>
            <w:bookmarkStart w:id="2539" w:name="po_443"/>
            <w:pPr>
              <w:spacing w:after="0"/>
            </w:pPr>
            <w:r>
              <w:rPr>
                <w:rFonts w:ascii="Aptos" w:hAnsi="Aptos" w:eastAsia="Aptos"/>
                <w:sz w:val="14"/>
              </w:rPr>
              <w:t>T2-PO-443</w:t>
            </w:r>
            <w:bookmarkEnd w:id="2539"/>
          </w:p>
        </w:tc>
        <w:tc>
          <w:tcPr>
            <w:tcW w:type="dxa" w:w="5040"/>
            <w:tcMar>
              <w:top w:w="90" w:type="dxa"/>
              <w:start w:w="100" w:type="dxa"/>
              <w:bottom w:w="90" w:type="dxa"/>
              <w:end w:w="100" w:type="dxa"/>
            </w:tcMar>
            <w:vAlign w:val="center"/>
          </w:tcPr>
          <w:p>
            <w:pPr>
              <w:spacing w:after="0"/>
            </w:pPr>
            <w:r>
              <w:rPr>
                <w:rFonts w:ascii="Aptos" w:hAnsi="Aptos" w:eastAsia="Aptos"/>
                <w:sz w:val="14"/>
              </w:rPr>
              <w:t>D/Dom blockers не скаляризуются</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negative tests</w:t>
            </w:r>
          </w:p>
        </w:tc>
      </w:tr>
      <w:tr>
        <w:trPr>
          <w:cantSplit/>
        </w:trPr>
        <w:tc>
          <w:tcPr>
            <w:tcW w:type="dxa" w:w="1440"/>
            <w:tcMar>
              <w:top w:w="90" w:type="dxa"/>
              <w:start w:w="100" w:type="dxa"/>
              <w:bottom w:w="90" w:type="dxa"/>
              <w:end w:w="100" w:type="dxa"/>
            </w:tcMar>
            <w:vAlign w:val="center"/>
            <w:shd w:fill="F5F7F9"/>
          </w:tcPr>
          <w:p>
            <w:bookmarkStart w:id="2540" w:name="po_444"/>
            <w:pPr>
              <w:spacing w:after="0"/>
            </w:pPr>
            <w:r>
              <w:rPr>
                <w:rFonts w:ascii="Aptos" w:hAnsi="Aptos" w:eastAsia="Aptos"/>
                <w:sz w:val="14"/>
              </w:rPr>
              <w:t>T2-PO-444</w:t>
            </w:r>
            <w:bookmarkEnd w:id="2540"/>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NAPG module exports complete invariants</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canonical invariant set</w:t>
            </w:r>
          </w:p>
        </w:tc>
      </w:tr>
      <w:tr>
        <w:trPr>
          <w:cantSplit/>
        </w:trPr>
        <w:tc>
          <w:tcPr>
            <w:tcW w:type="dxa" w:w="1440"/>
            <w:tcMar>
              <w:top w:w="90" w:type="dxa"/>
              <w:start w:w="100" w:type="dxa"/>
              <w:bottom w:w="90" w:type="dxa"/>
              <w:end w:w="100" w:type="dxa"/>
            </w:tcMar>
            <w:vAlign w:val="center"/>
          </w:tcPr>
          <w:p>
            <w:bookmarkStart w:id="2541" w:name="po_445"/>
            <w:pPr>
              <w:spacing w:after="0"/>
            </w:pPr>
            <w:r>
              <w:rPr>
                <w:rFonts w:ascii="Aptos" w:hAnsi="Aptos" w:eastAsia="Aptos"/>
                <w:sz w:val="14"/>
              </w:rPr>
              <w:t>T2-PO-445</w:t>
            </w:r>
            <w:bookmarkEnd w:id="2541"/>
          </w:p>
        </w:tc>
        <w:tc>
          <w:tcPr>
            <w:tcW w:type="dxa" w:w="5040"/>
            <w:tcMar>
              <w:top w:w="90" w:type="dxa"/>
              <w:start w:w="100" w:type="dxa"/>
              <w:bottom w:w="90" w:type="dxa"/>
              <w:end w:w="100" w:type="dxa"/>
            </w:tcMar>
            <w:vAlign w:val="center"/>
          </w:tcPr>
          <w:p>
            <w:pPr>
              <w:spacing w:after="0"/>
            </w:pPr>
            <w:r>
              <w:rPr>
                <w:rFonts w:ascii="Aptos" w:hAnsi="Aptos" w:eastAsia="Aptos"/>
                <w:sz w:val="14"/>
              </w:rPr>
              <w:t>Geometry module handles higher coherence</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2-categorical implementation</w:t>
            </w:r>
          </w:p>
        </w:tc>
      </w:tr>
      <w:tr>
        <w:trPr>
          <w:cantSplit/>
        </w:trPr>
        <w:tc>
          <w:tcPr>
            <w:tcW w:type="dxa" w:w="1440"/>
            <w:tcMar>
              <w:top w:w="90" w:type="dxa"/>
              <w:start w:w="100" w:type="dxa"/>
              <w:bottom w:w="90" w:type="dxa"/>
              <w:end w:w="100" w:type="dxa"/>
            </w:tcMar>
            <w:vAlign w:val="center"/>
            <w:shd w:fill="F5F7F9"/>
          </w:tcPr>
          <w:p>
            <w:bookmarkStart w:id="2542" w:name="po_446"/>
            <w:pPr>
              <w:spacing w:after="0"/>
            </w:pPr>
            <w:r>
              <w:rPr>
                <w:rFonts w:ascii="Aptos" w:hAnsi="Aptos" w:eastAsia="Aptos"/>
                <w:sz w:val="14"/>
              </w:rPr>
              <w:t>T2-PO-446</w:t>
            </w:r>
            <w:bookmarkEnd w:id="2542"/>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Obstruction quotient independent of representative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general proof/finite tests</w:t>
            </w:r>
          </w:p>
        </w:tc>
      </w:tr>
      <w:tr>
        <w:trPr>
          <w:cantSplit/>
        </w:trPr>
        <w:tc>
          <w:tcPr>
            <w:tcW w:type="dxa" w:w="1440"/>
            <w:tcMar>
              <w:top w:w="90" w:type="dxa"/>
              <w:start w:w="100" w:type="dxa"/>
              <w:bottom w:w="90" w:type="dxa"/>
              <w:end w:w="100" w:type="dxa"/>
            </w:tcMar>
            <w:vAlign w:val="center"/>
          </w:tcPr>
          <w:p>
            <w:bookmarkStart w:id="2543" w:name="po_447"/>
            <w:pPr>
              <w:spacing w:after="0"/>
            </w:pPr>
            <w:r>
              <w:rPr>
                <w:rFonts w:ascii="Aptos" w:hAnsi="Aptos" w:eastAsia="Aptos"/>
                <w:sz w:val="14"/>
              </w:rPr>
              <w:t>T2-PO-447</w:t>
            </w:r>
            <w:bookmarkEnd w:id="2543"/>
          </w:p>
        </w:tc>
        <w:tc>
          <w:tcPr>
            <w:tcW w:type="dxa" w:w="5040"/>
            <w:tcMar>
              <w:top w:w="90" w:type="dxa"/>
              <w:start w:w="100" w:type="dxa"/>
              <w:bottom w:w="90" w:type="dxa"/>
              <w:end w:w="100" w:type="dxa"/>
            </w:tcMar>
            <w:vAlign w:val="center"/>
          </w:tcPr>
          <w:p>
            <w:pPr>
              <w:spacing w:after="0"/>
            </w:pPr>
            <w:r>
              <w:rPr>
                <w:rFonts w:ascii="Aptos" w:hAnsi="Aptos" w:eastAsia="Aptos"/>
                <w:sz w:val="14"/>
              </w:rPr>
              <w:t>Π_E ledger enforces B1-B8</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gate tests</w:t>
            </w:r>
          </w:p>
        </w:tc>
      </w:tr>
      <w:tr>
        <w:trPr>
          <w:cantSplit/>
        </w:trPr>
        <w:tc>
          <w:tcPr>
            <w:tcW w:type="dxa" w:w="1440"/>
            <w:tcMar>
              <w:top w:w="90" w:type="dxa"/>
              <w:start w:w="100" w:type="dxa"/>
              <w:bottom w:w="90" w:type="dxa"/>
              <w:end w:w="100" w:type="dxa"/>
            </w:tcMar>
            <w:vAlign w:val="center"/>
            <w:shd w:fill="F5F7F9"/>
          </w:tcPr>
          <w:p>
            <w:bookmarkStart w:id="2544" w:name="po_448"/>
            <w:pPr>
              <w:spacing w:after="0"/>
            </w:pPr>
            <w:r>
              <w:rPr>
                <w:rFonts w:ascii="Aptos" w:hAnsi="Aptos" w:eastAsia="Aptos"/>
                <w:sz w:val="14"/>
              </w:rPr>
              <w:t>T2-PO-448</w:t>
            </w:r>
            <w:bookmarkEnd w:id="2544"/>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Global descent certificate compositional</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Čech/stack proof</w:t>
            </w:r>
          </w:p>
        </w:tc>
      </w:tr>
      <w:tr>
        <w:trPr>
          <w:cantSplit/>
        </w:trPr>
        <w:tc>
          <w:tcPr>
            <w:tcW w:type="dxa" w:w="1440"/>
            <w:tcMar>
              <w:top w:w="90" w:type="dxa"/>
              <w:start w:w="100" w:type="dxa"/>
              <w:bottom w:w="90" w:type="dxa"/>
              <w:end w:w="100" w:type="dxa"/>
            </w:tcMar>
            <w:vAlign w:val="center"/>
          </w:tcPr>
          <w:p>
            <w:bookmarkStart w:id="2545" w:name="po_449"/>
            <w:pPr>
              <w:spacing w:after="0"/>
            </w:pPr>
            <w:r>
              <w:rPr>
                <w:rFonts w:ascii="Aptos" w:hAnsi="Aptos" w:eastAsia="Aptos"/>
                <w:sz w:val="14"/>
              </w:rPr>
              <w:t>T2-PO-449</w:t>
            </w:r>
            <w:bookmarkEnd w:id="2545"/>
          </w:p>
        </w:tc>
        <w:tc>
          <w:tcPr>
            <w:tcW w:type="dxa" w:w="5040"/>
            <w:tcMar>
              <w:top w:w="90" w:type="dxa"/>
              <w:start w:w="100" w:type="dxa"/>
              <w:bottom w:w="90" w:type="dxa"/>
              <w:end w:w="100" w:type="dxa"/>
            </w:tcMar>
            <w:vAlign w:val="center"/>
          </w:tcPr>
          <w:p>
            <w:pPr>
              <w:spacing w:after="0"/>
            </w:pPr>
            <w:r>
              <w:rPr>
                <w:rFonts w:ascii="Aptos" w:hAnsi="Aptos" w:eastAsia="Aptos"/>
                <w:sz w:val="14"/>
              </w:rPr>
              <w:t>Kuranishi charts version-compatible</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coordinate-change validator</w:t>
            </w:r>
          </w:p>
        </w:tc>
      </w:tr>
      <w:tr>
        <w:trPr>
          <w:cantSplit/>
        </w:trPr>
        <w:tc>
          <w:tcPr>
            <w:tcW w:type="dxa" w:w="1440"/>
            <w:tcMar>
              <w:top w:w="90" w:type="dxa"/>
              <w:start w:w="100" w:type="dxa"/>
              <w:bottom w:w="90" w:type="dxa"/>
              <w:end w:w="100" w:type="dxa"/>
            </w:tcMar>
            <w:vAlign w:val="center"/>
            <w:shd w:fill="F5F7F9"/>
          </w:tcPr>
          <w:p>
            <w:bookmarkStart w:id="2546" w:name="po_450"/>
            <w:pPr>
              <w:spacing w:after="0"/>
            </w:pPr>
            <w:r>
              <w:rPr>
                <w:rFonts w:ascii="Aptos" w:hAnsi="Aptos" w:eastAsia="Aptos"/>
                <w:sz w:val="14"/>
              </w:rPr>
              <w:t>T2-PO-450</w:t>
            </w:r>
            <w:bookmarkEnd w:id="2546"/>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Virtual orientation data audited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orientation package</w:t>
            </w:r>
          </w:p>
        </w:tc>
      </w:tr>
      <w:tr>
        <w:trPr>
          <w:cantSplit/>
        </w:trPr>
        <w:tc>
          <w:tcPr>
            <w:tcW w:type="dxa" w:w="1440"/>
            <w:tcMar>
              <w:top w:w="90" w:type="dxa"/>
              <w:start w:w="100" w:type="dxa"/>
              <w:bottom w:w="90" w:type="dxa"/>
              <w:end w:w="100" w:type="dxa"/>
            </w:tcMar>
            <w:vAlign w:val="center"/>
          </w:tcPr>
          <w:p>
            <w:bookmarkStart w:id="2547" w:name="po_451"/>
            <w:pPr>
              <w:spacing w:after="0"/>
            </w:pPr>
            <w:r>
              <w:rPr>
                <w:rFonts w:ascii="Aptos" w:hAnsi="Aptos" w:eastAsia="Aptos"/>
                <w:sz w:val="14"/>
              </w:rPr>
              <w:t>T2-PO-451</w:t>
            </w:r>
            <w:bookmarkEnd w:id="2547"/>
          </w:p>
        </w:tc>
        <w:tc>
          <w:tcPr>
            <w:tcW w:type="dxa" w:w="5040"/>
            <w:tcMar>
              <w:top w:w="90" w:type="dxa"/>
              <w:start w:w="100" w:type="dxa"/>
              <w:bottom w:w="90" w:type="dxa"/>
              <w:end w:w="100" w:type="dxa"/>
            </w:tcMar>
            <w:vAlign w:val="center"/>
          </w:tcPr>
          <w:p>
            <w:pPr>
              <w:spacing w:after="0"/>
            </w:pPr>
            <w:r>
              <w:rPr>
                <w:rFonts w:ascii="Aptos" w:hAnsi="Aptos" w:eastAsia="Aptos"/>
                <w:sz w:val="14"/>
              </w:rPr>
              <w:t>Refined invariant never auto-cast to probability</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type firewall</w:t>
            </w:r>
          </w:p>
        </w:tc>
      </w:tr>
      <w:tr>
        <w:trPr>
          <w:cantSplit/>
        </w:trPr>
        <w:tc>
          <w:tcPr>
            <w:tcW w:type="dxa" w:w="1440"/>
            <w:tcMar>
              <w:top w:w="90" w:type="dxa"/>
              <w:start w:w="100" w:type="dxa"/>
              <w:bottom w:w="90" w:type="dxa"/>
              <w:end w:w="100" w:type="dxa"/>
            </w:tcMar>
            <w:vAlign w:val="center"/>
            <w:shd w:fill="F5F7F9"/>
          </w:tcPr>
          <w:p>
            <w:bookmarkStart w:id="2548" w:name="po_452"/>
            <w:pPr>
              <w:spacing w:after="0"/>
            </w:pPr>
            <w:r>
              <w:rPr>
                <w:rFonts w:ascii="Aptos" w:hAnsi="Aptos" w:eastAsia="Aptos"/>
                <w:sz w:val="14"/>
              </w:rPr>
              <w:t>T2-PO-452</w:t>
            </w:r>
            <w:bookmarkEnd w:id="2548"/>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Evolution module proves existence domain</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COND</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generator-specific proof</w:t>
            </w:r>
          </w:p>
        </w:tc>
      </w:tr>
      <w:tr>
        <w:trPr>
          <w:cantSplit/>
        </w:trPr>
        <w:tc>
          <w:tcPr>
            <w:tcW w:type="dxa" w:w="1440"/>
            <w:tcMar>
              <w:top w:w="90" w:type="dxa"/>
              <w:start w:w="100" w:type="dxa"/>
              <w:bottom w:w="90" w:type="dxa"/>
              <w:end w:w="100" w:type="dxa"/>
            </w:tcMar>
            <w:vAlign w:val="center"/>
          </w:tcPr>
          <w:p>
            <w:bookmarkStart w:id="2549" w:name="po_453"/>
            <w:pPr>
              <w:spacing w:after="0"/>
            </w:pPr>
            <w:r>
              <w:rPr>
                <w:rFonts w:ascii="Aptos" w:hAnsi="Aptos" w:eastAsia="Aptos"/>
                <w:sz w:val="14"/>
              </w:rPr>
              <w:t>T2-PO-453</w:t>
            </w:r>
            <w:bookmarkEnd w:id="2549"/>
          </w:p>
        </w:tc>
        <w:tc>
          <w:tcPr>
            <w:tcW w:type="dxa" w:w="5040"/>
            <w:tcMar>
              <w:top w:w="90" w:type="dxa"/>
              <w:start w:w="100" w:type="dxa"/>
              <w:bottom w:w="90" w:type="dxa"/>
              <w:end w:w="100" w:type="dxa"/>
            </w:tcMar>
            <w:vAlign w:val="center"/>
          </w:tcPr>
          <w:p>
            <w:pPr>
              <w:spacing w:after="0"/>
            </w:pPr>
            <w:r>
              <w:rPr>
                <w:rFonts w:ascii="Aptos" w:hAnsi="Aptos" w:eastAsia="Aptos"/>
                <w:sz w:val="14"/>
              </w:rPr>
              <w:t>Path laws preserve nonanticipation</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filtration tests</w:t>
            </w:r>
          </w:p>
        </w:tc>
      </w:tr>
      <w:tr>
        <w:trPr>
          <w:cantSplit/>
        </w:trPr>
        <w:tc>
          <w:tcPr>
            <w:tcW w:type="dxa" w:w="1440"/>
            <w:tcMar>
              <w:top w:w="90" w:type="dxa"/>
              <w:start w:w="100" w:type="dxa"/>
              <w:bottom w:w="90" w:type="dxa"/>
              <w:end w:w="100" w:type="dxa"/>
            </w:tcMar>
            <w:vAlign w:val="center"/>
            <w:shd w:fill="F5F7F9"/>
          </w:tcPr>
          <w:p>
            <w:bookmarkStart w:id="2550" w:name="po_454"/>
            <w:pPr>
              <w:spacing w:after="0"/>
            </w:pPr>
            <w:r>
              <w:rPr>
                <w:rFonts w:ascii="Aptos" w:hAnsi="Aptos" w:eastAsia="Aptos"/>
                <w:sz w:val="14"/>
              </w:rPr>
              <w:t>T2-PO-454</w:t>
            </w:r>
            <w:bookmarkEnd w:id="2550"/>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Martingale core/uniqueness status exported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solver/theorem integration</w:t>
            </w:r>
          </w:p>
        </w:tc>
      </w:tr>
      <w:tr>
        <w:trPr>
          <w:cantSplit/>
        </w:trPr>
        <w:tc>
          <w:tcPr>
            <w:tcW w:type="dxa" w:w="1440"/>
            <w:tcMar>
              <w:top w:w="90" w:type="dxa"/>
              <w:start w:w="100" w:type="dxa"/>
              <w:bottom w:w="90" w:type="dxa"/>
              <w:end w:w="100" w:type="dxa"/>
            </w:tcMar>
            <w:vAlign w:val="center"/>
          </w:tcPr>
          <w:p>
            <w:bookmarkStart w:id="2551" w:name="po_455"/>
            <w:pPr>
              <w:spacing w:after="0"/>
            </w:pPr>
            <w:r>
              <w:rPr>
                <w:rFonts w:ascii="Aptos" w:hAnsi="Aptos" w:eastAsia="Aptos"/>
                <w:sz w:val="14"/>
              </w:rPr>
              <w:t>T2-PO-455</w:t>
            </w:r>
            <w:bookmarkEnd w:id="2551"/>
          </w:p>
        </w:tc>
        <w:tc>
          <w:tcPr>
            <w:tcW w:type="dxa" w:w="5040"/>
            <w:tcMar>
              <w:top w:w="90" w:type="dxa"/>
              <w:start w:w="100" w:type="dxa"/>
              <w:bottom w:w="90" w:type="dxa"/>
              <w:end w:w="100" w:type="dxa"/>
            </w:tcMar>
            <w:vAlign w:val="center"/>
          </w:tcPr>
          <w:p>
            <w:pPr>
              <w:spacing w:after="0"/>
            </w:pPr>
            <w:r>
              <w:rPr>
                <w:rFonts w:ascii="Aptos" w:hAnsi="Aptos" w:eastAsia="Aptos"/>
                <w:sz w:val="14"/>
              </w:rPr>
              <w:t>Optional stopping assumptions explicit</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ledger tests</w:t>
            </w:r>
          </w:p>
        </w:tc>
      </w:tr>
      <w:tr>
        <w:trPr>
          <w:cantSplit/>
        </w:trPr>
        <w:tc>
          <w:tcPr>
            <w:tcW w:type="dxa" w:w="1440"/>
            <w:tcMar>
              <w:top w:w="90" w:type="dxa"/>
              <w:start w:w="100" w:type="dxa"/>
              <w:bottom w:w="90" w:type="dxa"/>
              <w:end w:w="100" w:type="dxa"/>
            </w:tcMar>
            <w:vAlign w:val="center"/>
            <w:shd w:fill="F5F7F9"/>
          </w:tcPr>
          <w:p>
            <w:bookmarkStart w:id="2552" w:name="po_456"/>
            <w:pPr>
              <w:spacing w:after="0"/>
            </w:pPr>
            <w:r>
              <w:rPr>
                <w:rFonts w:ascii="Aptos" w:hAnsi="Aptos" w:eastAsia="Aptos"/>
                <w:sz w:val="14"/>
              </w:rPr>
              <w:t>T2-PO-456</w:t>
            </w:r>
            <w:bookmarkEnd w:id="2552"/>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Causal module stores SCM equivalence class</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schema + identification engine</w:t>
            </w:r>
          </w:p>
        </w:tc>
      </w:tr>
      <w:tr>
        <w:trPr>
          <w:cantSplit/>
        </w:trPr>
        <w:tc>
          <w:tcPr>
            <w:tcW w:type="dxa" w:w="1440"/>
            <w:tcMar>
              <w:top w:w="90" w:type="dxa"/>
              <w:start w:w="100" w:type="dxa"/>
              <w:bottom w:w="90" w:type="dxa"/>
              <w:end w:w="100" w:type="dxa"/>
            </w:tcMar>
            <w:vAlign w:val="center"/>
          </w:tcPr>
          <w:p>
            <w:bookmarkStart w:id="2553" w:name="po_457"/>
            <w:pPr>
              <w:spacing w:after="0"/>
            </w:pPr>
            <w:r>
              <w:rPr>
                <w:rFonts w:ascii="Aptos" w:hAnsi="Aptos" w:eastAsia="Aptos"/>
                <w:sz w:val="14"/>
              </w:rPr>
              <w:t>T2-PO-457</w:t>
            </w:r>
            <w:bookmarkEnd w:id="2553"/>
          </w:p>
        </w:tc>
        <w:tc>
          <w:tcPr>
            <w:tcW w:type="dxa" w:w="5040"/>
            <w:tcMar>
              <w:top w:w="90" w:type="dxa"/>
              <w:start w:w="100" w:type="dxa"/>
              <w:bottom w:w="90" w:type="dxa"/>
              <w:end w:w="100" w:type="dxa"/>
            </w:tcMar>
            <w:vAlign w:val="center"/>
          </w:tcPr>
          <w:p>
            <w:pPr>
              <w:spacing w:after="0"/>
            </w:pPr>
            <w:r>
              <w:rPr>
                <w:rFonts w:ascii="Aptos" w:hAnsi="Aptos" w:eastAsia="Aptos"/>
                <w:sz w:val="14"/>
              </w:rPr>
              <w:t>Observational and interventional laws separated</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type tests</w:t>
            </w:r>
          </w:p>
        </w:tc>
      </w:tr>
      <w:tr>
        <w:trPr>
          <w:cantSplit/>
        </w:trPr>
        <w:tc>
          <w:tcPr>
            <w:tcW w:type="dxa" w:w="1440"/>
            <w:tcMar>
              <w:top w:w="90" w:type="dxa"/>
              <w:start w:w="100" w:type="dxa"/>
              <w:bottom w:w="90" w:type="dxa"/>
              <w:end w:w="100" w:type="dxa"/>
            </w:tcMar>
            <w:vAlign w:val="center"/>
            <w:shd w:fill="F5F7F9"/>
          </w:tcPr>
          <w:p>
            <w:bookmarkStart w:id="2554" w:name="po_458"/>
            <w:pPr>
              <w:spacing w:after="0"/>
            </w:pPr>
            <w:r>
              <w:rPr>
                <w:rFonts w:ascii="Aptos" w:hAnsi="Aptos" w:eastAsia="Aptos"/>
                <w:sz w:val="14"/>
              </w:rPr>
              <w:t>T2-PO-458</w:t>
            </w:r>
            <w:bookmarkEnd w:id="2554"/>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LDP result stores topology/speed/rate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certificate schema</w:t>
            </w:r>
          </w:p>
        </w:tc>
      </w:tr>
      <w:tr>
        <w:trPr>
          <w:cantSplit/>
        </w:trPr>
        <w:tc>
          <w:tcPr>
            <w:tcW w:type="dxa" w:w="1440"/>
            <w:tcMar>
              <w:top w:w="90" w:type="dxa"/>
              <w:start w:w="100" w:type="dxa"/>
              <w:bottom w:w="90" w:type="dxa"/>
              <w:end w:w="100" w:type="dxa"/>
            </w:tcMar>
            <w:vAlign w:val="center"/>
          </w:tcPr>
          <w:p>
            <w:bookmarkStart w:id="2555" w:name="po_459"/>
            <w:pPr>
              <w:spacing w:after="0"/>
            </w:pPr>
            <w:r>
              <w:rPr>
                <w:rFonts w:ascii="Aptos" w:hAnsi="Aptos" w:eastAsia="Aptos"/>
                <w:sz w:val="14"/>
              </w:rPr>
              <w:t>T2-PO-459</w:t>
            </w:r>
            <w:bookmarkEnd w:id="2555"/>
          </w:p>
        </w:tc>
        <w:tc>
          <w:tcPr>
            <w:tcW w:type="dxa" w:w="5040"/>
            <w:tcMar>
              <w:top w:w="90" w:type="dxa"/>
              <w:start w:w="100" w:type="dxa"/>
              <w:bottom w:w="90" w:type="dxa"/>
              <w:end w:w="100" w:type="dxa"/>
            </w:tcMar>
            <w:vAlign w:val="center"/>
          </w:tcPr>
          <w:p>
            <w:pPr>
              <w:spacing w:after="0"/>
            </w:pPr>
            <w:r>
              <w:rPr>
                <w:rFonts w:ascii="Aptos" w:hAnsi="Aptos" w:eastAsia="Aptos"/>
                <w:sz w:val="14"/>
              </w:rPr>
              <w:t>Finite-n remainder required for finite-n claim</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release tests</w:t>
            </w:r>
          </w:p>
        </w:tc>
      </w:tr>
      <w:tr>
        <w:trPr>
          <w:cantSplit/>
        </w:trPr>
        <w:tc>
          <w:tcPr>
            <w:tcW w:type="dxa" w:w="1440"/>
            <w:tcMar>
              <w:top w:w="90" w:type="dxa"/>
              <w:start w:w="100" w:type="dxa"/>
              <w:bottom w:w="90" w:type="dxa"/>
              <w:end w:w="100" w:type="dxa"/>
            </w:tcMar>
            <w:vAlign w:val="center"/>
            <w:shd w:fill="F5F7F9"/>
          </w:tcPr>
          <w:p>
            <w:bookmarkStart w:id="2556" w:name="po_460"/>
            <w:pPr>
              <w:spacing w:after="0"/>
            </w:pPr>
            <w:r>
              <w:rPr>
                <w:rFonts w:ascii="Aptos" w:hAnsi="Aptos" w:eastAsia="Aptos"/>
                <w:sz w:val="14"/>
              </w:rPr>
              <w:t>T2-PO-460</w:t>
            </w:r>
            <w:bookmarkEnd w:id="2556"/>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Ambiguity coverage externally validated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calibration run</w:t>
            </w:r>
          </w:p>
        </w:tc>
      </w:tr>
      <w:tr>
        <w:trPr>
          <w:cantSplit/>
        </w:trPr>
        <w:tc>
          <w:tcPr>
            <w:tcW w:type="dxa" w:w="1440"/>
            <w:tcMar>
              <w:top w:w="90" w:type="dxa"/>
              <w:start w:w="100" w:type="dxa"/>
              <w:bottom w:w="90" w:type="dxa"/>
              <w:end w:w="100" w:type="dxa"/>
            </w:tcMar>
            <w:vAlign w:val="center"/>
          </w:tcPr>
          <w:p>
            <w:bookmarkStart w:id="2557" w:name="po_461"/>
            <w:pPr>
              <w:spacing w:after="0"/>
            </w:pPr>
            <w:r>
              <w:rPr>
                <w:rFonts w:ascii="Aptos" w:hAnsi="Aptos" w:eastAsia="Aptos"/>
                <w:sz w:val="14"/>
              </w:rPr>
              <w:t>T2-PO-461</w:t>
            </w:r>
            <w:bookmarkEnd w:id="2557"/>
          </w:p>
        </w:tc>
        <w:tc>
          <w:tcPr>
            <w:tcW w:type="dxa" w:w="5040"/>
            <w:tcMar>
              <w:top w:w="90" w:type="dxa"/>
              <w:start w:w="100" w:type="dxa"/>
              <w:bottom w:w="90" w:type="dxa"/>
              <w:end w:w="100" w:type="dxa"/>
            </w:tcMar>
            <w:vAlign w:val="center"/>
          </w:tcPr>
          <w:p>
            <w:pPr>
              <w:spacing w:after="0"/>
            </w:pPr>
            <w:r>
              <w:rPr>
                <w:rFonts w:ascii="Aptos" w:hAnsi="Aptos" w:eastAsia="Aptos"/>
                <w:sz w:val="14"/>
              </w:rPr>
              <w:t>Importance weights audited</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absolute-continuity tests</w:t>
            </w:r>
          </w:p>
        </w:tc>
      </w:tr>
      <w:tr>
        <w:trPr>
          <w:cantSplit/>
        </w:trPr>
        <w:tc>
          <w:tcPr>
            <w:tcW w:type="dxa" w:w="1440"/>
            <w:tcMar>
              <w:top w:w="90" w:type="dxa"/>
              <w:start w:w="100" w:type="dxa"/>
              <w:bottom w:w="90" w:type="dxa"/>
              <w:end w:w="100" w:type="dxa"/>
            </w:tcMar>
            <w:vAlign w:val="center"/>
            <w:shd w:fill="F5F7F9"/>
          </w:tcPr>
          <w:p>
            <w:bookmarkStart w:id="2558" w:name="po_462"/>
            <w:pPr>
              <w:spacing w:after="0"/>
            </w:pPr>
            <w:r>
              <w:rPr>
                <w:rFonts w:ascii="Aptos" w:hAnsi="Aptos" w:eastAsia="Aptos"/>
                <w:sz w:val="14"/>
              </w:rPr>
              <w:t>T2-PO-462</w:t>
            </w:r>
            <w:bookmarkEnd w:id="2558"/>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Tail assumptions machine-readable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domain ontology</w:t>
            </w:r>
          </w:p>
        </w:tc>
      </w:tr>
      <w:tr>
        <w:trPr>
          <w:cantSplit/>
        </w:trPr>
        <w:tc>
          <w:tcPr>
            <w:tcW w:type="dxa" w:w="1440"/>
            <w:tcMar>
              <w:top w:w="90" w:type="dxa"/>
              <w:start w:w="100" w:type="dxa"/>
              <w:bottom w:w="90" w:type="dxa"/>
              <w:end w:w="100" w:type="dxa"/>
            </w:tcMar>
            <w:vAlign w:val="center"/>
          </w:tcPr>
          <w:p>
            <w:bookmarkStart w:id="2559" w:name="po_463"/>
            <w:pPr>
              <w:spacing w:after="0"/>
            </w:pPr>
            <w:r>
              <w:rPr>
                <w:rFonts w:ascii="Aptos" w:hAnsi="Aptos" w:eastAsia="Aptos"/>
                <w:sz w:val="14"/>
              </w:rPr>
              <w:t>T2-PO-463</w:t>
            </w:r>
            <w:bookmarkEnd w:id="2559"/>
          </w:p>
        </w:tc>
        <w:tc>
          <w:tcPr>
            <w:tcW w:type="dxa" w:w="5040"/>
            <w:tcMar>
              <w:top w:w="90" w:type="dxa"/>
              <w:start w:w="100" w:type="dxa"/>
              <w:bottom w:w="90" w:type="dxa"/>
              <w:end w:w="100" w:type="dxa"/>
            </w:tcMar>
            <w:vAlign w:val="center"/>
          </w:tcPr>
          <w:p>
            <w:pPr>
              <w:spacing w:after="0"/>
            </w:pPr>
            <w:r>
              <w:rPr>
                <w:rFonts w:ascii="Aptos" w:hAnsi="Aptos" w:eastAsia="Aptos"/>
                <w:sz w:val="14"/>
              </w:rPr>
              <w:t>External split immutable before tuning</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sealed split protocol</w:t>
            </w:r>
          </w:p>
        </w:tc>
      </w:tr>
      <w:tr>
        <w:trPr>
          <w:cantSplit/>
        </w:trPr>
        <w:tc>
          <w:tcPr>
            <w:tcW w:type="dxa" w:w="1440"/>
            <w:tcMar>
              <w:top w:w="90" w:type="dxa"/>
              <w:start w:w="100" w:type="dxa"/>
              <w:bottom w:w="90" w:type="dxa"/>
              <w:end w:w="100" w:type="dxa"/>
            </w:tcMar>
            <w:vAlign w:val="center"/>
            <w:shd w:fill="F5F7F9"/>
          </w:tcPr>
          <w:p>
            <w:bookmarkStart w:id="2560" w:name="po_464"/>
            <w:pPr>
              <w:spacing w:after="0"/>
            </w:pPr>
            <w:r>
              <w:rPr>
                <w:rFonts w:ascii="Aptos" w:hAnsi="Aptos" w:eastAsia="Aptos"/>
                <w:sz w:val="14"/>
              </w:rPr>
              <w:t>T2-PO-464</w:t>
            </w:r>
            <w:bookmarkEnd w:id="2560"/>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Leakage detector has known sensitivity</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benchmark</w:t>
            </w:r>
          </w:p>
        </w:tc>
      </w:tr>
      <w:tr>
        <w:trPr>
          <w:cantSplit/>
        </w:trPr>
        <w:tc>
          <w:tcPr>
            <w:tcW w:type="dxa" w:w="1440"/>
            <w:tcMar>
              <w:top w:w="90" w:type="dxa"/>
              <w:start w:w="100" w:type="dxa"/>
              <w:bottom w:w="90" w:type="dxa"/>
              <w:end w:w="100" w:type="dxa"/>
            </w:tcMar>
            <w:vAlign w:val="center"/>
          </w:tcPr>
          <w:p>
            <w:bookmarkStart w:id="2561" w:name="po_465"/>
            <w:pPr>
              <w:spacing w:after="0"/>
            </w:pPr>
            <w:r>
              <w:rPr>
                <w:rFonts w:ascii="Aptos" w:hAnsi="Aptos" w:eastAsia="Aptos"/>
                <w:sz w:val="14"/>
              </w:rPr>
              <w:t>T2-PO-465</w:t>
            </w:r>
            <w:bookmarkEnd w:id="2561"/>
          </w:p>
        </w:tc>
        <w:tc>
          <w:tcPr>
            <w:tcW w:type="dxa" w:w="5040"/>
            <w:tcMar>
              <w:top w:w="90" w:type="dxa"/>
              <w:start w:w="100" w:type="dxa"/>
              <w:bottom w:w="90" w:type="dxa"/>
              <w:end w:w="100" w:type="dxa"/>
            </w:tcMar>
            <w:vAlign w:val="center"/>
          </w:tcPr>
          <w:p>
            <w:pPr>
              <w:spacing w:after="0"/>
            </w:pPr>
            <w:r>
              <w:rPr>
                <w:rFonts w:ascii="Aptos" w:hAnsi="Aptos" w:eastAsia="Aptos"/>
                <w:sz w:val="14"/>
              </w:rPr>
              <w:t>Release policy matches requested Mode</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cross-mode tests</w:t>
            </w:r>
          </w:p>
        </w:tc>
      </w:tr>
      <w:tr>
        <w:trPr>
          <w:cantSplit/>
        </w:trPr>
        <w:tc>
          <w:tcPr>
            <w:tcW w:type="dxa" w:w="1440"/>
            <w:tcMar>
              <w:top w:w="90" w:type="dxa"/>
              <w:start w:w="100" w:type="dxa"/>
              <w:bottom w:w="90" w:type="dxa"/>
              <w:end w:w="100" w:type="dxa"/>
            </w:tcMar>
            <w:vAlign w:val="center"/>
            <w:shd w:fill="F5F7F9"/>
          </w:tcPr>
          <w:p>
            <w:bookmarkStart w:id="2562" w:name="po_466"/>
            <w:pPr>
              <w:spacing w:after="0"/>
            </w:pPr>
            <w:r>
              <w:rPr>
                <w:rFonts w:ascii="Aptos" w:hAnsi="Aptos" w:eastAsia="Aptos"/>
                <w:sz w:val="14"/>
              </w:rPr>
              <w:t>T2-PO-466</w:t>
            </w:r>
            <w:bookmarkEnd w:id="2562"/>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Verdict vector schema stable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serialization tests</w:t>
            </w:r>
          </w:p>
        </w:tc>
      </w:tr>
      <w:tr>
        <w:trPr>
          <w:cantSplit/>
        </w:trPr>
        <w:tc>
          <w:tcPr>
            <w:tcW w:type="dxa" w:w="1440"/>
            <w:tcMar>
              <w:top w:w="90" w:type="dxa"/>
              <w:start w:w="100" w:type="dxa"/>
              <w:bottom w:w="90" w:type="dxa"/>
              <w:end w:w="100" w:type="dxa"/>
            </w:tcMar>
            <w:vAlign w:val="center"/>
          </w:tcPr>
          <w:p>
            <w:bookmarkStart w:id="2563" w:name="po_467"/>
            <w:pPr>
              <w:spacing w:after="0"/>
            </w:pPr>
            <w:r>
              <w:rPr>
                <w:rFonts w:ascii="Aptos" w:hAnsi="Aptos" w:eastAsia="Aptos"/>
                <w:sz w:val="14"/>
              </w:rPr>
              <w:t>T2-PO-467</w:t>
            </w:r>
            <w:bookmarkEnd w:id="2563"/>
          </w:p>
        </w:tc>
        <w:tc>
          <w:tcPr>
            <w:tcW w:type="dxa" w:w="5040"/>
            <w:tcMar>
              <w:top w:w="90" w:type="dxa"/>
              <w:start w:w="100" w:type="dxa"/>
              <w:bottom w:w="90" w:type="dxa"/>
              <w:end w:w="100" w:type="dxa"/>
            </w:tcMar>
            <w:vAlign w:val="center"/>
          </w:tcPr>
          <w:p>
            <w:pPr>
              <w:spacing w:after="0"/>
            </w:pPr>
            <w:r>
              <w:rPr>
                <w:rFonts w:ascii="Aptos" w:hAnsi="Aptos" w:eastAsia="Aptos"/>
                <w:sz w:val="14"/>
              </w:rPr>
              <w:t>Set-valued forecast supports Pareto output</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algorithm + tests</w:t>
            </w:r>
          </w:p>
        </w:tc>
      </w:tr>
      <w:tr>
        <w:trPr>
          <w:cantSplit/>
        </w:trPr>
        <w:tc>
          <w:tcPr>
            <w:tcW w:type="dxa" w:w="1440"/>
            <w:tcMar>
              <w:top w:w="90" w:type="dxa"/>
              <w:start w:w="100" w:type="dxa"/>
              <w:bottom w:w="90" w:type="dxa"/>
              <w:end w:w="100" w:type="dxa"/>
            </w:tcMar>
            <w:vAlign w:val="center"/>
            <w:shd w:fill="F5F7F9"/>
          </w:tcPr>
          <w:p>
            <w:bookmarkStart w:id="2564" w:name="po_468"/>
            <w:pPr>
              <w:spacing w:after="0"/>
            </w:pPr>
            <w:r>
              <w:rPr>
                <w:rFonts w:ascii="Aptos" w:hAnsi="Aptos" w:eastAsia="Aptos"/>
                <w:sz w:val="14"/>
              </w:rPr>
              <w:t>T2-PO-468</w:t>
            </w:r>
            <w:bookmarkEnd w:id="2564"/>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No canonical scalarization enforced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forbidden-field audit</w:t>
            </w:r>
          </w:p>
        </w:tc>
      </w:tr>
      <w:tr>
        <w:trPr>
          <w:cantSplit/>
        </w:trPr>
        <w:tc>
          <w:tcPr>
            <w:tcW w:type="dxa" w:w="1440"/>
            <w:tcMar>
              <w:top w:w="90" w:type="dxa"/>
              <w:start w:w="100" w:type="dxa"/>
              <w:bottom w:w="90" w:type="dxa"/>
              <w:end w:w="100" w:type="dxa"/>
            </w:tcMar>
            <w:vAlign w:val="center"/>
          </w:tcPr>
          <w:p>
            <w:bookmarkStart w:id="2565" w:name="po_469"/>
            <w:pPr>
              <w:spacing w:after="0"/>
            </w:pPr>
            <w:r>
              <w:rPr>
                <w:rFonts w:ascii="Aptos" w:hAnsi="Aptos" w:eastAsia="Aptos"/>
                <w:sz w:val="14"/>
              </w:rPr>
              <w:t>T2-PO-469</w:t>
            </w:r>
            <w:bookmarkEnd w:id="2565"/>
          </w:p>
        </w:tc>
        <w:tc>
          <w:tcPr>
            <w:tcW w:type="dxa" w:w="5040"/>
            <w:tcMar>
              <w:top w:w="90" w:type="dxa"/>
              <w:start w:w="100" w:type="dxa"/>
              <w:bottom w:w="90" w:type="dxa"/>
              <w:end w:w="100" w:type="dxa"/>
            </w:tcMar>
            <w:vAlign w:val="center"/>
          </w:tcPr>
          <w:p>
            <w:pPr>
              <w:spacing w:after="0"/>
            </w:pPr>
            <w:r>
              <w:rPr>
                <w:rFonts w:ascii="Aptos" w:hAnsi="Aptos" w:eastAsia="Aptos"/>
                <w:sz w:val="14"/>
              </w:rPr>
              <w:t>ABSTAIN monotonicity implementation verified</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metamorphic tests</w:t>
            </w:r>
          </w:p>
        </w:tc>
      </w:tr>
      <w:tr>
        <w:trPr>
          <w:cantSplit/>
        </w:trPr>
        <w:tc>
          <w:tcPr>
            <w:tcW w:type="dxa" w:w="1440"/>
            <w:tcMar>
              <w:top w:w="90" w:type="dxa"/>
              <w:start w:w="100" w:type="dxa"/>
              <w:bottom w:w="90" w:type="dxa"/>
              <w:end w:w="100" w:type="dxa"/>
            </w:tcMar>
            <w:vAlign w:val="center"/>
            <w:shd w:fill="F5F7F9"/>
          </w:tcPr>
          <w:p>
            <w:bookmarkStart w:id="2566" w:name="po_470"/>
            <w:pPr>
              <w:spacing w:after="0"/>
            </w:pPr>
            <w:r>
              <w:rPr>
                <w:rFonts w:ascii="Aptos" w:hAnsi="Aptos" w:eastAsia="Aptos"/>
                <w:sz w:val="14"/>
              </w:rPr>
              <w:t>T2-PO-470</w:t>
            </w:r>
            <w:bookmarkEnd w:id="2566"/>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FAIL witness preserved to final report</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COMP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trace tests</w:t>
            </w:r>
          </w:p>
        </w:tc>
      </w:tr>
      <w:tr>
        <w:trPr>
          <w:cantSplit/>
        </w:trPr>
        <w:tc>
          <w:tcPr>
            <w:tcW w:type="dxa" w:w="1440"/>
            <w:tcMar>
              <w:top w:w="90" w:type="dxa"/>
              <w:start w:w="100" w:type="dxa"/>
              <w:bottom w:w="90" w:type="dxa"/>
              <w:end w:w="100" w:type="dxa"/>
            </w:tcMar>
            <w:vAlign w:val="center"/>
          </w:tcPr>
          <w:p>
            <w:bookmarkStart w:id="2567" w:name="po_471"/>
            <w:pPr>
              <w:spacing w:after="0"/>
            </w:pPr>
            <w:r>
              <w:rPr>
                <w:rFonts w:ascii="Aptos" w:hAnsi="Aptos" w:eastAsia="Aptos"/>
                <w:sz w:val="14"/>
              </w:rPr>
              <w:t>T2-PO-471</w:t>
            </w:r>
            <w:bookmarkEnd w:id="2567"/>
          </w:p>
        </w:tc>
        <w:tc>
          <w:tcPr>
            <w:tcW w:type="dxa" w:w="5040"/>
            <w:tcMar>
              <w:top w:w="90" w:type="dxa"/>
              <w:start w:w="100" w:type="dxa"/>
              <w:bottom w:w="90" w:type="dxa"/>
              <w:end w:w="100" w:type="dxa"/>
            </w:tcMar>
            <w:vAlign w:val="center"/>
          </w:tcPr>
          <w:p>
            <w:pPr>
              <w:spacing w:after="0"/>
            </w:pPr>
            <w:r>
              <w:rPr>
                <w:rFonts w:ascii="Aptos" w:hAnsi="Aptos" w:eastAsia="Aptos"/>
                <w:sz w:val="14"/>
              </w:rPr>
              <w:t>Proof chain links stable IDs</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reference integrity</w:t>
            </w:r>
          </w:p>
        </w:tc>
      </w:tr>
      <w:tr>
        <w:trPr>
          <w:cantSplit/>
        </w:trPr>
        <w:tc>
          <w:tcPr>
            <w:tcW w:type="dxa" w:w="1440"/>
            <w:tcMar>
              <w:top w:w="90" w:type="dxa"/>
              <w:start w:w="100" w:type="dxa"/>
              <w:bottom w:w="90" w:type="dxa"/>
              <w:end w:w="100" w:type="dxa"/>
            </w:tcMar>
            <w:vAlign w:val="center"/>
            <w:shd w:fill="F5F7F9"/>
          </w:tcPr>
          <w:p>
            <w:bookmarkStart w:id="2568" w:name="po_472"/>
            <w:pPr>
              <w:spacing w:after="0"/>
            </w:pPr>
            <w:r>
              <w:rPr>
                <w:rFonts w:ascii="Aptos" w:hAnsi="Aptos" w:eastAsia="Aptos"/>
                <w:sz w:val="14"/>
              </w:rPr>
              <w:t>T2-PO-472</w:t>
            </w:r>
            <w:bookmarkEnd w:id="2568"/>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Hash chain canonical serialization fixed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canonical encoding</w:t>
            </w:r>
          </w:p>
        </w:tc>
      </w:tr>
      <w:tr>
        <w:trPr>
          <w:cantSplit/>
        </w:trPr>
        <w:tc>
          <w:tcPr>
            <w:tcW w:type="dxa" w:w="1440"/>
            <w:tcMar>
              <w:top w:w="90" w:type="dxa"/>
              <w:start w:w="100" w:type="dxa"/>
              <w:bottom w:w="90" w:type="dxa"/>
              <w:end w:w="100" w:type="dxa"/>
            </w:tcMar>
            <w:vAlign w:val="center"/>
          </w:tcPr>
          <w:p>
            <w:bookmarkStart w:id="2569" w:name="po_473"/>
            <w:pPr>
              <w:spacing w:after="0"/>
            </w:pPr>
            <w:r>
              <w:rPr>
                <w:rFonts w:ascii="Aptos" w:hAnsi="Aptos" w:eastAsia="Aptos"/>
                <w:sz w:val="14"/>
              </w:rPr>
              <w:t>T2-PO-473</w:t>
            </w:r>
            <w:bookmarkEnd w:id="2569"/>
          </w:p>
        </w:tc>
        <w:tc>
          <w:tcPr>
            <w:tcW w:type="dxa" w:w="5040"/>
            <w:tcMar>
              <w:top w:w="90" w:type="dxa"/>
              <w:start w:w="100" w:type="dxa"/>
              <w:bottom w:w="90" w:type="dxa"/>
              <w:end w:w="100" w:type="dxa"/>
            </w:tcMar>
            <w:vAlign w:val="center"/>
          </w:tcPr>
          <w:p>
            <w:pPr>
              <w:spacing w:after="0"/>
            </w:pPr>
            <w:r>
              <w:rPr>
                <w:rFonts w:ascii="Aptos" w:hAnsi="Aptos" w:eastAsia="Aptos"/>
                <w:sz w:val="14"/>
              </w:rPr>
              <w:t>Nondeterministic parallel runs reproducible</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deterministic reduction or interval</w:t>
            </w:r>
          </w:p>
        </w:tc>
      </w:tr>
      <w:tr>
        <w:trPr>
          <w:cantSplit/>
        </w:trPr>
        <w:tc>
          <w:tcPr>
            <w:tcW w:type="dxa" w:w="1440"/>
            <w:tcMar>
              <w:top w:w="90" w:type="dxa"/>
              <w:start w:w="100" w:type="dxa"/>
              <w:bottom w:w="90" w:type="dxa"/>
              <w:end w:w="100" w:type="dxa"/>
            </w:tcMar>
            <w:vAlign w:val="center"/>
            <w:shd w:fill="F5F7F9"/>
          </w:tcPr>
          <w:p>
            <w:bookmarkStart w:id="2570" w:name="po_474"/>
            <w:pPr>
              <w:spacing w:after="0"/>
            </w:pPr>
            <w:r>
              <w:rPr>
                <w:rFonts w:ascii="Aptos" w:hAnsi="Aptos" w:eastAsia="Aptos"/>
                <w:sz w:val="14"/>
              </w:rPr>
              <w:t>T2-PO-474</w:t>
            </w:r>
            <w:bookmarkEnd w:id="2570"/>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Environment capture sufficient</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container lockfile</w:t>
            </w:r>
          </w:p>
        </w:tc>
      </w:tr>
      <w:tr>
        <w:trPr>
          <w:cantSplit/>
        </w:trPr>
        <w:tc>
          <w:tcPr>
            <w:tcW w:type="dxa" w:w="1440"/>
            <w:tcMar>
              <w:top w:w="90" w:type="dxa"/>
              <w:start w:w="100" w:type="dxa"/>
              <w:bottom w:w="90" w:type="dxa"/>
              <w:end w:w="100" w:type="dxa"/>
            </w:tcMar>
            <w:vAlign w:val="center"/>
          </w:tcPr>
          <w:p>
            <w:bookmarkStart w:id="2571" w:name="po_475"/>
            <w:pPr>
              <w:spacing w:after="0"/>
            </w:pPr>
            <w:r>
              <w:rPr>
                <w:rFonts w:ascii="Aptos" w:hAnsi="Aptos" w:eastAsia="Aptos"/>
                <w:sz w:val="14"/>
              </w:rPr>
              <w:t>T2-PO-475</w:t>
            </w:r>
            <w:bookmarkEnd w:id="2571"/>
          </w:p>
        </w:tc>
        <w:tc>
          <w:tcPr>
            <w:tcW w:type="dxa" w:w="5040"/>
            <w:tcMar>
              <w:top w:w="90" w:type="dxa"/>
              <w:start w:w="100" w:type="dxa"/>
              <w:bottom w:w="90" w:type="dxa"/>
              <w:end w:w="100" w:type="dxa"/>
            </w:tcMar>
            <w:vAlign w:val="center"/>
          </w:tcPr>
          <w:p>
            <w:pPr>
              <w:spacing w:after="0"/>
            </w:pPr>
            <w:r>
              <w:rPr>
                <w:rFonts w:ascii="Aptos" w:hAnsi="Aptos" w:eastAsia="Aptos"/>
                <w:sz w:val="14"/>
              </w:rPr>
              <w:t>Independent verifier implemented</w:t>
            </w:r>
          </w:p>
        </w:tc>
        <w:tc>
          <w:tcPr>
            <w:tcW w:type="dxa" w:w="1440"/>
            <w:tcMar>
              <w:top w:w="90" w:type="dxa"/>
              <w:start w:w="100" w:type="dxa"/>
              <w:bottom w:w="90" w:type="dxa"/>
              <w:end w:w="100" w:type="dxa"/>
            </w:tcMar>
            <w:vAlign w:val="center"/>
          </w:tcPr>
          <w:p>
            <w:pPr>
              <w:spacing w:after="0"/>
            </w:pPr>
            <w:r>
              <w:rPr>
                <w:rFonts w:ascii="Aptos" w:hAnsi="Aptos" w:eastAsia="Aptos"/>
                <w:sz w:val="14"/>
              </w:rPr>
              <w:t>OPEN</w:t>
            </w:r>
          </w:p>
        </w:tc>
        <w:tc>
          <w:tcPr>
            <w:tcW w:type="dxa" w:w="2016"/>
            <w:tcMar>
              <w:top w:w="90" w:type="dxa"/>
              <w:start w:w="100" w:type="dxa"/>
              <w:bottom w:w="90" w:type="dxa"/>
              <w:end w:w="100" w:type="dxa"/>
            </w:tcMar>
            <w:vAlign w:val="center"/>
          </w:tcPr>
          <w:p>
            <w:pPr>
              <w:spacing w:after="0"/>
            </w:pPr>
            <w:r>
              <w:rPr>
                <w:rFonts w:ascii="Aptos" w:hAnsi="Aptos" w:eastAsia="Aptos"/>
                <w:sz w:val="14"/>
              </w:rPr>
              <w:t>separate codebase</w:t>
            </w:r>
          </w:p>
        </w:tc>
      </w:tr>
      <w:tr>
        <w:trPr>
          <w:cantSplit/>
        </w:trPr>
        <w:tc>
          <w:tcPr>
            <w:tcW w:type="dxa" w:w="1440"/>
            <w:tcMar>
              <w:top w:w="90" w:type="dxa"/>
              <w:start w:w="100" w:type="dxa"/>
              <w:bottom w:w="90" w:type="dxa"/>
              <w:end w:w="100" w:type="dxa"/>
            </w:tcMar>
            <w:vAlign w:val="center"/>
            <w:shd w:fill="F5F7F9"/>
          </w:tcPr>
          <w:p>
            <w:bookmarkStart w:id="2572" w:name="po_476"/>
            <w:pPr>
              <w:spacing w:after="0"/>
            </w:pPr>
            <w:r>
              <w:rPr>
                <w:rFonts w:ascii="Aptos" w:hAnsi="Aptos" w:eastAsia="Aptos"/>
                <w:sz w:val="14"/>
              </w:rPr>
              <w:t>T2-PO-476</w:t>
            </w:r>
            <w:bookmarkEnd w:id="2572"/>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Adversarial integrated test suite complete</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red-team corpus</w:t>
            </w:r>
          </w:p>
        </w:tc>
      </w:tr>
      <w:tr>
        <w:trPr>
          <w:cantSplit/>
        </w:trPr>
        <w:tc>
          <w:tcPr>
            <w:tcW w:type="dxa" w:w="1440"/>
            <w:tcMar>
              <w:top w:w="90" w:type="dxa"/>
              <w:start w:w="100" w:type="dxa"/>
              <w:bottom w:w="90" w:type="dxa"/>
              <w:end w:w="100" w:type="dxa"/>
            </w:tcMar>
            <w:vAlign w:val="center"/>
          </w:tcPr>
          <w:p>
            <w:bookmarkStart w:id="2573" w:name="po_477"/>
            <w:pPr>
              <w:spacing w:after="0"/>
            </w:pPr>
            <w:r>
              <w:rPr>
                <w:rFonts w:ascii="Aptos" w:hAnsi="Aptos" w:eastAsia="Aptos"/>
                <w:sz w:val="14"/>
              </w:rPr>
              <w:t>T2-PO-477</w:t>
            </w:r>
            <w:bookmarkEnd w:id="2573"/>
          </w:p>
        </w:tc>
        <w:tc>
          <w:tcPr>
            <w:tcW w:type="dxa" w:w="5040"/>
            <w:tcMar>
              <w:top w:w="90" w:type="dxa"/>
              <w:start w:w="100" w:type="dxa"/>
              <w:bottom w:w="90" w:type="dxa"/>
              <w:end w:w="100" w:type="dxa"/>
            </w:tcMar>
            <w:vAlign w:val="center"/>
          </w:tcPr>
          <w:p>
            <w:pPr>
              <w:spacing w:after="0"/>
            </w:pPr>
            <w:r>
              <w:rPr>
                <w:rFonts w:ascii="Aptos" w:hAnsi="Aptos" w:eastAsia="Aptos"/>
                <w:sz w:val="14"/>
              </w:rPr>
              <w:t>Theorem 24.4 formally proved</w:t>
            </w:r>
          </w:p>
        </w:tc>
        <w:tc>
          <w:tcPr>
            <w:tcW w:type="dxa" w:w="1440"/>
            <w:tcMar>
              <w:top w:w="90" w:type="dxa"/>
              <w:start w:w="100" w:type="dxa"/>
              <w:bottom w:w="90" w:type="dxa"/>
              <w:end w:w="100" w:type="dxa"/>
            </w:tcMar>
            <w:vAlign w:val="center"/>
          </w:tcPr>
          <w:p>
            <w:pPr>
              <w:spacing w:after="0"/>
            </w:pPr>
            <w:r>
              <w:rPr>
                <w:rFonts w:ascii="Aptos" w:hAnsi="Aptos" w:eastAsia="Aptos"/>
                <w:sz w:val="14"/>
              </w:rPr>
              <w:t>COND</w:t>
            </w:r>
          </w:p>
        </w:tc>
        <w:tc>
          <w:tcPr>
            <w:tcW w:type="dxa" w:w="2016"/>
            <w:tcMar>
              <w:top w:w="90" w:type="dxa"/>
              <w:start w:w="100" w:type="dxa"/>
              <w:bottom w:w="90" w:type="dxa"/>
              <w:end w:w="100" w:type="dxa"/>
            </w:tcMar>
            <w:vAlign w:val="center"/>
          </w:tcPr>
          <w:p>
            <w:pPr>
              <w:spacing w:after="0"/>
            </w:pPr>
            <w:r>
              <w:rPr>
                <w:rFonts w:ascii="Aptos" w:hAnsi="Aptos" w:eastAsia="Aptos"/>
                <w:sz w:val="14"/>
              </w:rPr>
              <w:t>Lean/Coq/Isabelle target</w:t>
            </w:r>
          </w:p>
        </w:tc>
      </w:tr>
      <w:tr>
        <w:trPr>
          <w:cantSplit/>
        </w:trPr>
        <w:tc>
          <w:tcPr>
            <w:tcW w:type="dxa" w:w="1440"/>
            <w:tcMar>
              <w:top w:w="90" w:type="dxa"/>
              <w:start w:w="100" w:type="dxa"/>
              <w:bottom w:w="90" w:type="dxa"/>
              <w:end w:w="100" w:type="dxa"/>
            </w:tcMar>
            <w:vAlign w:val="center"/>
            <w:shd w:fill="F5F7F9"/>
          </w:tcPr>
          <w:p>
            <w:bookmarkStart w:id="2574" w:name="po_478"/>
            <w:pPr>
              <w:spacing w:after="0"/>
            </w:pPr>
            <w:r>
              <w:rPr>
                <w:rFonts w:ascii="Aptos" w:hAnsi="Aptos" w:eastAsia="Aptos"/>
                <w:sz w:val="14"/>
              </w:rPr>
              <w:t>T2-PO-478</w:t>
            </w:r>
            <w:bookmarkEnd w:id="2574"/>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Completeness limits documented per domain</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domain dossiers</w:t>
            </w:r>
          </w:p>
        </w:tc>
      </w:tr>
      <w:tr>
        <w:trPr>
          <w:cantSplit/>
        </w:trPr>
        <w:tc>
          <w:tcPr>
            <w:tcW w:type="dxa" w:w="1440"/>
            <w:tcMar>
              <w:top w:w="90" w:type="dxa"/>
              <w:start w:w="100" w:type="dxa"/>
              <w:bottom w:w="90" w:type="dxa"/>
              <w:end w:w="100" w:type="dxa"/>
            </w:tcMar>
            <w:vAlign w:val="center"/>
          </w:tcPr>
          <w:p>
            <w:bookmarkStart w:id="2575" w:name="po_479"/>
            <w:pPr>
              <w:spacing w:after="0"/>
            </w:pPr>
            <w:r>
              <w:rPr>
                <w:rFonts w:ascii="Aptos" w:hAnsi="Aptos" w:eastAsia="Aptos"/>
                <w:sz w:val="14"/>
              </w:rPr>
              <w:t>T2-PO-479</w:t>
            </w:r>
            <w:bookmarkEnd w:id="2575"/>
          </w:p>
        </w:tc>
        <w:tc>
          <w:tcPr>
            <w:tcW w:type="dxa" w:w="5040"/>
            <w:tcMar>
              <w:top w:w="90" w:type="dxa"/>
              <w:start w:w="100" w:type="dxa"/>
              <w:bottom w:w="90" w:type="dxa"/>
              <w:end w:w="100" w:type="dxa"/>
            </w:tcMar>
            <w:vAlign w:val="center"/>
          </w:tcPr>
          <w:p>
            <w:pPr>
              <w:spacing w:after="0"/>
            </w:pPr>
            <w:r>
              <w:rPr>
                <w:rFonts w:ascii="Aptos" w:hAnsi="Aptos" w:eastAsia="Aptos"/>
                <w:sz w:val="14"/>
              </w:rPr>
              <w:t>Falsifiability matrix linked to all theorem IDs</w:t>
            </w:r>
          </w:p>
        </w:tc>
        <w:tc>
          <w:tcPr>
            <w:tcW w:type="dxa" w:w="1440"/>
            <w:tcMar>
              <w:top w:w="90" w:type="dxa"/>
              <w:start w:w="100" w:type="dxa"/>
              <w:bottom w:w="90" w:type="dxa"/>
              <w:end w:w="100" w:type="dxa"/>
            </w:tcMar>
            <w:vAlign w:val="center"/>
          </w:tcPr>
          <w:p>
            <w:pPr>
              <w:spacing w:after="0"/>
            </w:pPr>
            <w:r>
              <w:rPr>
                <w:rFonts w:ascii="Aptos" w:hAnsi="Aptos" w:eastAsia="Aptos"/>
                <w:sz w:val="14"/>
              </w:rPr>
              <w:t>COMP</w:t>
            </w:r>
          </w:p>
        </w:tc>
        <w:tc>
          <w:tcPr>
            <w:tcW w:type="dxa" w:w="2016"/>
            <w:tcMar>
              <w:top w:w="90" w:type="dxa"/>
              <w:start w:w="100" w:type="dxa"/>
              <w:bottom w:w="90" w:type="dxa"/>
              <w:end w:w="100" w:type="dxa"/>
            </w:tcMar>
            <w:vAlign w:val="center"/>
          </w:tcPr>
          <w:p>
            <w:pPr>
              <w:spacing w:after="0"/>
            </w:pPr>
            <w:r>
              <w:rPr>
                <w:rFonts w:ascii="Aptos" w:hAnsi="Aptos" w:eastAsia="Aptos"/>
                <w:sz w:val="14"/>
              </w:rPr>
              <w:t>cross-reference audit</w:t>
            </w:r>
          </w:p>
        </w:tc>
      </w:tr>
      <w:tr>
        <w:trPr>
          <w:cantSplit/>
        </w:trPr>
        <w:tc>
          <w:tcPr>
            <w:tcW w:type="dxa" w:w="1440"/>
            <w:tcMar>
              <w:top w:w="90" w:type="dxa"/>
              <w:start w:w="100" w:type="dxa"/>
              <w:bottom w:w="90" w:type="dxa"/>
              <w:end w:w="100" w:type="dxa"/>
            </w:tcMar>
            <w:vAlign w:val="center"/>
            <w:shd w:fill="F5F7F9"/>
          </w:tcPr>
          <w:p>
            <w:bookmarkStart w:id="2576" w:name="po_480"/>
            <w:pPr>
              <w:spacing w:after="0"/>
            </w:pPr>
            <w:r>
              <w:rPr>
                <w:rFonts w:ascii="Aptos" w:hAnsi="Aptos" w:eastAsia="Aptos"/>
                <w:sz w:val="14"/>
              </w:rPr>
              <w:t>T2-PO-480</w:t>
            </w:r>
            <w:bookmarkEnd w:id="2576"/>
          </w:p>
        </w:tc>
        <w:tc>
          <w:tcPr>
            <w:tcW w:type="dxa" w:w="5040"/>
            <w:tcMar>
              <w:top w:w="90" w:type="dxa"/>
              <w:start w:w="100" w:type="dxa"/>
              <w:bottom w:w="90" w:type="dxa"/>
              <w:end w:w="100" w:type="dxa"/>
            </w:tcMar>
            <w:vAlign w:val="center"/>
            <w:shd w:fill="F5F7F9"/>
          </w:tcPr>
          <w:p>
            <w:pPr>
              <w:spacing w:after="0"/>
            </w:pPr>
            <w:r>
              <w:rPr>
                <w:rFonts w:ascii="Aptos" w:hAnsi="Aptos" w:eastAsia="Aptos"/>
                <w:sz w:val="14"/>
              </w:rPr>
              <w:t>EXT-RUN for F-1-F-14 executed</w:t>
            </w:r>
          </w:p>
        </w:tc>
        <w:tc>
          <w:tcPr>
            <w:tcW w:type="dxa" w:w="1440"/>
            <w:tcMar>
              <w:top w:w="90" w:type="dxa"/>
              <w:start w:w="100" w:type="dxa"/>
              <w:bottom w:w="90" w:type="dxa"/>
              <w:end w:w="100" w:type="dxa"/>
            </w:tcMar>
            <w:vAlign w:val="center"/>
            <w:shd w:fill="F5F7F9"/>
          </w:tcPr>
          <w:p>
            <w:pPr>
              <w:spacing w:after="0"/>
            </w:pPr>
            <w:r>
              <w:rPr>
                <w:rFonts w:ascii="Aptos" w:hAnsi="Aptos" w:eastAsia="Aptos"/>
                <w:sz w:val="14"/>
              </w:rPr>
              <w:t>OPEN/PHY-HYP</w:t>
            </w:r>
          </w:p>
        </w:tc>
        <w:tc>
          <w:tcPr>
            <w:tcW w:type="dxa" w:w="2016"/>
            <w:tcMar>
              <w:top w:w="90" w:type="dxa"/>
              <w:start w:w="100" w:type="dxa"/>
              <w:bottom w:w="90" w:type="dxa"/>
              <w:end w:w="100" w:type="dxa"/>
            </w:tcMar>
            <w:vAlign w:val="center"/>
            <w:shd w:fill="F5F7F9"/>
          </w:tcPr>
          <w:p>
            <w:pPr>
              <w:spacing w:after="0"/>
            </w:pPr>
            <w:r>
              <w:rPr>
                <w:rFonts w:ascii="Aptos" w:hAnsi="Aptos" w:eastAsia="Aptos"/>
                <w:sz w:val="14"/>
              </w:rPr>
              <w:t>independent preregistered run</w:t>
            </w:r>
          </w:p>
        </w:tc>
      </w:tr>
    </w:tbl>
    <w:p>
      <w:bookmarkStart w:id="1352" w:name="h_3627"/>
      <w:pPr>
        <w:pStyle w:val="Heading1"/>
        <w:widowControl/>
      </w:pPr>
      <w:r>
        <w:t>419. Prior art и граница авторского синтеза</w:t>
      </w:r>
      <w:bookmarkEnd w:id="1352"/>
    </w:p>
    <w:p>
      <w:pPr>
        <w:widowControl/>
      </w:pPr>
      <w:r>
        <w:rPr>
          <w:i w:val="0"/>
        </w:rPr>
        <w:t>Классический prior art включает логику программ и контракты, формальную derivation, abstract interpretation, категории частичных отображений, proof-carrying code, неравенства объединения, martingale/e-process дисциплину, conformal prediction и distributionally robust optimization. Авторский вклад данной главы состоит не в присвоении этих теорий, а в их соединении с NAPG/Reper/D-Dom архитектурой, статусной решёткой, однородной Λ-координатой и многослойным falsifiability ledger проекта KLT-RBD.</w:t>
      </w:r>
    </w:p>
    <w:p>
      <w:pPr>
        <w:widowControl/>
      </w:pPr>
      <w:r>
        <w:rPr>
          <w:i w:val="0"/>
        </w:rPr>
        <w:t>[V0.21-1] Hoare, C. A. R. An Axiomatic Basis for Computer Programming. Communications of the ACM 12(10), 576-580 (1969). DOI 10.1145/363235.363259.</w:t>
      </w:r>
    </w:p>
    <w:p>
      <w:pPr>
        <w:widowControl/>
      </w:pPr>
      <w:r>
        <w:rPr>
          <w:i w:val="0"/>
        </w:rPr>
        <w:t>[V0.21-2] Dijkstra, E. W. Guarded Commands, Nondeterminacy and Formal Derivation of Programs. Communications of the ACM 18(8), 453-457 (1975). DOI 10.1145/360933.360975.</w:t>
      </w:r>
    </w:p>
    <w:p>
      <w:pPr>
        <w:widowControl/>
      </w:pPr>
      <w:r>
        <w:rPr>
          <w:i w:val="0"/>
        </w:rPr>
        <w:t>[V0.21-3] Cousot, P.; Cousot, R. Abstract Interpretation: A Unified Lattice Model for Static Analysis of Programs by Construction or Approximation of Fixpoints. POPL 1977, 238-252. DOI 10.1145/512950.512973.</w:t>
      </w:r>
    </w:p>
    <w:p>
      <w:pPr>
        <w:widowControl/>
      </w:pPr>
      <w:r>
        <w:rPr>
          <w:i w:val="0"/>
        </w:rPr>
        <w:t>[V0.21-4] Cockett, J. R. B.; Lack, S. Restriction Categories I: Categories of Partial Maps. Theoretical Computer Science 270, 223-259 (2002). DOI 10.1016/S0304-3975(00)00382-0.</w:t>
      </w:r>
    </w:p>
    <w:p>
      <w:pPr>
        <w:widowControl/>
      </w:pPr>
      <w:r>
        <w:rPr>
          <w:i w:val="0"/>
        </w:rPr>
        <w:t>[V0.21-5] Necula, G. C. Proof-Carrying Code. POPL 1997, 106-119. DOI 10.1145/263699.263712.</w:t>
      </w:r>
    </w:p>
    <w:p>
      <w:pPr>
        <w:widowControl/>
      </w:pPr>
      <w:r>
        <w:rPr>
          <w:i w:val="0"/>
        </w:rPr>
        <w:t>[V0.21-6] Bonferroni, C. E. Teoria statistica delle classi e calcolo delle probabilità. Firenze: Seeber, 1936.</w:t>
      </w:r>
    </w:p>
    <w:p>
      <w:pPr>
        <w:widowControl/>
      </w:pPr>
      <w:r>
        <w:rPr>
          <w:i w:val="0"/>
        </w:rPr>
        <w:t>[V0.21-7] Ville, J. Étude critique de la notion de collectif. Paris: Gauthier-Villars, 1939.</w:t>
      </w:r>
    </w:p>
    <w:p>
      <w:pPr>
        <w:widowControl/>
      </w:pPr>
      <w:r>
        <w:rPr>
          <w:i w:val="0"/>
        </w:rPr>
        <w:t>[V0.21-8] Howard, S. R.; Ramdas, A.; McAuliffe, J.; Sekhon, J. Time-uniform Chernoff bounds via nonnegative supermartingales. arXiv:1808.03204; Annals of Statistics publication line.</w:t>
      </w:r>
    </w:p>
    <w:p>
      <w:pPr>
        <w:widowControl/>
      </w:pPr>
      <w:r>
        <w:rPr>
          <w:i w:val="0"/>
        </w:rPr>
        <w:t>[V0.21-9] Vovk, V.; Gammerman, A.; Shafer, G. Algorithmic Learning in a Random World. Springer, 2005. DOI 10.1007/b106715.</w:t>
      </w:r>
    </w:p>
    <w:p>
      <w:pPr>
        <w:widowControl/>
      </w:pPr>
      <w:r>
        <w:rPr>
          <w:i w:val="0"/>
        </w:rPr>
        <w:t>[V0.21-10] Mohajerin Esfahani, P.; Kuhn, D. Data-driven distributionally robust optimization using the Wasserstein metric. Mathematical Programming 171, 115-166 (2018).</w:t>
      </w:r>
    </w:p>
    <w:p>
      <w:pPr>
        <w:widowControl/>
      </w:pPr>
      <w:r>
        <w:rPr>
          <w:i w:val="0"/>
        </w:rPr>
        <w:t>[V0.21-11] Kurpishev, I. B. Том I v197 RU; Том II T2-RP-v0.1-v0.20. Внутренний авторский корпус и proof ledgers.</w:t>
      </w:r>
    </w:p>
    <w:p>
      <w:pPr>
        <w:widowControl/>
      </w:pPr>
      <w:r>
        <w:rPr>
          <w:i w:val="0"/>
        </w:rPr>
        <w:t>Граница новизны: «сертифицированная частичная категория» в настоящем тексте является авторским прикладным синтезом над классическими идеями partial maps, contracts и proof-carrying computation; её нельзя представлять как замену соответствующих общих теорий без отдельной сравнительной статьи и формальной эквивалентности.</w:t>
      </w:r>
    </w:p>
    <w:p>
      <w:bookmarkStart w:id="1353" w:name="h_3641"/>
      <w:pPr>
        <w:pStyle w:val="Heading1"/>
        <w:widowControl/>
      </w:pPr>
      <w:r>
        <w:t>420. Контрольная точка, итог Тома II и граница вывода</w:t>
      </w:r>
      <w:bookmarkEnd w:id="1353"/>
    </w:p>
    <w:p>
      <w:bookmarkStart w:id="2096" w:name="f_24_34"/>
      <w:pPr>
        <w:pStyle w:val="Quote"/>
        <w:widowControl/>
        <w:jc w:val="center"/>
      </w:pPr>
      <w:r>
        <w:t>truth_layer_promotion=0; checkpoint=T2-RP-v0.21; source=T2-RP-v0.20; next=T2-RP-v0.22.  (24.34)</w:t>
      </w:r>
      <w:bookmarkEnd w:id="2096"/>
    </w:p>
    <w:p>
      <w:pPr>
        <w:widowControl/>
      </w:pPr>
      <w:r>
        <w:rPr>
          <w:i w:val="0"/>
        </w:rPr>
        <w:t>Глава 24 завершила математическую линию двадцати четырёх глав: от типизированных NAPG-объектов и ассоциатора через атласы, связности, Hodge/Fredholm, препятствия, модули, wall-crossing, virtual/refined carriers и evolution laws к стохастическим, причинным и редкособытийным интерфейсам. Все слои соединены не обычной тотальной функцией, а категорией сертифицированных частичных операторов с правом отказа.</w:t>
      </w:r>
    </w:p>
    <w:p>
      <w:pPr>
        <w:pStyle w:val="Lead"/>
        <w:widowControl/>
      </w:pPr>
      <w:r>
        <w:rPr>
          <w:i w:val="0"/>
        </w:rPr>
        <w:t>Главный технический результат: end-to-end soundness decomposes into local soundness, interface compatibility, associative budget transport, weakest-link status and blocker-safe release. Главный философский результат: предсказание есть не устранение неопределённости, а дисциплинированное построение множества допустимых продолжений вместе с точным реестром того, почему некоторые продолжения разрешены, а другие не имеют права называться выводом.</w:t>
      </w:r>
    </w:p>
    <w:tbl>
      <w:tblPr>
        <w:tblStyle w:val="TableGrid"/>
        <w:tblW w:type="auto" w:w="0"/>
        <w:jc w:val="center"/>
        <w:tblLook w:firstColumn="1" w:firstRow="1" w:lastColumn="0" w:lastRow="0" w:noHBand="0" w:noVBand="1" w:val="04A0"/>
        <w:tblBorders>
          <w:top w:val="single" w:sz="10" w:color="B21F24"/>
          <w:left w:val="single" w:sz="10" w:color="B21F24"/>
          <w:bottom w:val="single" w:sz="10" w:color="B21F24"/>
          <w:right w:val="single" w:sz="10" w:color="B21F24"/>
          <w:insideH w:val="single" w:sz="10" w:color="B21F24"/>
          <w:insideV w:val="single" w:sz="10" w:color="B21F24"/>
        </w:tblBorders>
      </w:tblPr>
      <w:tblGrid>
        <w:gridCol w:w="9752"/>
      </w:tblGrid>
      <w:tr>
        <w:trPr>
          <w:tblHeader w:val="true"/>
          <w:cantSplit/>
        </w:trPr>
        <w:tc>
          <w:tcPr>
            <w:tcW w:type="dxa" w:w="9752"/>
            <w:shd w:fill="FBE8E4"/>
            <w:tcMar>
              <w:top w:w="150" w:type="dxa"/>
              <w:start w:w="180" w:type="dxa"/>
              <w:bottom w:w="150" w:type="dxa"/>
              <w:end w:w="180" w:type="dxa"/>
            </w:tcMar>
          </w:tcPr>
          <w:p>
            <w:r>
              <w:rPr>
                <w:rFonts w:ascii="Aptos" w:hAnsi="Aptos" w:eastAsia="Aptos"/>
                <w:b/>
                <w:color w:val="B21F24"/>
                <w:sz w:val="24"/>
              </w:rPr>
              <w:t>ИТОГОВЫЙ СТАТУС-ЗАМОК</w:t>
              <w:br/>
            </w:r>
            <w:r>
              <w:rPr>
                <w:rFonts w:ascii="Aptos" w:hAnsi="Aptos" w:eastAsia="Aptos"/>
                <w:sz w:val="21"/>
              </w:rPr>
              <w:t>ПН.2 сохраняется как математическая минимаксная теорема в своей модели. Теорема Дезарга-Курпишева применяется только при перечисленных проективных и полярных гипотезах. F-1-F-14 и физические мосты остаются PHY-HYP до независимой проверки. Регистрационные документы подтверждают регистрацию объектов, но не истинность математических или физических утверждений. truth_layer_promotion=0.</w:t>
            </w:r>
          </w:p>
        </w:tc>
      </w:tr>
    </w:tbl>
    <w:p>
      <w:pPr>
        <w:pStyle w:val="Small"/>
        <w:widowControl/>
      </w:pPr>
      <w:r>
        <w:rPr>
          <w:i w:val="0"/>
        </w:rPr>
        <w:t>Следующая сборка tom2_v0_22: интегральный proof audit всех глав, синхронизация theorem/PO index, формульный и предметный указатели, перекрёстные ссылки, приложения, accessibility и publication gate перед заморозкой.</w:t>
      </w:r>
    </w:p>
    <w:p>
      <w:pPr>
        <w:pStyle w:val="Small"/>
        <w:widowControl/>
      </w:pPr>
      <w:r>
        <w:rPr>
          <w:i w:val="0"/>
        </w:rPr>
        <w:t>checkpoint=T2-RP-v0.21; source=T2-RP-v0.20; truth_layer_promotion=0; next=T2-RP-v0.22.</w:t>
      </w:r>
    </w:p>
    <w:p>
      <w:r>
        <w:br w:type="page"/>
      </w:r>
    </w:p>
    <w:p>
      <w:bookmarkStart w:id="2597" w:name="h_3648"/>
      <w:pPr>
        <w:pStyle w:val="Heading1"/>
      </w:pPr>
      <w:r>
        <w:t>421. Интегральный proof audit Тома II: статус и область проверки</w:t>
      </w:r>
      <w:bookmarkEnd w:id="2597"/>
    </w:p>
    <w:p>
      <w:pPr>
        <w:pStyle w:val="Lead"/>
      </w:pPr>
      <w:r>
        <w:t>Контрольная точка T2-RP-v0.22 не добавляет новую предметную теорию поверх главы 24. Её задача — проверить, что уже построенный корпус адресуем, типизирован, навигационно связан, доступен для машинного и человеческого чтения и сопровождается честным publication gate. Аудит охватывает формальные утверждения, T2-PO, формулы, главы, таблицы, рисунки, внутренние ссылки, метаданные и доказательные границы.</w:t>
      </w:r>
    </w:p>
    <w:tbl>
      <w:tblPr>
        <w:tblStyle w:val="TableGrid"/>
        <w:tblW w:type="auto" w:w="0"/>
        <w:jc w:val="center"/>
        <w:tblLook w:firstColumn="1" w:firstRow="1" w:lastColumn="0" w:lastRow="0" w:noHBand="0" w:noVBand="1" w:val="04A0"/>
      </w:tblPr>
      <w:tblGrid>
        <w:gridCol w:w="4876"/>
        <w:gridCol w:w="4876"/>
      </w:tblGrid>
      <w:tr>
        <w:trPr>
          <w:cantSplit/>
          <w:tblHeader w:val="true"/>
        </w:trPr>
        <w:tc>
          <w:tcPr>
            <w:tcW w:type="dxa" w:w="4876"/>
            <w:shd w:fill="17365D"/>
            <w:tcMar>
              <w:top w:w="120" w:type="dxa"/>
              <w:start w:w="130" w:type="dxa"/>
              <w:bottom w:w="120" w:type="dxa"/>
              <w:end w:w="130" w:type="dxa"/>
            </w:tcMar>
            <w:vAlign w:val="center"/>
          </w:tcPr>
          <w:p>
            <w:r>
              <w:rPr>
                <w:rFonts w:ascii="Liberation Sans" w:hAnsi="Liberation Sans" w:cs="Liberation Sans"/>
                <w:b/>
                <w:color w:val="FFFFFF"/>
                <w:sz w:val="18"/>
              </w:rPr>
              <w:t>ОНТОЛОГИЯ</w:t>
            </w:r>
          </w:p>
        </w:tc>
        <w:tc>
          <w:tcPr>
            <w:tcW w:type="dxa" w:w="4876"/>
            <w:shd w:fill="EAF1F8"/>
            <w:tcMar>
              <w:top w:w="120" w:type="dxa"/>
              <w:start w:w="130" w:type="dxa"/>
              <w:bottom w:w="120" w:type="dxa"/>
              <w:end w:w="130" w:type="dxa"/>
            </w:tcMar>
            <w:vAlign w:val="center"/>
          </w:tcPr>
          <w:p>
            <w:r>
              <w:rPr>
                <w:rFonts w:ascii="Liberation Serif" w:hAnsi="Liberation Serif" w:cs="Liberation Serif"/>
                <w:sz w:val="18"/>
              </w:rPr>
              <w:t>Публикуемый математический объект существует для читателя не только как набор страниц, но как сеть утверждений, формул, зависимостей, контрпримеров и условий применимости.</w:t>
            </w:r>
          </w:p>
        </w:tc>
      </w:tr>
      <w:tr>
        <w:trPr>
          <w:cantSplit/>
        </w:trPr>
        <w:tc>
          <w:tcPr>
            <w:tcW w:type="dxa" w:w="4876"/>
            <w:shd w:fill="17365D"/>
            <w:tcMar>
              <w:top w:w="120" w:type="dxa"/>
              <w:start w:w="130" w:type="dxa"/>
              <w:bottom w:w="120" w:type="dxa"/>
              <w:end w:w="130" w:type="dxa"/>
            </w:tcMar>
            <w:vAlign w:val="center"/>
          </w:tcPr>
          <w:p>
            <w:r>
              <w:rPr>
                <w:rFonts w:ascii="Liberation Sans" w:hAnsi="Liberation Sans" w:cs="Liberation Sans"/>
                <w:b/>
                <w:color w:val="FFFFFF"/>
                <w:sz w:val="18"/>
              </w:rPr>
              <w:t>ГНОСЕОЛОГИЯ</w:t>
            </w:r>
          </w:p>
        </w:tc>
        <w:tc>
          <w:tcPr>
            <w:tcW w:type="dxa" w:w="4876"/>
            <w:shd w:fill="EAF1F8"/>
            <w:tcMar>
              <w:top w:w="120" w:type="dxa"/>
              <w:start w:w="130" w:type="dxa"/>
              <w:bottom w:w="120" w:type="dxa"/>
              <w:end w:w="130" w:type="dxa"/>
            </w:tcMar>
            <w:vAlign w:val="center"/>
          </w:tcPr>
          <w:p>
            <w:r>
              <w:rPr>
                <w:rFonts w:ascii="Liberation Serif" w:hAnsi="Liberation Serif" w:cs="Liberation Serif"/>
                <w:sz w:val="18"/>
              </w:rPr>
              <w:t>Реестр не доказывает теорему, но делает видимым, где доказательство находится, какой статус имеет и какие гипотезы ограничивают его перенос.</w:t>
            </w:r>
          </w:p>
        </w:tc>
      </w:tr>
      <w:tr>
        <w:trPr>
          <w:cantSplit/>
        </w:trPr>
        <w:tc>
          <w:tcPr>
            <w:tcW w:type="dxa" w:w="4876"/>
            <w:shd w:fill="17365D"/>
            <w:tcMar>
              <w:top w:w="120" w:type="dxa"/>
              <w:start w:w="130" w:type="dxa"/>
              <w:bottom w:w="120" w:type="dxa"/>
              <w:end w:w="130" w:type="dxa"/>
            </w:tcMar>
            <w:vAlign w:val="center"/>
          </w:tcPr>
          <w:p>
            <w:r>
              <w:rPr>
                <w:rFonts w:ascii="Liberation Sans" w:hAnsi="Liberation Sans" w:cs="Liberation Sans"/>
                <w:b/>
                <w:color w:val="FFFFFF"/>
                <w:sz w:val="18"/>
              </w:rPr>
              <w:t>ФЕНОМЕНОЛОГИЯ</w:t>
            </w:r>
          </w:p>
        </w:tc>
        <w:tc>
          <w:tcPr>
            <w:tcW w:type="dxa" w:w="4876"/>
            <w:shd w:fill="EAF1F8"/>
            <w:tcMar>
              <w:top w:w="120" w:type="dxa"/>
              <w:start w:w="130" w:type="dxa"/>
              <w:bottom w:w="120" w:type="dxa"/>
              <w:end w:w="130" w:type="dxa"/>
            </w:tcMar>
            <w:vAlign w:val="center"/>
          </w:tcPr>
          <w:p>
            <w:r>
              <w:rPr>
                <w:rFonts w:ascii="Liberation Serif" w:hAnsi="Liberation Serif" w:cs="Liberation Serif"/>
                <w:sz w:val="18"/>
              </w:rPr>
              <w:t>Читатель должен иметь возможность пройти от предметного понятия к формуле, от формулы к утверждению, от утверждения к PO и от PO к публикационному вердикту.</w:t>
            </w:r>
          </w:p>
        </w:tc>
      </w:tr>
      <w:tr>
        <w:trPr>
          <w:cantSplit/>
        </w:trPr>
        <w:tc>
          <w:tcPr>
            <w:tcW w:type="dxa" w:w="4876"/>
            <w:shd w:fill="A66F00"/>
            <w:tcMar>
              <w:top w:w="120" w:type="dxa"/>
              <w:start w:w="130" w:type="dxa"/>
              <w:bottom w:w="120" w:type="dxa"/>
              <w:end w:w="130" w:type="dxa"/>
            </w:tcMar>
            <w:vAlign w:val="center"/>
          </w:tcPr>
          <w:p>
            <w:r>
              <w:rPr>
                <w:rFonts w:ascii="Liberation Sans" w:hAnsi="Liberation Sans" w:cs="Liberation Sans"/>
                <w:b/>
                <w:color w:val="FFFFFF"/>
                <w:sz w:val="18"/>
              </w:rPr>
              <w:t>ГРАНИЦА</w:t>
            </w:r>
          </w:p>
        </w:tc>
        <w:tc>
          <w:tcPr>
            <w:tcW w:type="dxa" w:w="4876"/>
            <w:shd w:fill="FFF3D6"/>
            <w:tcMar>
              <w:top w:w="120" w:type="dxa"/>
              <w:start w:w="130" w:type="dxa"/>
              <w:bottom w:w="120" w:type="dxa"/>
              <w:end w:w="130" w:type="dxa"/>
            </w:tcMar>
            <w:vAlign w:val="center"/>
          </w:tcPr>
          <w:p>
            <w:r>
              <w:rPr>
                <w:rFonts w:ascii="Liberation Serif" w:hAnsi="Liberation Serif" w:cs="Liberation Serif"/>
                <w:sz w:val="18"/>
              </w:rPr>
              <w:t>Редакционная целостность не равна математической полноте, а математическая публикация не равна независимой физической или эмпирической валидации.</w:t>
            </w:r>
          </w:p>
        </w:tc>
      </w:tr>
    </w:tbl>
    <w:p>
      <w:bookmarkStart w:id="2598" w:name="h_3650"/>
      <w:pPr>
        <w:pStyle w:val="Heading1"/>
      </w:pPr>
      <w:r>
        <w:t>422. Контракт proof audit и новые обязательства T2-PO-481–T2-PO-500</w:t>
      </w:r>
      <w:bookmarkEnd w:id="2598"/>
    </w:p>
    <w:p>
      <w:pPr/>
      <w:r>
        <w:t>Аудит сам становится проверяемым слоем и потому получает собственные proof obligations. Они не «закрывают» прежние открытые теоремы; они проверяют целостность публикационного представления.</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6"/>
              </w:rPr>
              <w:t>PO</w:t>
            </w:r>
          </w:p>
        </w:tc>
        <w:tc>
          <w:tcPr>
            <w:tcW w:type="dxa" w:w="3402"/>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6"/>
              </w:rPr>
              <w:t>Требование</w:t>
            </w:r>
          </w:p>
        </w:tc>
        <w:tc>
          <w:tcPr>
            <w:tcW w:type="dxa" w:w="1474"/>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6"/>
              </w:rPr>
              <w:t>Статус</w:t>
            </w:r>
          </w:p>
        </w:tc>
        <w:tc>
          <w:tcPr>
            <w:tcW w:type="dxa" w:w="3969"/>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6"/>
              </w:rPr>
              <w:t>Свидетельство/граница</w:t>
            </w:r>
          </w:p>
        </w:tc>
      </w:tr>
      <w:tr>
        <w:trPr>
          <w:cantSplit/>
        </w:trPr>
        <w:tc>
          <w:tcPr>
            <w:tcW w:type="dxa" w:w="1247"/>
            <w:vAlign w:val="center"/>
            <w:tcMar>
              <w:top w:w="80" w:type="dxa"/>
              <w:start w:w="100" w:type="dxa"/>
              <w:bottom w:w="80" w:type="dxa"/>
              <w:end w:w="100" w:type="dxa"/>
            </w:tcMar>
          </w:tcPr>
          <w:p>
            <w:pPr>
              <w:spacing w:before="0" w:after="0" w:line="240" w:lineRule="auto"/>
            </w:pPr>
            <w:bookmarkStart w:id="2577" w:name="po_481"/>
            <w:r>
              <w:rPr>
                <w:rFonts w:ascii="Liberation Serif" w:hAnsi="Liberation Serif" w:cs="Liberation Serif"/>
                <w:b w:val="0"/>
                <w:sz w:val="16"/>
              </w:rPr>
              <w:t>T2-PO-481</w:t>
            </w:r>
            <w:bookmarkEnd w:id="2577"/>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Полнота реестра формальных утверждений</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339 нумерованных утверждений извлечены; typed IDs назначены.</w:t>
            </w:r>
          </w:p>
        </w:tc>
      </w:tr>
      <w:tr>
        <w:trPr>
          <w:cantSplit/>
        </w:trPr>
        <w:tc>
          <w:tcPr>
            <w:tcW w:type="dxa" w:w="1247"/>
            <w:vAlign w:val="center"/>
            <w:tcMar>
              <w:top w:w="80" w:type="dxa"/>
              <w:start w:w="100" w:type="dxa"/>
              <w:bottom w:w="80" w:type="dxa"/>
              <w:end w:w="100" w:type="dxa"/>
            </w:tcMar>
          </w:tcPr>
          <w:p>
            <w:pPr>
              <w:spacing w:before="0" w:after="0" w:line="240" w:lineRule="auto"/>
            </w:pPr>
            <w:bookmarkStart w:id="2578" w:name="po_482"/>
            <w:r>
              <w:rPr>
                <w:rFonts w:ascii="Liberation Serif" w:hAnsi="Liberation Serif" w:cs="Liberation Serif"/>
                <w:b w:val="0"/>
                <w:sz w:val="16"/>
              </w:rPr>
              <w:t>T2-PO-482</w:t>
            </w:r>
            <w:bookmarkEnd w:id="2578"/>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Устранение неоднозначности голых номеров утверждений</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44 межтиповых коллизии нейтрализованы ID вида T2-THM/DEF/LEM-…</w:t>
            </w:r>
          </w:p>
        </w:tc>
      </w:tr>
      <w:tr>
        <w:trPr>
          <w:cantSplit/>
        </w:trPr>
        <w:tc>
          <w:tcPr>
            <w:tcW w:type="dxa" w:w="1247"/>
            <w:vAlign w:val="center"/>
            <w:tcMar>
              <w:top w:w="80" w:type="dxa"/>
              <w:start w:w="100" w:type="dxa"/>
              <w:bottom w:w="80" w:type="dxa"/>
              <w:end w:w="100" w:type="dxa"/>
            </w:tcMar>
          </w:tcPr>
          <w:p>
            <w:pPr>
              <w:spacing w:before="0" w:after="0" w:line="240" w:lineRule="auto"/>
            </w:pPr>
            <w:bookmarkStart w:id="2579" w:name="po_483"/>
            <w:r>
              <w:rPr>
                <w:rFonts w:ascii="Liberation Serif" w:hAnsi="Liberation Serif" w:cs="Liberation Serif"/>
                <w:b w:val="0"/>
                <w:sz w:val="16"/>
              </w:rPr>
              <w:t>T2-PO-483</w:t>
            </w:r>
            <w:bookmarkEnd w:id="2579"/>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Уникальность формульных ID</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404 формульных меток уникальны внутри Тома II.</w:t>
            </w:r>
          </w:p>
        </w:tc>
      </w:tr>
      <w:tr>
        <w:trPr>
          <w:cantSplit/>
        </w:trPr>
        <w:tc>
          <w:tcPr>
            <w:tcW w:type="dxa" w:w="1247"/>
            <w:vAlign w:val="center"/>
            <w:tcMar>
              <w:top w:w="80" w:type="dxa"/>
              <w:start w:w="100" w:type="dxa"/>
              <w:bottom w:w="80" w:type="dxa"/>
              <w:end w:w="100" w:type="dxa"/>
            </w:tcMar>
          </w:tcPr>
          <w:p>
            <w:pPr>
              <w:spacing w:before="0" w:after="0" w:line="240" w:lineRule="auto"/>
            </w:pPr>
            <w:bookmarkStart w:id="2580" w:name="po_484"/>
            <w:r>
              <w:rPr>
                <w:rFonts w:ascii="Liberation Serif" w:hAnsi="Liberation Serif" w:cs="Liberation Serif"/>
                <w:b w:val="0"/>
                <w:sz w:val="16"/>
              </w:rPr>
              <w:t>T2-PO-484</w:t>
            </w:r>
            <w:bookmarkEnd w:id="2580"/>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Непрерывность реестра T2-PO</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T2-PO-001–T2-PO-500 образуют непрерывный диапазон.</w:t>
            </w:r>
          </w:p>
        </w:tc>
      </w:tr>
      <w:tr>
        <w:trPr>
          <w:cantSplit/>
        </w:trPr>
        <w:tc>
          <w:tcPr>
            <w:tcW w:type="dxa" w:w="1247"/>
            <w:vAlign w:val="center"/>
            <w:tcMar>
              <w:top w:w="80" w:type="dxa"/>
              <w:start w:w="100" w:type="dxa"/>
              <w:bottom w:w="80" w:type="dxa"/>
              <w:end w:w="100" w:type="dxa"/>
            </w:tcMar>
          </w:tcPr>
          <w:p>
            <w:pPr>
              <w:spacing w:before="0" w:after="0" w:line="240" w:lineRule="auto"/>
            </w:pPr>
            <w:bookmarkStart w:id="2581" w:name="po_485"/>
            <w:r>
              <w:rPr>
                <w:rFonts w:ascii="Liberation Serif" w:hAnsi="Liberation Serif" w:cs="Liberation Serif"/>
                <w:b w:val="0"/>
                <w:sz w:val="16"/>
              </w:rPr>
              <w:t>T2-PO-485</w:t>
            </w:r>
            <w:bookmarkEnd w:id="2581"/>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Внутренние ссылки theorem/formula/PO registers</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В DOCX установлены bookmark/anchor links; PDF-проверка выполняется при конверсии.</w:t>
            </w:r>
          </w:p>
        </w:tc>
      </w:tr>
      <w:tr>
        <w:trPr>
          <w:cantSplit/>
        </w:trPr>
        <w:tc>
          <w:tcPr>
            <w:tcW w:type="dxa" w:w="1247"/>
            <w:vAlign w:val="center"/>
            <w:tcMar>
              <w:top w:w="80" w:type="dxa"/>
              <w:start w:w="100" w:type="dxa"/>
              <w:bottom w:w="80" w:type="dxa"/>
              <w:end w:w="100" w:type="dxa"/>
            </w:tcMar>
          </w:tcPr>
          <w:p>
            <w:pPr>
              <w:spacing w:before="0" w:after="0" w:line="240" w:lineRule="auto"/>
            </w:pPr>
            <w:bookmarkStart w:id="2582" w:name="po_486"/>
            <w:r>
              <w:rPr>
                <w:rFonts w:ascii="Liberation Serif" w:hAnsi="Liberation Serif" w:cs="Liberation Serif"/>
                <w:b w:val="0"/>
                <w:sz w:val="16"/>
              </w:rPr>
              <w:t>T2-PO-486</w:t>
            </w:r>
            <w:bookmarkEnd w:id="2582"/>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Полная библиографическая верификация всех внешних URI/DOI</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COND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Требуется отдельный сетевой link-check перед публичной выкладкой.</w:t>
            </w:r>
          </w:p>
        </w:tc>
      </w:tr>
      <w:tr>
        <w:trPr>
          <w:cantSplit/>
        </w:trPr>
        <w:tc>
          <w:tcPr>
            <w:tcW w:type="dxa" w:w="1247"/>
            <w:vAlign w:val="center"/>
            <w:tcMar>
              <w:top w:w="80" w:type="dxa"/>
              <w:start w:w="100" w:type="dxa"/>
              <w:bottom w:w="80" w:type="dxa"/>
              <w:end w:w="100" w:type="dxa"/>
            </w:tcMar>
          </w:tcPr>
          <w:p>
            <w:pPr>
              <w:spacing w:before="0" w:after="0" w:line="240" w:lineRule="auto"/>
            </w:pPr>
            <w:bookmarkStart w:id="2583" w:name="po_487"/>
            <w:r>
              <w:rPr>
                <w:rFonts w:ascii="Liberation Serif" w:hAnsi="Liberation Serif" w:cs="Liberation Serif"/>
                <w:b w:val="0"/>
                <w:sz w:val="16"/>
              </w:rPr>
              <w:t>T2-PO-487</w:t>
            </w:r>
            <w:bookmarkEnd w:id="2583"/>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Alt text для всех рисунков</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Alt text формируется из ближайшей подписи; портрет автора описан отдельно.</w:t>
            </w:r>
          </w:p>
        </w:tc>
      </w:tr>
      <w:tr>
        <w:trPr>
          <w:cantSplit/>
        </w:trPr>
        <w:tc>
          <w:tcPr>
            <w:tcW w:type="dxa" w:w="1247"/>
            <w:vAlign w:val="center"/>
            <w:tcMar>
              <w:top w:w="80" w:type="dxa"/>
              <w:start w:w="100" w:type="dxa"/>
              <w:bottom w:w="80" w:type="dxa"/>
              <w:end w:w="100" w:type="dxa"/>
            </w:tcMar>
          </w:tcPr>
          <w:p>
            <w:pPr>
              <w:spacing w:before="0" w:after="0" w:line="240" w:lineRule="auto"/>
            </w:pPr>
            <w:bookmarkStart w:id="2584" w:name="po_488"/>
            <w:r>
              <w:rPr>
                <w:rFonts w:ascii="Liberation Serif" w:hAnsi="Liberation Serif" w:cs="Liberation Serif"/>
                <w:b w:val="0"/>
                <w:sz w:val="16"/>
              </w:rPr>
              <w:t>T2-PO-488</w:t>
            </w:r>
            <w:bookmarkEnd w:id="2584"/>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Заголовочные строки таблиц</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Первые строки таблиц размечены как повторяемые header rows.</w:t>
            </w:r>
          </w:p>
        </w:tc>
      </w:tr>
      <w:tr>
        <w:trPr>
          <w:cantSplit/>
        </w:trPr>
        <w:tc>
          <w:tcPr>
            <w:tcW w:type="dxa" w:w="1247"/>
            <w:vAlign w:val="center"/>
            <w:tcMar>
              <w:top w:w="80" w:type="dxa"/>
              <w:start w:w="100" w:type="dxa"/>
              <w:bottom w:w="80" w:type="dxa"/>
              <w:end w:w="100" w:type="dxa"/>
            </w:tcMar>
          </w:tcPr>
          <w:p>
            <w:pPr>
              <w:spacing w:before="0" w:after="0" w:line="240" w:lineRule="auto"/>
            </w:pPr>
            <w:bookmarkStart w:id="2585" w:name="po_489"/>
            <w:r>
              <w:rPr>
                <w:rFonts w:ascii="Liberation Serif" w:hAnsi="Liberation Serif" w:cs="Liberation Serif"/>
                <w:b w:val="0"/>
                <w:sz w:val="16"/>
              </w:rPr>
              <w:t>T2-PO-489</w:t>
            </w:r>
            <w:bookmarkEnd w:id="2585"/>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Логическая иерархия заголовков</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CLOSED/LOCAL</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Heading 1/2 аудит выполнен; историческая прямая разметка титула сохранена как дизайн.</w:t>
            </w:r>
          </w:p>
        </w:tc>
      </w:tr>
      <w:tr>
        <w:trPr>
          <w:cantSplit/>
        </w:trPr>
        <w:tc>
          <w:tcPr>
            <w:tcW w:type="dxa" w:w="1247"/>
            <w:vAlign w:val="center"/>
            <w:tcMar>
              <w:top w:w="80" w:type="dxa"/>
              <w:start w:w="100" w:type="dxa"/>
              <w:bottom w:w="80" w:type="dxa"/>
              <w:end w:w="100" w:type="dxa"/>
            </w:tcMar>
          </w:tcPr>
          <w:p>
            <w:pPr>
              <w:spacing w:before="0" w:after="0" w:line="240" w:lineRule="auto"/>
            </w:pPr>
            <w:bookmarkStart w:id="2586" w:name="po_490"/>
            <w:r>
              <w:rPr>
                <w:rFonts w:ascii="Liberation Serif" w:hAnsi="Liberation Serif" w:cs="Liberation Serif"/>
                <w:b w:val="0"/>
                <w:sz w:val="16"/>
              </w:rPr>
              <w:t>T2-PO-490</w:t>
            </w:r>
            <w:bookmarkEnd w:id="2586"/>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Поисковый текстовый слой PDF</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COND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Закрывается после финальной конверсии и pdftotext-проверки.</w:t>
            </w:r>
          </w:p>
        </w:tc>
      </w:tr>
      <w:tr>
        <w:trPr>
          <w:cantSplit/>
        </w:trPr>
        <w:tc>
          <w:tcPr>
            <w:tcW w:type="dxa" w:w="1247"/>
            <w:vAlign w:val="center"/>
            <w:tcMar>
              <w:top w:w="80" w:type="dxa"/>
              <w:start w:w="100" w:type="dxa"/>
              <w:bottom w:w="80" w:type="dxa"/>
              <w:end w:w="100" w:type="dxa"/>
            </w:tcMar>
          </w:tcPr>
          <w:p>
            <w:pPr>
              <w:spacing w:before="0" w:after="0" w:line="240" w:lineRule="auto"/>
            </w:pPr>
            <w:bookmarkStart w:id="2587" w:name="po_491"/>
            <w:r>
              <w:rPr>
                <w:rFonts w:ascii="Liberation Serif" w:hAnsi="Liberation Serif" w:cs="Liberation Serif"/>
                <w:b w:val="0"/>
                <w:sz w:val="16"/>
              </w:rPr>
              <w:t>T2-PO-491</w:t>
            </w:r>
            <w:bookmarkEnd w:id="2587"/>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PDF outline и внутренняя навигация</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COND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Закрывается после финальной конверсии и проверки outline/annotations.</w:t>
            </w:r>
          </w:p>
        </w:tc>
      </w:tr>
      <w:tr>
        <w:trPr>
          <w:cantSplit/>
        </w:trPr>
        <w:tc>
          <w:tcPr>
            <w:tcW w:type="dxa" w:w="1247"/>
            <w:vAlign w:val="center"/>
            <w:tcMar>
              <w:top w:w="80" w:type="dxa"/>
              <w:start w:w="100" w:type="dxa"/>
              <w:bottom w:w="80" w:type="dxa"/>
              <w:end w:w="100" w:type="dxa"/>
            </w:tcMar>
          </w:tcPr>
          <w:p>
            <w:pPr>
              <w:spacing w:before="0" w:after="0" w:line="240" w:lineRule="auto"/>
            </w:pPr>
            <w:bookmarkStart w:id="2588" w:name="po_492"/>
            <w:r>
              <w:rPr>
                <w:rFonts w:ascii="Liberation Serif" w:hAnsi="Liberation Serif" w:cs="Liberation Serif"/>
                <w:b w:val="0"/>
                <w:sz w:val="16"/>
              </w:rPr>
              <w:t>T2-PO-492</w:t>
            </w:r>
            <w:bookmarkEnd w:id="2588"/>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Отсутствие битых внешних ссылок</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OPEN</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Нужен отдельный онлайн-аудит на дату публикации.</w:t>
            </w:r>
          </w:p>
        </w:tc>
      </w:tr>
      <w:tr>
        <w:trPr>
          <w:cantSplit/>
        </w:trPr>
        <w:tc>
          <w:tcPr>
            <w:tcW w:type="dxa" w:w="1247"/>
            <w:vAlign w:val="center"/>
            <w:tcMar>
              <w:top w:w="80" w:type="dxa"/>
              <w:start w:w="100" w:type="dxa"/>
              <w:bottom w:w="80" w:type="dxa"/>
              <w:end w:w="100" w:type="dxa"/>
            </w:tcMar>
          </w:tcPr>
          <w:p>
            <w:pPr>
              <w:spacing w:before="0" w:after="0" w:line="240" w:lineRule="auto"/>
            </w:pPr>
            <w:bookmarkStart w:id="2589" w:name="po_493"/>
            <w:r>
              <w:rPr>
                <w:rFonts w:ascii="Liberation Serif" w:hAnsi="Liberation Serif" w:cs="Liberation Serif"/>
                <w:b w:val="0"/>
                <w:sz w:val="16"/>
              </w:rPr>
              <w:t>T2-PO-493</w:t>
            </w:r>
            <w:bookmarkEnd w:id="2589"/>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Метаданные автора, названия и версии</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Core properties и колонтитулы синхронизированы с v0.22.</w:t>
            </w:r>
          </w:p>
        </w:tc>
      </w:tr>
      <w:tr>
        <w:trPr>
          <w:cantSplit/>
        </w:trPr>
        <w:tc>
          <w:tcPr>
            <w:tcW w:type="dxa" w:w="1247"/>
            <w:vAlign w:val="center"/>
            <w:tcMar>
              <w:top w:w="80" w:type="dxa"/>
              <w:start w:w="100" w:type="dxa"/>
              <w:bottom w:w="80" w:type="dxa"/>
              <w:end w:w="100" w:type="dxa"/>
            </w:tcMar>
          </w:tcPr>
          <w:p>
            <w:pPr>
              <w:spacing w:before="0" w:after="0" w:line="240" w:lineRule="auto"/>
            </w:pPr>
            <w:bookmarkStart w:id="2590" w:name="po_494"/>
            <w:r>
              <w:rPr>
                <w:rFonts w:ascii="Liberation Serif" w:hAnsi="Liberation Serif" w:cs="Liberation Serif"/>
                <w:b w:val="0"/>
                <w:sz w:val="16"/>
              </w:rPr>
              <w:t>T2-PO-494</w:t>
            </w:r>
            <w:bookmarkEnd w:id="2590"/>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Юридический status lock регистрационных документов</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Регистрация не трактуется как подтверждение теорем или физических гипотез.</w:t>
            </w:r>
          </w:p>
        </w:tc>
      </w:tr>
      <w:tr>
        <w:trPr>
          <w:cantSplit/>
        </w:trPr>
        <w:tc>
          <w:tcPr>
            <w:tcW w:type="dxa" w:w="1247"/>
            <w:vAlign w:val="center"/>
            <w:tcMar>
              <w:top w:w="80" w:type="dxa"/>
              <w:start w:w="100" w:type="dxa"/>
              <w:bottom w:w="80" w:type="dxa"/>
              <w:end w:w="100" w:type="dxa"/>
            </w:tcMar>
          </w:tcPr>
          <w:p>
            <w:pPr>
              <w:spacing w:before="0" w:after="0" w:line="240" w:lineRule="auto"/>
            </w:pPr>
            <w:bookmarkStart w:id="2591" w:name="po_495"/>
            <w:r>
              <w:rPr>
                <w:rFonts w:ascii="Liberation Serif" w:hAnsi="Liberation Serif" w:cs="Liberation Serif"/>
                <w:b w:val="0"/>
                <w:sz w:val="16"/>
              </w:rPr>
              <w:t>T2-PO-495</w:t>
            </w:r>
            <w:bookmarkEnd w:id="2591"/>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Математический/физический truth-layer firewall</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truth_layer_promotion=0; F-1–F-14 и EXT-RUN не повышены.</w:t>
            </w:r>
          </w:p>
        </w:tc>
      </w:tr>
      <w:tr>
        <w:trPr>
          <w:cantSplit/>
        </w:trPr>
        <w:tc>
          <w:tcPr>
            <w:tcW w:type="dxa" w:w="1247"/>
            <w:vAlign w:val="center"/>
            <w:tcMar>
              <w:top w:w="80" w:type="dxa"/>
              <w:start w:w="100" w:type="dxa"/>
              <w:bottom w:w="80" w:type="dxa"/>
              <w:end w:w="100" w:type="dxa"/>
            </w:tcMar>
          </w:tcPr>
          <w:p>
            <w:pPr>
              <w:spacing w:before="0" w:after="0" w:line="240" w:lineRule="auto"/>
            </w:pPr>
            <w:bookmarkStart w:id="2592" w:name="po_496"/>
            <w:r>
              <w:rPr>
                <w:rFonts w:ascii="Liberation Serif" w:hAnsi="Liberation Serif" w:cs="Liberation Serif"/>
                <w:b w:val="0"/>
                <w:sz w:val="16"/>
              </w:rPr>
              <w:t>T2-PO-496</w:t>
            </w:r>
            <w:bookmarkEnd w:id="2592"/>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Реестр freeze-blockers</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Открытые и условные обязательства сохраняются в publication gate.</w:t>
            </w:r>
          </w:p>
        </w:tc>
      </w:tr>
      <w:tr>
        <w:trPr>
          <w:cantSplit/>
        </w:trPr>
        <w:tc>
          <w:tcPr>
            <w:tcW w:type="dxa" w:w="1247"/>
            <w:vAlign w:val="center"/>
            <w:tcMar>
              <w:top w:w="80" w:type="dxa"/>
              <w:start w:w="100" w:type="dxa"/>
              <w:bottom w:w="80" w:type="dxa"/>
              <w:end w:w="100" w:type="dxa"/>
            </w:tcMar>
          </w:tcPr>
          <w:p>
            <w:pPr>
              <w:spacing w:before="0" w:after="0" w:line="240" w:lineRule="auto"/>
            </w:pPr>
            <w:bookmarkStart w:id="2593" w:name="po_497"/>
            <w:r>
              <w:rPr>
                <w:rFonts w:ascii="Liberation Serif" w:hAnsi="Liberation Serif" w:cs="Liberation Serif"/>
                <w:b w:val="0"/>
                <w:sz w:val="16"/>
              </w:rPr>
              <w:t>T2-PO-497</w:t>
            </w:r>
            <w:bookmarkEnd w:id="2593"/>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Release manifest и rollback lineage</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source=T2-RP-v0.21; checkpoint=T2-RP-v0.22; next conditional freeze.</w:t>
            </w:r>
          </w:p>
        </w:tc>
      </w:tr>
      <w:tr>
        <w:trPr>
          <w:cantSplit/>
        </w:trPr>
        <w:tc>
          <w:tcPr>
            <w:tcW w:type="dxa" w:w="1247"/>
            <w:vAlign w:val="center"/>
            <w:tcMar>
              <w:top w:w="80" w:type="dxa"/>
              <w:start w:w="100" w:type="dxa"/>
              <w:bottom w:w="80" w:type="dxa"/>
              <w:end w:w="100" w:type="dxa"/>
            </w:tcMar>
          </w:tcPr>
          <w:p>
            <w:pPr>
              <w:spacing w:before="0" w:after="0" w:line="240" w:lineRule="auto"/>
            </w:pPr>
            <w:bookmarkStart w:id="2594" w:name="po_498"/>
            <w:r>
              <w:rPr>
                <w:rFonts w:ascii="Liberation Serif" w:hAnsi="Liberation Serif" w:cs="Liberation Serif"/>
                <w:b w:val="0"/>
                <w:sz w:val="16"/>
              </w:rPr>
              <w:t>T2-PO-498</w:t>
            </w:r>
            <w:bookmarkEnd w:id="2594"/>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Независимый внешний EXT-RUN</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OPEN/PHY-HYP</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Не исполнен; эмпирико-физический gate не пройден.</w:t>
            </w:r>
          </w:p>
        </w:tc>
      </w:tr>
      <w:tr>
        <w:trPr>
          <w:cantSplit/>
        </w:trPr>
        <w:tc>
          <w:tcPr>
            <w:tcW w:type="dxa" w:w="1247"/>
            <w:vAlign w:val="center"/>
            <w:tcMar>
              <w:top w:w="80" w:type="dxa"/>
              <w:start w:w="100" w:type="dxa"/>
              <w:bottom w:w="80" w:type="dxa"/>
              <w:end w:w="100" w:type="dxa"/>
            </w:tcMar>
          </w:tcPr>
          <w:p>
            <w:pPr>
              <w:spacing w:before="0" w:after="0" w:line="240" w:lineRule="auto"/>
            </w:pPr>
            <w:bookmarkStart w:id="2595" w:name="po_499"/>
            <w:r>
              <w:rPr>
                <w:rFonts w:ascii="Liberation Serif" w:hAnsi="Liberation Serif" w:cs="Liberation Serif"/>
                <w:b w:val="0"/>
                <w:sz w:val="16"/>
              </w:rPr>
              <w:t>T2-PO-499</w:t>
            </w:r>
            <w:bookmarkEnd w:id="2595"/>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Сохранность точки отката v0.21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CLOSED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v0.21 сохранён отдельной парой DOCX/PDF.</w:t>
            </w:r>
          </w:p>
        </w:tc>
      </w:tr>
      <w:tr>
        <w:trPr>
          <w:cantSplit/>
        </w:trPr>
        <w:tc>
          <w:tcPr>
            <w:tcW w:type="dxa" w:w="1247"/>
            <w:vAlign w:val="center"/>
            <w:tcMar>
              <w:top w:w="80" w:type="dxa"/>
              <w:start w:w="100" w:type="dxa"/>
              <w:bottom w:w="80" w:type="dxa"/>
              <w:end w:w="100" w:type="dxa"/>
            </w:tcMar>
          </w:tcPr>
          <w:p>
            <w:pPr>
              <w:spacing w:before="0" w:after="0" w:line="240" w:lineRule="auto"/>
            </w:pPr>
            <w:bookmarkStart w:id="2596" w:name="po_500"/>
            <w:r>
              <w:rPr>
                <w:rFonts w:ascii="Liberation Serif" w:hAnsi="Liberation Serif" w:cs="Liberation Serif"/>
                <w:b w:val="0"/>
                <w:sz w:val="16"/>
              </w:rPr>
              <w:t>T2-PO-500</w:t>
            </w:r>
            <w:bookmarkEnd w:id="2596"/>
          </w:p>
        </w:tc>
        <w:tc>
          <w:tcPr>
            <w:tcW w:type="dxa" w:w="34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Решение о замораживании Тома II</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COND</w:t>
            </w:r>
          </w:p>
        </w:tc>
        <w:tc>
          <w:tcPr>
            <w:tcW w:type="dxa" w:w="396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Редакционная заморозка допустима; научно-эмпирическая полнота не заявляется.</w:t>
            </w:r>
          </w:p>
        </w:tc>
      </w:tr>
    </w:tbl>
    <w:p>
      <w:bookmarkStart w:id="2599" w:name="h_3652"/>
      <w:pPr>
        <w:pStyle w:val="Heading1"/>
      </w:pPr>
      <w:r>
        <w:t>423. Аудируемый корпус и инварианты целостности</w:t>
      </w:r>
      <w:bookmarkEnd w:id="2599"/>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2948"/>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7"/>
              </w:rPr>
              <w:t>Объект</w:t>
            </w:r>
          </w:p>
        </w:tc>
        <w:tc>
          <w:tcPr>
            <w:tcW w:type="dxa" w:w="2154"/>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7"/>
              </w:rPr>
              <w:t>Количество/значение</w:t>
            </w:r>
          </w:p>
        </w:tc>
        <w:tc>
          <w:tcPr>
            <w:tcW w:type="dxa" w:w="4989"/>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7"/>
              </w:rPr>
              <w:t>Контроль</w:t>
            </w:r>
          </w:p>
        </w:tc>
      </w:tr>
      <w:tr>
        <w:trPr>
          <w:cantSplit/>
        </w:trPr>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Главы master-skeleton</w:t>
            </w:r>
          </w:p>
        </w:tc>
        <w:tc>
          <w:tcPr>
            <w:tcW w:type="dxa" w:w="215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24</w:t>
            </w:r>
          </w:p>
        </w:tc>
        <w:tc>
          <w:tcPr>
            <w:tcW w:type="dxa" w:w="498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Нумерация 1–24 сохранена.</w:t>
            </w:r>
          </w:p>
        </w:tc>
      </w:tr>
      <w:tr>
        <w:trPr>
          <w:cantSplit/>
        </w:trPr>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Нумерованные формальные утверждения</w:t>
            </w:r>
          </w:p>
        </w:tc>
        <w:tc>
          <w:tcPr>
            <w:tcW w:type="dxa" w:w="215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339</w:t>
            </w:r>
          </w:p>
        </w:tc>
        <w:tc>
          <w:tcPr>
            <w:tcW w:type="dxa" w:w="498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Типизированные ID назначены без переписывания текста.</w:t>
            </w:r>
          </w:p>
        </w:tc>
      </w:tr>
      <w:tr>
        <w:trPr>
          <w:cantSplit/>
        </w:trPr>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Межтиповые коллизии голых номеров</w:t>
            </w:r>
          </w:p>
        </w:tc>
        <w:tc>
          <w:tcPr>
            <w:tcW w:type="dxa" w:w="215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44</w:t>
            </w:r>
          </w:p>
        </w:tc>
        <w:tc>
          <w:tcPr>
            <w:tcW w:type="dxa" w:w="498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Устраняются префиксами THM/DEF/LEM/COR/PROP/PRINC/HYP/CTHM/CLM.</w:t>
            </w:r>
          </w:p>
        </w:tc>
      </w:tr>
      <w:tr>
        <w:trPr>
          <w:cantSplit/>
        </w:trPr>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Формульные ID</w:t>
            </w:r>
          </w:p>
        </w:tc>
        <w:tc>
          <w:tcPr>
            <w:tcW w:type="dxa" w:w="215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404</w:t>
            </w:r>
          </w:p>
        </w:tc>
        <w:tc>
          <w:tcPr>
            <w:tcW w:type="dxa" w:w="498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Все определения формул с конечной меткой уникальны.</w:t>
            </w:r>
          </w:p>
        </w:tc>
      </w:tr>
      <w:tr>
        <w:trPr>
          <w:cantSplit/>
        </w:trPr>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T2-PO после v0.22</w:t>
            </w:r>
          </w:p>
        </w:tc>
        <w:tc>
          <w:tcPr>
            <w:tcW w:type="dxa" w:w="215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500</w:t>
            </w:r>
          </w:p>
        </w:tc>
        <w:tc>
          <w:tcPr>
            <w:tcW w:type="dxa" w:w="498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Непрерывный диапазон T2-PO-001–T2-PO-500.</w:t>
            </w:r>
          </w:p>
        </w:tc>
      </w:tr>
      <w:tr>
        <w:trPr>
          <w:cantSplit/>
        </w:trPr>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Исходные таблицы v0.21</w:t>
            </w:r>
          </w:p>
        </w:tc>
        <w:tc>
          <w:tcPr>
            <w:tcW w:type="dxa" w:w="215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300</w:t>
            </w:r>
          </w:p>
        </w:tc>
        <w:tc>
          <w:tcPr>
            <w:tcW w:type="dxa" w:w="498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До добавления аудиторских приложений.</w:t>
            </w:r>
          </w:p>
        </w:tc>
      </w:tr>
      <w:tr>
        <w:trPr>
          <w:cantSplit/>
        </w:trPr>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Исходные изображения v0.21</w:t>
            </w:r>
          </w:p>
        </w:tc>
        <w:tc>
          <w:tcPr>
            <w:tcW w:type="dxa" w:w="215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58</w:t>
            </w:r>
          </w:p>
        </w:tc>
        <w:tc>
          <w:tcPr>
            <w:tcW w:type="dxa" w:w="498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Подлежат alt-text remediation.</w:t>
            </w:r>
          </w:p>
        </w:tc>
      </w:tr>
      <w:tr>
        <w:trPr>
          <w:cantSplit/>
        </w:trPr>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Статус-замок</w:t>
            </w:r>
          </w:p>
        </w:tc>
        <w:tc>
          <w:tcPr>
            <w:tcW w:type="dxa" w:w="215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truth_layer_promotion=0</w:t>
            </w:r>
          </w:p>
        </w:tc>
        <w:tc>
          <w:tcPr>
            <w:tcW w:type="dxa" w:w="4989"/>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Неизменяемый publication invariant.</w:t>
            </w:r>
          </w:p>
        </w:tc>
      </w:tr>
    </w:tbl>
    <w:p>
      <w:bookmarkStart w:id="2600" w:name="h_3653"/>
      <w:pPr>
        <w:pStyle w:val="Heading1"/>
      </w:pPr>
      <w:r>
        <w:t>424. Канонические типизированные идентификаторы</w:t>
      </w:r>
      <w:bookmarkEnd w:id="2600"/>
    </w:p>
    <w:p>
      <w:pPr/>
      <w:r>
        <w:t>Голая ссылка «12.1» неоднозначна, поскольку в корпусе могут одновременно существовать Определение 12.1 и Лемма 12.1. Текстовая нумерация сохраняется, но навигационный слой использует типизированные ID:</w:t>
      </w:r>
    </w:p>
    <w:p>
      <w:pPr>
        <w:pStyle w:val="Quote"/>
      </w:pPr>
      <w:r>
        <w:t>T2-THM-12.1, T2-DEF-12.1, T2-LEM-12.1, T2-COR-12.3.1, T2-F-12.1, T2-PO-100.</w:t>
      </w:r>
    </w:p>
    <w:p>
      <w:pPr/>
      <w:r>
        <w:t>Правило: bare number допустим только внутри локального контекста, где тип объекта однозначен. В реестрах, ссылках, программном экспорте и release manifest используется полный ID.</w:t>
      </w:r>
    </w:p>
    <w:p>
      <w:bookmarkStart w:id="2601" w:name="h_3657"/>
      <w:pPr>
        <w:pStyle w:val="Heading1"/>
      </w:pPr>
      <w:r>
        <w:t>425. Интегральная матрица proof audit двадцати четырёх глав</w:t>
      </w:r>
      <w:bookmarkEnd w:id="2601"/>
    </w:p>
    <w:tbl>
      <w:tblPr>
        <w:tblStyle w:val="TableGrid"/>
        <w:tblW w:type="auto" w:w="0"/>
        <w:jc w:val="center"/>
        <w:tblLook w:firstColumn="1" w:firstRow="1" w:lastColumn="0" w:lastRow="0" w:noHBand="0" w:noVBand="1" w:val="04A0"/>
      </w:tblPr>
      <w:tblGrid>
        <w:gridCol w:w="1625"/>
        <w:gridCol w:w="1625"/>
        <w:gridCol w:w="1625"/>
        <w:gridCol w:w="1625"/>
        <w:gridCol w:w="1625"/>
        <w:gridCol w:w="1625"/>
      </w:tblGrid>
      <w:tr>
        <w:trPr>
          <w:tblHeader w:val="true"/>
          <w:cantSplit/>
        </w:trPr>
        <w:tc>
          <w:tcPr>
            <w:tcW w:type="dxa" w:w="737"/>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5"/>
              </w:rPr>
              <w:t>Глава</w:t>
            </w:r>
          </w:p>
        </w:tc>
        <w:tc>
          <w:tcPr>
            <w:tcW w:type="dxa" w:w="1304"/>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5"/>
              </w:rPr>
              <w:t>Формальные объекты</w:t>
            </w:r>
          </w:p>
        </w:tc>
        <w:tc>
          <w:tcPr>
            <w:tcW w:type="dxa" w:w="850"/>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5"/>
              </w:rPr>
              <w:t>Формулы</w:t>
            </w:r>
          </w:p>
        </w:tc>
        <w:tc>
          <w:tcPr>
            <w:tcW w:type="dxa" w:w="2835"/>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5"/>
              </w:rPr>
              <w:t>Статусные классы</w:t>
            </w:r>
          </w:p>
        </w:tc>
        <w:tc>
          <w:tcPr>
            <w:tcW w:type="dxa" w:w="1474"/>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5"/>
              </w:rPr>
              <w:t>Gate</w:t>
            </w:r>
          </w:p>
        </w:tc>
        <w:tc>
          <w:tcPr>
            <w:tcW w:type="dxa" w:w="3175"/>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5"/>
              </w:rPr>
              <w:t>Основной locator</w:t>
            </w:r>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нет нумерованных объектов</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PASS-MATH</w:t>
            </w:r>
          </w:p>
        </w:tc>
        <w:tc>
          <w:tcPr>
            <w:tcW w:type="dxa" w:w="3175"/>
            <w:vAlign w:val="center"/>
            <w:tcMar>
              <w:top w:w="80" w:type="dxa"/>
              <w:start w:w="100" w:type="dxa"/>
              <w:bottom w:w="80" w:type="dxa"/>
              <w:end w:w="100" w:type="dxa"/>
            </w:tcMar>
          </w:tcPr>
          <w:p>
            <w:pPr>
              <w:spacing w:before="0" w:after="0" w:line="240" w:lineRule="auto"/>
            </w:pPr>
            <w:hyperlink w:anchor="h_49" w:history="1">
              <w:r>
                <w:rPr>
                  <w:color w:val="2F75B5"/>
                  <w:u w:val="single"/>
                  <w:sz w:val="16"/>
                </w:rPr>
                <w:t>Глава 1. Интерфейс с Томом I и границы предмета</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нет нумерованных объектов</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PASS-MATH</w:t>
            </w:r>
          </w:p>
        </w:tc>
        <w:tc>
          <w:tcPr>
            <w:tcW w:type="dxa" w:w="3175"/>
            <w:vAlign w:val="center"/>
            <w:tcMar>
              <w:top w:w="80" w:type="dxa"/>
              <w:start w:w="100" w:type="dxa"/>
              <w:bottom w:w="80" w:type="dxa"/>
              <w:end w:w="100" w:type="dxa"/>
            </w:tcMar>
          </w:tcPr>
          <w:p>
            <w:pPr>
              <w:spacing w:before="0" w:after="0" w:line="240" w:lineRule="auto"/>
            </w:pPr>
            <w:hyperlink w:anchor="h_57" w:history="1">
              <w:r>
                <w:rPr>
                  <w:color w:val="2F75B5"/>
                  <w:u w:val="single"/>
                  <w:sz w:val="16"/>
                </w:rPr>
                <w:t>Глава 2. Замороженный реестр обозначений</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3</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нет нумерованных объектов</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PASS-MATH</w:t>
            </w:r>
          </w:p>
        </w:tc>
        <w:tc>
          <w:tcPr>
            <w:tcW w:type="dxa" w:w="3175"/>
            <w:vAlign w:val="center"/>
            <w:tcMar>
              <w:top w:w="80" w:type="dxa"/>
              <w:start w:w="100" w:type="dxa"/>
              <w:bottom w:w="80" w:type="dxa"/>
              <w:end w:w="100" w:type="dxa"/>
            </w:tcMar>
          </w:tcPr>
          <w:p>
            <w:pPr>
              <w:spacing w:before="0" w:after="0" w:line="240" w:lineRule="auto"/>
            </w:pPr>
            <w:hyperlink w:anchor="h_66" w:history="1">
              <w:r>
                <w:rPr>
                  <w:color w:val="2F75B5"/>
                  <w:u w:val="single"/>
                  <w:sz w:val="16"/>
                </w:rPr>
                <w:t>Глава 3. Категория NAPG, объекты, морфизмы и области определения</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4</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нет нумерованных объектов</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PASS-MATH</w:t>
            </w:r>
          </w:p>
        </w:tc>
        <w:tc>
          <w:tcPr>
            <w:tcW w:type="dxa" w:w="3175"/>
            <w:vAlign w:val="center"/>
            <w:tcMar>
              <w:top w:w="80" w:type="dxa"/>
              <w:start w:w="100" w:type="dxa"/>
              <w:bottom w:w="80" w:type="dxa"/>
              <w:end w:w="100" w:type="dxa"/>
            </w:tcMar>
          </w:tcPr>
          <w:p>
            <w:pPr>
              <w:spacing w:before="0" w:after="0" w:line="240" w:lineRule="auto"/>
            </w:pPr>
            <w:hyperlink w:anchor="h_74" w:history="1">
              <w:r>
                <w:rPr>
                  <w:color w:val="2F75B5"/>
                  <w:u w:val="single"/>
                  <w:sz w:val="16"/>
                </w:rPr>
                <w:t>Глава 4. Градуированная алгебра (𝕂, 𝒜•, ⊙, 𝔊)</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5</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25</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DEF:13, THM:12</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PASS-MATH</w:t>
            </w:r>
          </w:p>
        </w:tc>
        <w:tc>
          <w:tcPr>
            <w:tcW w:type="dxa" w:w="3175"/>
            <w:vAlign w:val="center"/>
            <w:tcMar>
              <w:top w:w="80" w:type="dxa"/>
              <w:start w:w="100" w:type="dxa"/>
              <w:bottom w:w="80" w:type="dxa"/>
              <w:end w:w="100" w:type="dxa"/>
            </w:tcMar>
          </w:tcPr>
          <w:p>
            <w:pPr>
              <w:spacing w:before="0" w:after="0" w:line="240" w:lineRule="auto"/>
            </w:pPr>
            <w:hyperlink w:anchor="h_82" w:history="1">
              <w:r>
                <w:rPr>
                  <w:color w:val="2F75B5"/>
                  <w:u w:val="single"/>
                  <w:sz w:val="16"/>
                </w:rPr>
                <w:t>Глава 5. Ассоциатор, R⋆R, ядра, центры и инварианты</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6</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27</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DEF:10, THM:14, COND:3</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90" w:history="1">
              <w:r>
                <w:rPr>
                  <w:color w:val="2F75B5"/>
                  <w:u w:val="single"/>
                  <w:sz w:val="16"/>
                </w:rPr>
                <w:t>Глава 6. Пакетно-реперная алгебро-геометрическая двойственность</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7</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28</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DEF:15, THM:8, COND:5</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98" w:history="1">
              <w:r>
                <w:rPr>
                  <w:color w:val="2F75B5"/>
                  <w:u w:val="single"/>
                  <w:sz w:val="16"/>
                </w:rPr>
                <w:t>Глава 7. Атласы, расслоения и пакетные многообразия</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8</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31</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DEF:13, THM:9, COND:6, OTHER:3</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106" w:history="1">
              <w:r>
                <w:rPr>
                  <w:color w:val="2F75B5"/>
                  <w:u w:val="single"/>
                  <w:sz w:val="16"/>
                </w:rPr>
                <w:t>Глава 8. Касательные и кокасательные объекты</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9</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37</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DEF:17, THM:14, OTHER:3, OPEN/PHY:1, COND:2</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114" w:history="1">
              <w:r>
                <w:rPr>
                  <w:color w:val="2F75B5"/>
                  <w:u w:val="single"/>
                  <w:sz w:val="16"/>
                </w:rPr>
                <w:t>Глава 9. Связности, кривизна, голономия и ассоциаторная кривизна</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10</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39</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29</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DEF:17, COND:8, THM:14</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122" w:history="1">
              <w:r>
                <w:rPr>
                  <w:color w:val="2F75B5"/>
                  <w:u w:val="single"/>
                  <w:sz w:val="16"/>
                </w:rPr>
                <w:t>Глава 10. Дифференциальные формы и типизированные дифференциалы</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11</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нет нумерованных объектов</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PASS-MATH</w:t>
            </w:r>
          </w:p>
        </w:tc>
        <w:tc>
          <w:tcPr>
            <w:tcW w:type="dxa" w:w="3175"/>
            <w:vAlign w:val="center"/>
            <w:tcMar>
              <w:top w:w="80" w:type="dxa"/>
              <w:start w:w="100" w:type="dxa"/>
              <w:bottom w:w="80" w:type="dxa"/>
              <w:end w:w="100" w:type="dxa"/>
            </w:tcMar>
          </w:tcPr>
          <w:p>
            <w:pPr>
              <w:spacing w:before="0" w:after="0" w:line="240" w:lineRule="auto"/>
            </w:pPr>
            <w:hyperlink w:anchor="h_130" w:history="1">
              <w:r>
                <w:rPr>
                  <w:color w:val="2F75B5"/>
                  <w:u w:val="single"/>
                  <w:sz w:val="16"/>
                </w:rPr>
                <w:t>Глава 11. Hodge-слой, δ_Hdg и Δ_Hdg</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12</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28</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27</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DEF:7, THM:20, COND:1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138" w:history="1">
              <w:r>
                <w:rPr>
                  <w:color w:val="2F75B5"/>
                  <w:u w:val="single"/>
                  <w:sz w:val="16"/>
                </w:rPr>
                <w:t>Глава 12. Внутренний минимальный комплекс C_min•, δ_min и Θ_min</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13</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21</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32</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DEF:4, THM:12, COND:3, OTHER:1, OPEN/PHY:1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152" w:history="1">
              <w:r>
                <w:rPr>
                  <w:color w:val="2F75B5"/>
                  <w:u w:val="single"/>
                  <w:sz w:val="16"/>
                </w:rPr>
                <w:t>Глава 13. Внешний E-слой и отображение Π_E</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14</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0</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22</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нет нумерованных объектов</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PASS-MATH</w:t>
            </w:r>
          </w:p>
        </w:tc>
        <w:tc>
          <w:tcPr>
            <w:tcW w:type="dxa" w:w="3175"/>
            <w:vAlign w:val="center"/>
            <w:tcMar>
              <w:top w:w="80" w:type="dxa"/>
              <w:start w:w="100" w:type="dxa"/>
              <w:bottom w:w="80" w:type="dxa"/>
              <w:end w:w="100" w:type="dxa"/>
            </w:tcMar>
          </w:tcPr>
          <w:p>
            <w:pPr>
              <w:spacing w:before="0" w:after="0" w:line="240" w:lineRule="auto"/>
            </w:pPr>
            <w:hyperlink w:anchor="h_168" w:history="1">
              <w:r>
                <w:rPr>
                  <w:color w:val="2F75B5"/>
                  <w:u w:val="single"/>
                  <w:sz w:val="16"/>
                </w:rPr>
                <w:t>Глава 14. Пространства препятствий и проектирование</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15</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24</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30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DEF:8, THM:9, COND:6, OTHER:1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176" w:history="1">
              <w:r>
                <w:rPr>
                  <w:color w:val="2F75B5"/>
                  <w:u w:val="single"/>
                  <w:sz w:val="16"/>
                </w:rPr>
                <w:t>Глава 15. Относительные и редуцированные когомологии</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16</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9</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33</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DEF:3, OTHER:4, COND:2</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184" w:history="1">
              <w:r>
                <w:rPr>
                  <w:color w:val="2F75B5"/>
                  <w:u w:val="single"/>
                  <w:sz w:val="16"/>
                </w:rPr>
                <w:t>Глава 16. Деформации, модульные пространства и препятствия</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17</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6</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20</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OTHER:5, COND:1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192" w:history="1">
              <w:r>
                <w:rPr>
                  <w:color w:val="2F75B5"/>
                  <w:u w:val="single"/>
                  <w:sz w:val="16"/>
                </w:rPr>
                <w:t>Глава 17. Редукции Гильберта и Клейна</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18</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7</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25</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DEF:2, THM:4, COND:1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200" w:history="1">
              <w:r>
                <w:rPr>
                  <w:color w:val="2F75B5"/>
                  <w:u w:val="single"/>
                  <w:sz w:val="16"/>
                </w:rPr>
                <w:t>Глава 18. Комплексная, кэлерова и Calabi–Yau-ветви</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19</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6</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25</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COND:3, THM:2, DEF:1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208" w:history="1">
              <w:r>
                <w:rPr>
                  <w:color w:val="2F75B5"/>
                  <w:u w:val="single"/>
                  <w:sz w:val="16"/>
                </w:rPr>
                <w:t>Глава 19. Fano barrier и конечные проективные носители</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20</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11</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29</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DEF:5, THM:4, OTHER:1, COND:1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219" w:history="1">
              <w:r>
                <w:rPr>
                  <w:color w:val="2F75B5"/>
                  <w:u w:val="single"/>
                  <w:sz w:val="16"/>
                </w:rPr>
                <w:t>Глава 20. Модели, контрпримеры и вычислительные сертификаты</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21</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14</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29</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DEF:6, THM:5, OTHER:2, COND:1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227" w:history="1">
              <w:r>
                <w:rPr>
                  <w:color w:val="2F75B5"/>
                  <w:u w:val="single"/>
                  <w:sz w:val="16"/>
                </w:rPr>
                <w:t>Глава 21. Реестр теорем и граф зависимостей</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22</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7</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28</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DEF:1, THM:4, OTHER:1, COND:1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235" w:history="1">
              <w:r>
                <w:rPr>
                  <w:color w:val="2F75B5"/>
                  <w:u w:val="single"/>
                  <w:sz w:val="16"/>
                </w:rPr>
                <w:t>Глава 22. Доказательные обязательства и открытые задачи</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23</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5</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41</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THM:4, COND:1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243" w:history="1">
              <w:r>
                <w:rPr>
                  <w:color w:val="2F75B5"/>
                  <w:u w:val="single"/>
                  <w:sz w:val="16"/>
                </w:rPr>
                <w:t>Глава 23. Prior art и граница авторской новизны</w:t>
              </w:r>
            </w:hyperlink>
          </w:p>
        </w:tc>
      </w:tr>
      <w:tr>
        <w:trPr>
          <w:cantSplit/>
        </w:trPr>
        <w:tc>
          <w:tcPr>
            <w:tcW w:type="dxa" w:w="73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24</w:t>
            </w:r>
          </w:p>
        </w:tc>
        <w:tc>
          <w:tcPr>
            <w:tcW w:type="dxa" w:w="130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14</w:t>
            </w:r>
          </w:p>
        </w:tc>
        <w:tc>
          <w:tcPr>
            <w:tcW w:type="dxa" w:w="85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34</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DEF:6, OTHER:7, COND:1</w:t>
            </w:r>
          </w:p>
        </w:tc>
        <w:tc>
          <w:tcPr>
            <w:tcW w:type="dxa" w:w="147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175"/>
            <w:vAlign w:val="center"/>
            <w:tcMar>
              <w:top w:w="80" w:type="dxa"/>
              <w:start w:w="100" w:type="dxa"/>
              <w:bottom w:w="80" w:type="dxa"/>
              <w:end w:w="100" w:type="dxa"/>
            </w:tcMar>
          </w:tcPr>
          <w:p>
            <w:pPr>
              <w:spacing w:before="0" w:after="0" w:line="240" w:lineRule="auto"/>
            </w:pPr>
            <w:hyperlink w:anchor="h_252" w:history="1">
              <w:r>
                <w:rPr>
                  <w:color w:val="2F75B5"/>
                  <w:u w:val="single"/>
                  <w:sz w:val="16"/>
                </w:rPr>
                <w:t>Глава 24. Приложения и воспроизводимый доказательный пакет</w:t>
              </w:r>
            </w:hyperlink>
          </w:p>
        </w:tc>
      </w:tr>
    </w:tbl>
    <w:p>
      <w:bookmarkStart w:id="2602" w:name="h_3658"/>
      <w:pPr>
        <w:pStyle w:val="Heading1"/>
      </w:pPr>
      <w:r>
        <w:t>426. Синхронизация T2-PO и нормализованный статусный профиль</w:t>
      </w:r>
      <w:bookmarkEnd w:id="2602"/>
    </w:p>
    <w:p>
      <w:pPr/>
      <w:r>
        <w:t>Нормализованный статус является аудиторской проекцией исходного статуса, а не заменой формулировки в главе. Полный реестр ниже сохраняет исходные слова и evidence cell.</w:t>
      </w:r>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1871"/>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7"/>
              </w:rPr>
              <w:t>Нормализованный класс</w:t>
            </w:r>
          </w:p>
        </w:tc>
        <w:tc>
          <w:tcPr>
            <w:tcW w:type="dxa" w:w="1134"/>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7"/>
              </w:rPr>
              <w:t>Количество</w:t>
            </w:r>
          </w:p>
        </w:tc>
        <w:tc>
          <w:tcPr>
            <w:tcW w:type="dxa" w:w="6690"/>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7"/>
              </w:rPr>
              <w:t>Смысл</w:t>
            </w:r>
          </w:p>
        </w:tc>
      </w:tr>
      <w:tr>
        <w:trPr>
          <w:cantSplit/>
        </w:trPr>
        <w:tc>
          <w:tcPr>
            <w:tcW w:type="dxa" w:w="187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OPEN</w:t>
            </w:r>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227</w:t>
            </w:r>
          </w:p>
        </w:tc>
        <w:tc>
          <w:tcPr>
            <w:tcW w:type="dxa" w:w="669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Требует доказательства, реализации, данных или независимой проверки.</w:t>
            </w:r>
          </w:p>
        </w:tc>
      </w:tr>
      <w:tr>
        <w:trPr>
          <w:cantSplit/>
        </w:trPr>
        <w:tc>
          <w:tcPr>
            <w:tcW w:type="dxa" w:w="187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CLOSED/THM</w:t>
            </w:r>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146</w:t>
            </w:r>
          </w:p>
        </w:tc>
        <w:tc>
          <w:tcPr>
            <w:tcW w:type="dxa" w:w="669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Доказано/закрыто в указанной области или зафиксировано как theorem-level prior art.</w:t>
            </w:r>
          </w:p>
        </w:tc>
      </w:tr>
      <w:tr>
        <w:trPr>
          <w:cantSplit/>
        </w:trPr>
        <w:tc>
          <w:tcPr>
            <w:tcW w:type="dxa" w:w="187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COND</w:t>
            </w:r>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103</w:t>
            </w:r>
          </w:p>
        </w:tc>
        <w:tc>
          <w:tcPr>
            <w:tcW w:type="dxa" w:w="669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Действует только при перечисленных гипотезах или ожидает мост.</w:t>
            </w:r>
          </w:p>
        </w:tc>
      </w:tr>
      <w:tr>
        <w:trPr>
          <w:cantSplit/>
        </w:trPr>
        <w:tc>
          <w:tcPr>
            <w:tcW w:type="dxa" w:w="187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COMP</w:t>
            </w:r>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22</w:t>
            </w:r>
          </w:p>
        </w:tc>
        <w:tc>
          <w:tcPr>
            <w:tcW w:type="dxa" w:w="669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Специфицировано как вычислительная проверка/контракт.</w:t>
            </w:r>
          </w:p>
        </w:tc>
      </w:tr>
      <w:tr>
        <w:trPr>
          <w:cantSplit/>
        </w:trPr>
        <w:tc>
          <w:tcPr>
            <w:tcW w:type="dxa" w:w="187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PHY-HYP</w:t>
            </w:r>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1</w:t>
            </w:r>
          </w:p>
        </w:tc>
        <w:tc>
          <w:tcPr>
            <w:tcW w:type="dxa" w:w="669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Физическая гипотеза без независимого подтверждения.</w:t>
            </w:r>
          </w:p>
        </w:tc>
      </w:tr>
      <w:tr>
        <w:trPr>
          <w:cantSplit/>
        </w:trPr>
        <w:tc>
          <w:tcPr>
            <w:tcW w:type="dxa" w:w="187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SPECIFIED</w:t>
            </w:r>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1</w:t>
            </w:r>
          </w:p>
        </w:tc>
        <w:tc>
          <w:tcPr>
            <w:tcW w:type="dxa" w:w="6690"/>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Типизировано, но не является теоремой.</w:t>
            </w:r>
          </w:p>
        </w:tc>
      </w:tr>
    </w:tbl>
    <w:p>
      <w:bookmarkStart w:id="2603" w:name="h_3660"/>
      <w:pPr>
        <w:pStyle w:val="Heading1"/>
      </w:pPr>
      <w:r>
        <w:t>427. Формульный аудит</w:t>
      </w:r>
      <w:bookmarkEnd w:id="2603"/>
    </w:p>
    <w:p>
      <w:pPr/>
      <w:r>
        <w:t>Обнаружено 404 уникальных формульных меток, записанных в конце формульного абзаца. Дубликатов определяющих меток не обнаружено. Повторное упоминание формулы в доказательстве не считается новым определением и не входит в индекс как отдельная запись.</w:t>
      </w:r>
    </w:p>
    <w:p>
      <w:pPr/>
      <w:r>
        <w:t>Формульный индекс использует ID T2-F-&lt;номер&gt;. Ссылки ведут к определяющему абзацу, а не к каждому последующему упоминанию.</w:t>
      </w:r>
    </w:p>
    <w:p>
      <w:bookmarkStart w:id="2604" w:name="h_3663"/>
      <w:pPr>
        <w:pStyle w:val="Heading1"/>
      </w:pPr>
      <w:r>
        <w:t>428. Перекрёстные ссылки и граф адресации</w:t>
      </w:r>
      <w:bookmarkEnd w:id="2604"/>
    </w:p>
    <w:p>
      <w:pPr/>
      <w:r>
        <w:t>Сформирован адресный граф четырёх типов: глава/раздел → утверждение; утверждение → PO; формула → определяющий абзац; предметный термин → основные разделы. В DOCX связи реализованы bookmarks и internal hyperlinks. В PDF они должны экспортироваться как outline/annotations; это проверяется на финальном файле.</w:t>
      </w:r>
    </w:p>
    <w:p>
      <w:pPr>
        <w:pStyle w:val="Quote"/>
      </w:pPr>
      <w:r>
        <w:t>Инвариант адресации: текстовая правка формулировки не должна менять стабильный ID. Перенумерация допускается только через change ledger с таблицей старый ID → новый ID.</w:t>
      </w:r>
    </w:p>
    <w:p>
      <w:bookmarkStart w:id="2605" w:name="h_3666"/>
      <w:pPr>
        <w:pStyle w:val="Heading1"/>
      </w:pPr>
      <w:r>
        <w:t>429. Accessibility-аудит: исходный baseline и remediation plan</w:t>
      </w:r>
      <w:bookmarkEnd w:id="2605"/>
    </w:p>
    <w:p>
      <w:pPr/>
      <w:r>
        <w:t>Автоматический baseline для v0.21 выявил 58 изображений без alt text и 205 таблиц без размеченной заголовочной строки. Эти дефекты относятся к доступности представления, а не к математической истинности. В v0.22 они исправляются на уровне OOXML:</w:t>
      </w:r>
    </w:p>
    <w:p>
      <w:pPr>
        <w:pStyle w:val="ListBullet"/>
      </w:pPr>
      <w:r>
        <w:t>alt text выводится из ближайшей подписи рисунка; для портрета автора используется отдельное описание;</w:t>
      </w:r>
    </w:p>
    <w:p>
      <w:pPr>
        <w:pStyle w:val="ListBullet"/>
      </w:pPr>
      <w:r>
        <w:t>первая строка каждой таблицы размечается как повторяемая header row;</w:t>
      </w:r>
    </w:p>
    <w:p>
      <w:pPr>
        <w:pStyle w:val="ListBullet"/>
      </w:pPr>
      <w:r>
        <w:t>язык основного текста фиксируется как ru-RU;</w:t>
      </w:r>
    </w:p>
    <w:p>
      <w:pPr>
        <w:pStyle w:val="ListBullet"/>
      </w:pPr>
      <w:r>
        <w:t>метаданные title/subject/author/version синхронизируются;</w:t>
      </w:r>
    </w:p>
    <w:p>
      <w:pPr>
        <w:pStyle w:val="ListBullet"/>
      </w:pPr>
      <w:r>
        <w:t>Heading 1/2 сохраняются как структурный каркас PDF outline.</w:t>
      </w:r>
    </w:p>
    <w:p>
      <w:bookmarkStart w:id="2606" w:name="h_3673"/>
      <w:pPr>
        <w:pStyle w:val="Heading1"/>
      </w:pPr>
      <w:r>
        <w:t>430. Многоуровневый publication gate</w:t>
      </w:r>
      <w:bookmarkEnd w:id="2606"/>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5"/>
              </w:rPr>
              <w:t>Gate</w:t>
            </w:r>
          </w:p>
        </w:tc>
        <w:tc>
          <w:tcPr>
            <w:tcW w:type="dxa" w:w="2041"/>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5"/>
              </w:rPr>
              <w:t>Вердикт v0.22</w:t>
            </w:r>
          </w:p>
        </w:tc>
        <w:tc>
          <w:tcPr>
            <w:tcW w:type="dxa" w:w="3572"/>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5"/>
              </w:rPr>
              <w:t>Основание</w:t>
            </w:r>
          </w:p>
        </w:tc>
        <w:tc>
          <w:tcPr>
            <w:tcW w:type="dxa" w:w="2948"/>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5"/>
              </w:rPr>
              <w:t>Что не следует из вердикта</w:t>
            </w:r>
          </w:p>
        </w:tc>
      </w:tr>
      <w:tr>
        <w:trPr>
          <w:cantSplit/>
        </w:trPr>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G1. Источники и версии</w:t>
            </w:r>
          </w:p>
        </w:tc>
        <w:tc>
          <w:tcPr>
            <w:tcW w:type="dxa" w:w="204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w:t>
            </w:r>
          </w:p>
        </w:tc>
        <w:tc>
          <w:tcPr>
            <w:tcW w:type="dxa" w:w="357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P0/P1 provenance, hashes и rollback lineage сохранены.</w:t>
            </w:r>
          </w:p>
        </w:tc>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 доказывает содержание источника.</w:t>
            </w:r>
          </w:p>
        </w:tc>
      </w:tr>
      <w:tr>
        <w:trPr>
          <w:cantSplit/>
        </w:trPr>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G2. Формальные утверждения</w:t>
            </w:r>
          </w:p>
        </w:tc>
        <w:tc>
          <w:tcPr>
            <w:tcW w:type="dxa" w:w="204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w:t>
            </w:r>
          </w:p>
        </w:tc>
        <w:tc>
          <w:tcPr>
            <w:tcW w:type="dxa" w:w="357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339 объектов получили typed IDs; same-type duplicates не обнаружены.</w:t>
            </w:r>
          </w:p>
        </w:tc>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 закрывает COND/OPEN утверждения.</w:t>
            </w:r>
          </w:p>
        </w:tc>
      </w:tr>
      <w:tr>
        <w:trPr>
          <w:cantSplit/>
        </w:trPr>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G3. Формулы</w:t>
            </w:r>
          </w:p>
        </w:tc>
        <w:tc>
          <w:tcPr>
            <w:tcW w:type="dxa" w:w="204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w:t>
            </w:r>
          </w:p>
        </w:tc>
        <w:tc>
          <w:tcPr>
            <w:tcW w:type="dxa" w:w="357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404 определяющих формульных ID уникальны.</w:t>
            </w:r>
          </w:p>
        </w:tc>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 доказывает корректность каждой формулы.</w:t>
            </w:r>
          </w:p>
        </w:tc>
      </w:tr>
      <w:tr>
        <w:trPr>
          <w:cantSplit/>
        </w:trPr>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G4. Proof obligations</w:t>
            </w:r>
          </w:p>
        </w:tc>
        <w:tc>
          <w:tcPr>
            <w:tcW w:type="dxa" w:w="204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PASS-REGISTER</w:t>
            </w:r>
          </w:p>
        </w:tc>
        <w:tc>
          <w:tcPr>
            <w:tcW w:type="dxa" w:w="357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T2-PO-001–500 непрерывны и адресуемы.</w:t>
            </w:r>
          </w:p>
        </w:tc>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Наличие записи не означает закрытия PO.</w:t>
            </w:r>
          </w:p>
        </w:tc>
      </w:tr>
      <w:tr>
        <w:trPr>
          <w:cantSplit/>
        </w:trPr>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G5. Математическая полнота</w:t>
            </w:r>
          </w:p>
        </w:tc>
        <w:tc>
          <w:tcPr>
            <w:tcW w:type="dxa" w:w="204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w:t>
            </w:r>
          </w:p>
        </w:tc>
        <w:tc>
          <w:tcPr>
            <w:tcW w:type="dxa" w:w="357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Открытые и условные PO сохранены и не замаскированы.</w:t>
            </w:r>
          </w:p>
        </w:tc>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Том не объявляется завершённой теорией во всех слоях.</w:t>
            </w:r>
          </w:p>
        </w:tc>
      </w:tr>
      <w:tr>
        <w:trPr>
          <w:cantSplit/>
        </w:trPr>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G6. Accessibility</w:t>
            </w:r>
          </w:p>
        </w:tc>
        <w:tc>
          <w:tcPr>
            <w:tcW w:type="dxa" w:w="204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 AFTER REMEDIATION</w:t>
            </w:r>
          </w:p>
        </w:tc>
        <w:tc>
          <w:tcPr>
            <w:tcW w:type="dxa" w:w="357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Alt text, table headers, language и metadata исправляются в OOXML.</w:t>
            </w:r>
          </w:p>
        </w:tc>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 гарантирует идеальную совместимость со всеми screen readers.</w:t>
            </w:r>
          </w:p>
        </w:tc>
      </w:tr>
      <w:tr>
        <w:trPr>
          <w:cantSplit/>
        </w:trPr>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G7. PDF-навигация</w:t>
            </w:r>
          </w:p>
        </w:tc>
        <w:tc>
          <w:tcPr>
            <w:tcW w:type="dxa" w:w="204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CONDITIONAL UNTIL EXPORT</w:t>
            </w:r>
          </w:p>
        </w:tc>
        <w:tc>
          <w:tcPr>
            <w:tcW w:type="dxa" w:w="357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Поисковость, outline и annotations проверяются после конверсии.</w:t>
            </w:r>
          </w:p>
        </w:tc>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DOCX-структура сама по себе не гарантирует PDF/UA.</w:t>
            </w:r>
          </w:p>
        </w:tc>
      </w:tr>
      <w:tr>
        <w:trPr>
          <w:cantSplit/>
        </w:trPr>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G8. Юридическая граница</w:t>
            </w:r>
          </w:p>
        </w:tc>
        <w:tc>
          <w:tcPr>
            <w:tcW w:type="dxa" w:w="204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PASS</w:t>
            </w:r>
          </w:p>
        </w:tc>
        <w:tc>
          <w:tcPr>
            <w:tcW w:type="dxa" w:w="357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Регистрация ПО/БД не трактуется как экспертиза теорем.</w:t>
            </w:r>
          </w:p>
        </w:tc>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 расширяет права и факты регистрации.</w:t>
            </w:r>
          </w:p>
        </w:tc>
      </w:tr>
      <w:tr>
        <w:trPr>
          <w:cantSplit/>
        </w:trPr>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G9. Физическая/эмпирическая валидация</w:t>
            </w:r>
          </w:p>
        </w:tc>
        <w:tc>
          <w:tcPr>
            <w:tcW w:type="dxa" w:w="204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NOT PASSED</w:t>
            </w:r>
          </w:p>
        </w:tc>
        <w:tc>
          <w:tcPr>
            <w:tcW w:type="dxa" w:w="357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EXT-RUN отсутствует; F-1–F-14 остаются на прежних уровнях.</w:t>
            </w:r>
          </w:p>
        </w:tc>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Редакционная готовность не подтверждает физику.</w:t>
            </w:r>
          </w:p>
        </w:tc>
      </w:tr>
      <w:tr>
        <w:trPr>
          <w:cantSplit/>
        </w:trPr>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G10. Freeze decision</w:t>
            </w:r>
          </w:p>
        </w:tc>
        <w:tc>
          <w:tcPr>
            <w:tcW w:type="dxa" w:w="204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EDITORIAL FREEZE READY / SCIENTIFIC CONDITIONAL</w:t>
            </w:r>
          </w:p>
        </w:tc>
        <w:tc>
          <w:tcPr>
            <w:tcW w:type="dxa" w:w="357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Корпус навигационно и статусно готов к заморозке с открытым blocker ledger.</w:t>
            </w:r>
          </w:p>
        </w:tc>
        <w:tc>
          <w:tcPr>
            <w:tcW w:type="dxa" w:w="294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5"/>
              </w:rPr>
              <w:t>Нельзя удалять открытые PO или слово COND при freeze.</w:t>
            </w:r>
          </w:p>
        </w:tc>
      </w:tr>
    </w:tbl>
    <w:p>
      <w:bookmarkStart w:id="2607" w:name="h_3674"/>
      <w:pPr>
        <w:pStyle w:val="Heading1"/>
      </w:pPr>
      <w:r>
        <w:t>431. Freeze-blocker ledger</w:t>
      </w:r>
      <w:bookmarkEnd w:id="2607"/>
    </w:p>
    <w:p>
      <w:pPr>
        <w:pStyle w:val="ListBullet"/>
      </w:pPr>
      <w:r>
        <w:t>B-FRZ-01: полный сетевой аудит DOI/URL на дату выкладки не выполнен;</w:t>
      </w:r>
    </w:p>
    <w:p>
      <w:pPr>
        <w:pStyle w:val="ListBullet"/>
      </w:pPr>
      <w:r>
        <w:t>B-FRZ-02: общий controlling L∞/derived package NAPG остаётся условным в отмеченных главах;</w:t>
      </w:r>
    </w:p>
    <w:p>
      <w:pPr>
        <w:pStyle w:val="ListBullet"/>
      </w:pPr>
      <w:r>
        <w:t>B-FRZ-03: ряд Banach/Hilbert/Fredholm и стратифицированных расширений остаётся OPEN/COND;</w:t>
      </w:r>
    </w:p>
    <w:p>
      <w:pPr>
        <w:pStyle w:val="ListBullet"/>
      </w:pPr>
      <w:r>
        <w:t>B-FRZ-04: внешний E-мост и β_Ass действуют только при B1–B8 и собственных гипотезах;</w:t>
      </w:r>
    </w:p>
    <w:p>
      <w:pPr>
        <w:pStyle w:val="ListBullet"/>
      </w:pPr>
      <w:r>
        <w:t>B-FRZ-05: независимый EXT-RUN для F-1–F-14 не исполнен;</w:t>
      </w:r>
    </w:p>
    <w:p>
      <w:pPr>
        <w:pStyle w:val="ListBullet"/>
      </w:pPr>
      <w:r>
        <w:t>B-FRZ-06: PDF/UA-формальная сертификация отдельным валидатором не выполнялась;</w:t>
      </w:r>
    </w:p>
    <w:p>
      <w:pPr>
        <w:pStyle w:val="ListBullet"/>
      </w:pPr>
      <w:r>
        <w:t>B-FRZ-07: публичная версия требует финального просмотра автором и фиксации release manifest.</w:t>
      </w:r>
    </w:p>
    <w:p>
      <w:bookmarkStart w:id="2608" w:name="h_3682"/>
      <w:pPr>
        <w:pStyle w:val="Heading1"/>
      </w:pPr>
      <w:r>
        <w:t>432. Теорема редакционной заморозки с сохранением открытых статусов</w:t>
      </w:r>
      <w:bookmarkEnd w:id="2608"/>
    </w:p>
    <w:p>
      <w:pPr/>
      <w:r>
        <w:t>Теорема 24.A (Editorial freeze safety). Пусть (i) все стабильные ID уникальны в своём типе; (ii) реестр PO непрерывен; (iii) OPEN/COND/PHY-HYP не переписаны как THM; (iv) cross-reference graph разрешим; (v) accessibility и searchability gates пройдены на уровне выбранного формата; (vi) rollback source сохранён. Тогда замораживание байтовой редакции не повышает доказательный статус ни одного утверждения и сохраняет возможность последующего продолжения через change ledger.</w:t>
      </w:r>
    </w:p>
    <w:p>
      <w:pPr/>
      <w:r>
        <w:t>Доказательство. Freeze фиксирует представление и адресацию, а не меняет логическое содержание узлов. При сохранении статусных меток, Dom/D, зависимостей и исходной точки отката никакой новый proof object или empirical witness не возникает. Следовательно, статус остаётся прежним. □</w:t>
      </w:r>
    </w:p>
    <w:p>
      <w:bookmarkStart w:id="2609" w:name="h_3685"/>
      <w:pPr>
        <w:pStyle w:val="Heading1"/>
      </w:pPr>
      <w:r>
        <w:t>433. Предметный указатель: принцип построения</w:t>
      </w:r>
      <w:bookmarkEnd w:id="2609"/>
    </w:p>
    <w:p>
      <w:pPr/>
      <w:r>
        <w:t>Указатель ориентирован на устойчивые понятия проекта и классического аппарата. Для каждого термина выбираются основные Heading-локаторы; многочисленные вторичные упоминания не дублируются, чтобы указатель оставался навигационным, а не превращался в статистику словоупотребления.</w:t>
      </w:r>
    </w:p>
    <w:p>
      <w:bookmarkStart w:id="2610" w:name="h_3687"/>
      <w:pPr>
        <w:pStyle w:val="Heading1"/>
      </w:pPr>
      <w:r>
        <w:t>434. Формульный указатель: принцип построения</w:t>
      </w:r>
      <w:bookmarkEnd w:id="2610"/>
    </w:p>
    <w:p>
      <w:pPr/>
      <w:r>
        <w:t>В формульный указатель включены 404 определяющих абзаца с конечной меткой. Формулы без стабильной метки сохраняются в тексте, но не считаются адресуемыми элементами API Тома II до назначения ID.</w:t>
      </w:r>
    </w:p>
    <w:p>
      <w:bookmarkStart w:id="2611" w:name="h_3689"/>
      <w:pPr>
        <w:pStyle w:val="Heading1"/>
      </w:pPr>
      <w:r>
        <w:t>435. Реестр формальных утверждений: принцип построения</w:t>
      </w:r>
      <w:bookmarkEnd w:id="2611"/>
    </w:p>
    <w:p>
      <w:pPr/>
      <w:r>
        <w:t>Реестр включает только абзацы, начинающиеся с формального типа и номера. Ненумерованные замечания, эвристики и философские блоки не повышаются до theorem objects. Статус извлекается из явных маркеров THM/COND/DEF-A/MODEL/COMP/OPEN/PHY-HYP и сохраняется дословно.</w:t>
      </w:r>
    </w:p>
    <w:p>
      <w:bookmarkStart w:id="2612" w:name="h_3691"/>
      <w:pPr>
        <w:pStyle w:val="Heading1"/>
      </w:pPr>
      <w:r>
        <w:t>436. Реестр T2-PO: принцип построения</w:t>
      </w:r>
      <w:bookmarkEnd w:id="2612"/>
    </w:p>
    <w:p>
      <w:pPr/>
      <w:r>
        <w:t>Для каждого ID используется последняя специфическая строка реестра в порядке документа. Нормализованный класс служит только для агрегированной статистики; исходный статус и evidence text остаются авторитетными.</w:t>
      </w:r>
    </w:p>
    <w:p>
      <w:bookmarkStart w:id="2613" w:name="h_3693"/>
      <w:pPr>
        <w:pStyle w:val="Heading1"/>
      </w:pPr>
      <w:r>
        <w:t>437. Проверка фальсифицируемости и область повреждения</w:t>
      </w:r>
      <w:bookmarkEnd w:id="2613"/>
    </w:p>
    <w:p>
      <w:pPr/>
      <w:r>
        <w:t>Контрпример к отдельной модели повреждает только зависящие от неё утверждения. Он не уничтожает типизированные определения, независимые отрицательные теоремы или классический prior art. Аналогично, провал EXT-RUN фальсифицирует конкретный физический мост, но не автоматически внутреннюю категорию NAPG.</w:t>
      </w:r>
    </w:p>
    <w:p>
      <w:bookmarkStart w:id="2614" w:name="h_3695"/>
      <w:pPr>
        <w:pStyle w:val="Heading1"/>
      </w:pPr>
      <w:r>
        <w:t>438. Release manifest v0.22</w:t>
      </w:r>
      <w:bookmarkEnd w:id="2614"/>
    </w:p>
    <w:tbl>
      <w:tblPr>
        <w:tblStyle w:val="TableGrid"/>
        <w:tblW w:type="auto" w:w="0"/>
        <w:jc w:val="center"/>
        <w:tblLook w:firstColumn="1" w:firstRow="1" w:lastColumn="0" w:lastRow="0" w:noHBand="0" w:noVBand="1" w:val="04A0"/>
      </w:tblPr>
      <w:tblGrid>
        <w:gridCol w:w="4876"/>
        <w:gridCol w:w="4876"/>
      </w:tblGrid>
      <w:tr>
        <w:trPr>
          <w:tblHeader w:val="true"/>
          <w:cantSplit/>
        </w:trPr>
        <w:tc>
          <w:tcPr>
            <w:tcW w:type="dxa" w:w="2835"/>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7"/>
              </w:rPr>
              <w:t>Поле</w:t>
            </w:r>
          </w:p>
        </w:tc>
        <w:tc>
          <w:tcPr>
            <w:tcW w:type="dxa" w:w="7087"/>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7"/>
              </w:rPr>
              <w:t>Значение</w:t>
            </w:r>
          </w:p>
        </w:tc>
      </w:tr>
      <w:tr>
        <w:trPr>
          <w:cantSplit/>
        </w:trPr>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checkpoint</w:t>
            </w:r>
          </w:p>
        </w:tc>
        <w:tc>
          <w:tcPr>
            <w:tcW w:type="dxa" w:w="70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T2-RP-v0.22</w:t>
            </w:r>
          </w:p>
        </w:tc>
      </w:tr>
      <w:tr>
        <w:trPr>
          <w:cantSplit/>
        </w:trPr>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source</w:t>
            </w:r>
          </w:p>
        </w:tc>
        <w:tc>
          <w:tcPr>
            <w:tcW w:type="dxa" w:w="70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T2-RP-v0.21</w:t>
            </w:r>
          </w:p>
        </w:tc>
      </w:tr>
      <w:tr>
        <w:trPr>
          <w:cantSplit/>
        </w:trPr>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canonical zero point</w:t>
            </w:r>
          </w:p>
        </w:tc>
        <w:tc>
          <w:tcPr>
            <w:tcW w:type="dxa" w:w="70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Tom I v197 RU</w:t>
            </w:r>
          </w:p>
        </w:tc>
      </w:tr>
      <w:tr>
        <w:trPr>
          <w:cantSplit/>
        </w:trPr>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truth layer</w:t>
            </w:r>
          </w:p>
        </w:tc>
        <w:tc>
          <w:tcPr>
            <w:tcW w:type="dxa" w:w="70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truth_layer_promotion=0</w:t>
            </w:r>
          </w:p>
        </w:tc>
      </w:tr>
      <w:tr>
        <w:trPr>
          <w:cantSplit/>
        </w:trPr>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formats</w:t>
            </w:r>
          </w:p>
        </w:tc>
        <w:tc>
          <w:tcPr>
            <w:tcW w:type="dxa" w:w="70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DOCX + searchable PDF</w:t>
            </w:r>
          </w:p>
        </w:tc>
      </w:tr>
      <w:tr>
        <w:trPr>
          <w:cantSplit/>
        </w:trPr>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language</w:t>
            </w:r>
          </w:p>
        </w:tc>
        <w:tc>
          <w:tcPr>
            <w:tcW w:type="dxa" w:w="70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ru-RU</w:t>
            </w:r>
          </w:p>
        </w:tc>
      </w:tr>
      <w:tr>
        <w:trPr>
          <w:cantSplit/>
        </w:trPr>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freeze target</w:t>
            </w:r>
          </w:p>
        </w:tc>
        <w:tc>
          <w:tcPr>
            <w:tcW w:type="dxa" w:w="70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T2-FREEZE-v1.0, conditional</w:t>
            </w:r>
          </w:p>
        </w:tc>
      </w:tr>
      <w:tr>
        <w:trPr>
          <w:cantSplit/>
        </w:trPr>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EXT-RUN</w:t>
            </w:r>
          </w:p>
        </w:tc>
        <w:tc>
          <w:tcPr>
            <w:tcW w:type="dxa" w:w="70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not executed</w:t>
            </w:r>
          </w:p>
        </w:tc>
      </w:tr>
      <w:tr>
        <w:trPr>
          <w:cantSplit/>
        </w:trPr>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legal interpretation</w:t>
            </w:r>
          </w:p>
        </w:tc>
        <w:tc>
          <w:tcPr>
            <w:tcW w:type="dxa" w:w="70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7"/>
              </w:rPr>
              <w:t>no expansion</w:t>
            </w:r>
          </w:p>
        </w:tc>
      </w:tr>
    </w:tbl>
    <w:p>
      <w:bookmarkStart w:id="2615" w:name="h_3696"/>
      <w:pPr>
        <w:pStyle w:val="Heading1"/>
      </w:pPr>
      <w:r>
        <w:t>439. Решение pre-freeze publication gate</w:t>
      </w:r>
      <w:bookmarkEnd w:id="2615"/>
    </w:p>
    <w:p>
      <w:pPr>
        <w:pStyle w:val="Quote"/>
      </w:pPr>
      <w:r>
        <w:t>РЕДАКЦИОННЫЙ ВЕРДИКТ: READY FOR EDITORIAL FREEZE.</w:t>
      </w:r>
    </w:p>
    <w:p>
      <w:pPr>
        <w:pStyle w:val="Quote"/>
      </w:pPr>
      <w:r>
        <w:t>МАТЕМАТИЧЕСКИЙ ВЕРДИКТ: CONDITIONAL PUBLICATION READY — при сохранении полного реестра OPEN/COND и точных областей применимости.</w:t>
      </w:r>
    </w:p>
    <w:p>
      <w:pPr>
        <w:pStyle w:val="Quote"/>
      </w:pPr>
      <w:r>
        <w:t>ЭМПИРИКО-ФИЗИЧЕСКИЙ ВЕРДИКТ: NOT VALIDATED — независимый EXT-RUN отсутствует.</w:t>
      </w:r>
    </w:p>
    <w:p>
      <w:pPr>
        <w:pStyle w:val="Quote"/>
      </w:pPr>
      <w:r>
        <w:t>ЮРИДИЧЕСКИЙ ВЕРДИКТ: registration records reproduced only within their exact legal meaning.</w:t>
      </w:r>
    </w:p>
    <w:p>
      <w:bookmarkStart w:id="2616" w:name="h_3701"/>
      <w:pPr>
        <w:pStyle w:val="Heading1"/>
      </w:pPr>
      <w:r>
        <w:t>440. Контрольная точка и условный переход к freeze</w:t>
      </w:r>
      <w:bookmarkEnd w:id="2616"/>
    </w:p>
    <w:p>
      <w:pPr>
        <w:pStyle w:val="Quote"/>
      </w:pPr>
      <w:r>
        <w:t>truth_layer_promotion=0; checkpoint=T2-RP-v0.22; source=T2-RP-v0.21; next=T2-FREEZE-v1.0 only after author approval of gate and release manifest.</w:t>
      </w:r>
    </w:p>
    <w:p>
      <w:pPr>
        <w:pStyle w:val="Small"/>
      </w:pPr>
      <w:r>
        <w:t>Точка отката v0.21 сохраняется отдельной парой файлов. Замораживание v1.0 должно запрещать незафиксированные правки: любое изменение после freeze получает новый change-set и новую версию.</w:t>
      </w:r>
    </w:p>
    <w:p>
      <w:r>
        <w:br w:type="page"/>
      </w:r>
    </w:p>
    <w:p>
      <w:bookmarkStart w:id="2617" w:name="h_3705"/>
      <w:pPr>
        <w:pStyle w:val="Heading1"/>
      </w:pPr>
      <w:r>
        <w:t>Приложение T2-A. Синхронизированный реестр формальных утверждений</w:t>
      </w:r>
      <w:bookmarkEnd w:id="2617"/>
    </w:p>
    <w:p>
      <w:pPr>
        <w:pStyle w:val="Lead"/>
      </w:pPr>
      <w:r>
        <w:t>Всего: 339 нумерованных формальных объектов. Межтиповых коллизий голого номера: 44; same-type duplicate ID: 0.</w:t>
      </w:r>
    </w:p>
    <w:tbl>
      <w:tblPr>
        <w:tblStyle w:val="TableGrid"/>
        <w:tblW w:type="auto" w:w="0"/>
        <w:jc w:val="center"/>
        <w:tblLook w:firstColumn="1" w:firstRow="1" w:lastColumn="0" w:lastRow="0" w:noHBand="0" w:noVBand="1" w:val="04A0"/>
      </w:tblPr>
      <w:tblGrid>
        <w:gridCol w:w="1950"/>
        <w:gridCol w:w="1950"/>
        <w:gridCol w:w="1950"/>
        <w:gridCol w:w="1950"/>
        <w:gridCol w:w="1950"/>
      </w:tblGrid>
      <w:tr>
        <w:trPr>
          <w:tblHeader w:val="true"/>
          <w:cantSplit/>
        </w:trPr>
        <w:tc>
          <w:tcPr>
            <w:tcW w:type="dxa" w:w="1587"/>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Typed ID</w:t>
            </w:r>
          </w:p>
        </w:tc>
        <w:tc>
          <w:tcPr>
            <w:tcW w:type="dxa" w:w="1134"/>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Тип</w:t>
            </w:r>
          </w:p>
        </w:tc>
        <w:tc>
          <w:tcPr>
            <w:tcW w:type="dxa" w:w="3798"/>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Краткое название</w:t>
            </w:r>
          </w:p>
        </w:tc>
        <w:tc>
          <w:tcPr>
            <w:tcW w:type="dxa" w:w="1814"/>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Явный статус</w:t>
            </w:r>
          </w:p>
        </w:tc>
        <w:tc>
          <w:tcPr>
            <w:tcW w:type="dxa" w:w="2551"/>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Основной раздел</w:t>
            </w:r>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1" w:history="1">
              <w:r>
                <w:rPr>
                  <w:color w:val="2F75B5"/>
                  <w:u w:val="single"/>
                  <w:sz w:val="14"/>
                </w:rPr>
                <w:t>T2-DEF-5.1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Область ассоциатора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5_2" w:history="1">
              <w:r>
                <w:rPr>
                  <w:color w:val="2F75B5"/>
                  <w:u w:val="single"/>
                  <w:sz w:val="14"/>
                </w:rPr>
                <w:t>T2-LEM-5.2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Трёхлинейность на полном домене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3" w:history="1">
              <w:r>
                <w:rPr>
                  <w:color w:val="2F75B5"/>
                  <w:u w:val="single"/>
                  <w:sz w:val="14"/>
                </w:rPr>
                <w:t>T2-DEF-5.3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Три ядра и nucleus</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OP_5_4" w:history="1">
              <w:r>
                <w:rPr>
                  <w:color w:val="2F75B5"/>
                  <w:u w:val="single"/>
                  <w:sz w:val="14"/>
                </w:rPr>
                <w:t>T2-PROP-5.4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Предложение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Линейность ядер</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5" w:history="1">
              <w:r>
                <w:rPr>
                  <w:color w:val="2F75B5"/>
                  <w:u w:val="single"/>
                  <w:sz w:val="14"/>
                </w:rPr>
                <w:t>T2-DEF-5.5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Коммутант и центр</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6" w:history="1">
              <w:r>
                <w:rPr>
                  <w:color w:val="2F75B5"/>
                  <w:u w:val="single"/>
                  <w:sz w:val="14"/>
                </w:rPr>
                <w:t>T2-DEF-5.6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Идеал ассоциаторов</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5_7" w:history="1">
              <w:r>
                <w:rPr>
                  <w:color w:val="2F75B5"/>
                  <w:u w:val="single"/>
                  <w:sz w:val="14"/>
                </w:rPr>
                <w:t>T2-THM-5.7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Универсальное ассоциативное отражение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5_8" w:history="1">
              <w:r>
                <w:rPr>
                  <w:color w:val="2F75B5"/>
                  <w:u w:val="single"/>
                  <w:sz w:val="14"/>
                </w:rPr>
                <w:t>T2-THM-5.8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Степенной запрет</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5_9" w:history="1">
              <w:r>
                <w:rPr>
                  <w:color w:val="2F75B5"/>
                  <w:u w:val="single"/>
                  <w:sz w:val="14"/>
                </w:rPr>
                <w:t>T2-THM-5.9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Недостаточность даже кубической диагонали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10" w:history="1">
              <w:r>
                <w:rPr>
                  <w:color w:val="2F75B5"/>
                  <w:u w:val="single"/>
                  <w:sz w:val="14"/>
                </w:rPr>
                <w:t>T2-DEF-5.10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Три квадратичных карандаша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11" w:history="1">
              <w:r>
                <w:rPr>
                  <w:color w:val="2F75B5"/>
                  <w:u w:val="single"/>
                  <w:sz w:val="14"/>
                </w:rPr>
                <w:t>T2-DEF-5.11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Чередующаяся компонента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5_12" w:history="1">
              <w:r>
                <w:rPr>
                  <w:color w:val="2F75B5"/>
                  <w:u w:val="single"/>
                  <w:sz w:val="14"/>
                </w:rPr>
                <w:t>T2-THM-5.12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Полнота квадратично-чередующегося сертификата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13" w:history="1">
              <w:r>
                <w:rPr>
                  <w:color w:val="2F75B5"/>
                  <w:u w:val="single"/>
                  <w:sz w:val="14"/>
                </w:rPr>
                <w:t>T2-DEF-5.13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Строгая реализация авторского объекта R⋆R</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OP_5_14" w:history="1">
              <w:r>
                <w:rPr>
                  <w:color w:val="2F75B5"/>
                  <w:u w:val="single"/>
                  <w:sz w:val="14"/>
                </w:rPr>
                <w:t>T2-PROP-5.14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Предложение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Профиль модели A₂</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15" w:history="1">
              <w:r>
                <w:rPr>
                  <w:color w:val="2F75B5"/>
                  <w:u w:val="single"/>
                  <w:sz w:val="14"/>
                </w:rPr>
                <w:t>T2-DEF-5.15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Основной профиль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5_16" w:history="1">
              <w:r>
                <w:rPr>
                  <w:color w:val="2F75B5"/>
                  <w:u w:val="single"/>
                  <w:sz w:val="14"/>
                </w:rPr>
                <w:t>T2-THM-5.16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Изоморфная инвариантность профиля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17" w:history="1">
              <w:r>
                <w:rPr>
                  <w:color w:val="2F75B5"/>
                  <w:u w:val="single"/>
                  <w:sz w:val="14"/>
                </w:rPr>
                <w:t>T2-DEF-5.17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Псевдодистанция профилей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18" w:history="1">
              <w:r>
                <w:rPr>
                  <w:color w:val="2F75B5"/>
                  <w:u w:val="single"/>
                  <w:sz w:val="14"/>
                </w:rPr>
                <w:t>T2-DEF-5.18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Полиномиальная семья алгебр</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19" w:history="1">
              <w:r>
                <w:rPr>
                  <w:color w:val="2F75B5"/>
                  <w:u w:val="single"/>
                  <w:sz w:val="14"/>
                </w:rPr>
                <w:t>T2-DEF-5.19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Детерминантный горизонт</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5_20" w:history="1">
              <w:r>
                <w:rPr>
                  <w:color w:val="2F75B5"/>
                  <w:u w:val="single"/>
                  <w:sz w:val="14"/>
                </w:rPr>
                <w:t>T2-THM-5.20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Локализация структурных переходов</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5_21" w:history="1">
              <w:r>
                <w:rPr>
                  <w:color w:val="2F75B5"/>
                  <w:u w:val="single"/>
                  <w:sz w:val="14"/>
                </w:rPr>
                <w:t>T2-COR-5.21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 отрицательного прогноза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22" w:history="1">
              <w:r>
                <w:rPr>
                  <w:color w:val="2F75B5"/>
                  <w:u w:val="single"/>
                  <w:sz w:val="14"/>
                </w:rPr>
                <w:t>T2-DEF-5.22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Прогнозный горизонт вдоль пути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5_23" w:history="1">
              <w:r>
                <w:rPr>
                  <w:color w:val="2F75B5"/>
                  <w:u w:val="single"/>
                  <w:sz w:val="14"/>
                </w:rPr>
                <w:t>T2-DEF-5.23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Гармонический кандидат перехода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5_24" w:history="1">
              <w:r>
                <w:rPr>
                  <w:color w:val="2F75B5"/>
                  <w:u w:val="single"/>
                  <w:sz w:val="14"/>
                </w:rPr>
                <w:t>T2-THM-5.24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Проективная инвариантность гармонического кандидата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OP_5_25" w:history="1">
              <w:r>
                <w:rPr>
                  <w:color w:val="2F75B5"/>
                  <w:u w:val="single"/>
                  <w:sz w:val="14"/>
                </w:rPr>
                <w:t>T2-PROP-5.25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Предложение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Конечность построения J_Ass</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6_1" w:history="1">
              <w:r>
                <w:rPr>
                  <w:color w:val="2F75B5"/>
                  <w:u w:val="single"/>
                  <w:sz w:val="14"/>
                </w:rPr>
                <w:t>T2-DEF-6.1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Представимая двойственность [DEF-A]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534" w:history="1">
              <w:r>
                <w:rPr>
                  <w:color w:val="2F75B5"/>
                  <w:u w:val="single"/>
                  <w:sz w:val="14"/>
                </w:rPr>
                <w:t>25. Глава 6. Пакетно-реперная алгебро-геометрическая двойственность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6_2" w:history="1">
              <w:r>
                <w:rPr>
                  <w:color w:val="2F75B5"/>
                  <w:u w:val="single"/>
                  <w:sz w:val="14"/>
                </w:rPr>
                <w:t>T2-DEF-6.2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Пространственная двойственность [DEF-A]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534" w:history="1">
              <w:r>
                <w:rPr>
                  <w:color w:val="2F75B5"/>
                  <w:u w:val="single"/>
                  <w:sz w:val="14"/>
                </w:rPr>
                <w:t>25. Глава 6. Пакетно-реперная алгебро-геометрическая двойственность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6_3" w:history="1">
              <w:r>
                <w:rPr>
                  <w:color w:val="2F75B5"/>
                  <w:u w:val="single"/>
                  <w:sz w:val="14"/>
                </w:rPr>
                <w:t>T2-THM-6.3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Yoneda-safe anti-equivalence [THM]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548" w:history="1">
              <w:r>
                <w:rPr>
                  <w:color w:val="2F75B5"/>
                  <w:u w:val="single"/>
                  <w:sz w:val="14"/>
                </w:rPr>
                <w:t>26. Безопасная представимая двойственность Йонеды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6_4" w:history="1">
              <w:r>
                <w:rPr>
                  <w:color w:val="2F75B5"/>
                  <w:u w:val="single"/>
                  <w:sz w:val="14"/>
                </w:rPr>
                <w:t>T2-DEF-6.4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Reper_T(A) [DEF-A]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548" w:history="1">
              <w:r>
                <w:rPr>
                  <w:color w:val="2F75B5"/>
                  <w:u w:val="single"/>
                  <w:sz w:val="14"/>
                </w:rPr>
                <w:t>26. Безопасная представимая двойственность Йонеды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OP_6_5" w:history="1">
              <w:r>
                <w:rPr>
                  <w:color w:val="2F75B5"/>
                  <w:u w:val="single"/>
                  <w:sz w:val="14"/>
                </w:rPr>
                <w:t>T2-PROP-6.5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Предложение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Функториальность Reper-конфигураций [THM]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548" w:history="1">
              <w:r>
                <w:rPr>
                  <w:color w:val="2F75B5"/>
                  <w:u w:val="single"/>
                  <w:sz w:val="14"/>
                </w:rPr>
                <w:t>26. Безопасная представимая двойственность Йонеды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6_6" w:history="1">
              <w:r>
                <w:rPr>
                  <w:color w:val="2F75B5"/>
                  <w:u w:val="single"/>
                  <w:sz w:val="14"/>
                </w:rPr>
                <w:t>T2-COR-6.6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Изоморфная инвариантность [THM]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548" w:history="1">
              <w:r>
                <w:rPr>
                  <w:color w:val="2F75B5"/>
                  <w:u w:val="single"/>
                  <w:sz w:val="14"/>
                </w:rPr>
                <w:t>26. Безопасная представимая двойственность Йонеды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HYP_6_7" w:history="1">
              <w:r>
                <w:rPr>
                  <w:color w:val="2F75B5"/>
                  <w:u w:val="single"/>
                  <w:sz w:val="14"/>
                </w:rPr>
                <w:t>T2-HYP-6.7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Гипотеза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Пространственная реализация [COND]</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566" w:history="1">
              <w:r>
                <w:rPr>
                  <w:color w:val="2F75B5"/>
                  <w:u w:val="single"/>
                  <w:sz w:val="14"/>
                </w:rPr>
                <w:t>27. Условная пара Spec_R / Gamma_R</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6_8" w:history="1">
              <w:r>
                <w:rPr>
                  <w:color w:val="2F75B5"/>
                  <w:u w:val="single"/>
                  <w:sz w:val="14"/>
                </w:rPr>
                <w:t>T2-DEF-6.8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Алгебраический дефект [DEF-A]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566" w:history="1">
              <w:r>
                <w:rPr>
                  <w:color w:val="2F75B5"/>
                  <w:u w:val="single"/>
                  <w:sz w:val="14"/>
                </w:rPr>
                <w:t>27. Условная пара Spec_R / Gamma_R</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6_9" w:history="1">
              <w:r>
                <w:rPr>
                  <w:color w:val="2F75B5"/>
                  <w:u w:val="single"/>
                  <w:sz w:val="14"/>
                </w:rPr>
                <w:t>T2-DEF-6.9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Геометрический дефект [DEF-A]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566" w:history="1">
              <w:r>
                <w:rPr>
                  <w:color w:val="2F75B5"/>
                  <w:u w:val="single"/>
                  <w:sz w:val="14"/>
                </w:rPr>
                <w:t>27. Условная пара Spec_R / Gamma_R</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6_10" w:history="1">
              <w:r>
                <w:rPr>
                  <w:color w:val="2F75B5"/>
                  <w:u w:val="single"/>
                  <w:sz w:val="14"/>
                </w:rPr>
                <w:t>T2-THM-6.10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Restricted reconstruction theorem [THM при гипотезе 6.7]</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при гипотезе 6.7</w:t>
            </w:r>
          </w:p>
        </w:tc>
        <w:tc>
          <w:tcPr>
            <w:tcW w:type="dxa" w:w="2551"/>
            <w:vAlign w:val="center"/>
            <w:tcMar>
              <w:top w:w="80" w:type="dxa"/>
              <w:start w:w="100" w:type="dxa"/>
              <w:bottom w:w="80" w:type="dxa"/>
              <w:end w:w="100" w:type="dxa"/>
            </w:tcMar>
          </w:tcPr>
          <w:p>
            <w:pPr>
              <w:spacing w:before="0" w:after="0" w:line="240" w:lineRule="auto"/>
            </w:pPr>
            <w:hyperlink w:anchor="h_566" w:history="1">
              <w:r>
                <w:rPr>
                  <w:color w:val="2F75B5"/>
                  <w:u w:val="single"/>
                  <w:sz w:val="14"/>
                </w:rPr>
                <w:t>27. Условная пара Spec_R / Gamma_R</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6_11" w:history="1">
              <w:r>
                <w:rPr>
                  <w:color w:val="2F75B5"/>
                  <w:u w:val="single"/>
                  <w:sz w:val="14"/>
                </w:rPr>
                <w:t>T2-COR-6.11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Сохранение изоморфных инвариантов [THM при гипотезе 6.7]</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при гипотезе 6.7</w:t>
            </w:r>
          </w:p>
        </w:tc>
        <w:tc>
          <w:tcPr>
            <w:tcW w:type="dxa" w:w="2551"/>
            <w:vAlign w:val="center"/>
            <w:tcMar>
              <w:top w:w="80" w:type="dxa"/>
              <w:start w:w="100" w:type="dxa"/>
              <w:bottom w:w="80" w:type="dxa"/>
              <w:end w:w="100" w:type="dxa"/>
            </w:tcMar>
          </w:tcPr>
          <w:p>
            <w:pPr>
              <w:spacing w:before="0" w:after="0" w:line="240" w:lineRule="auto"/>
            </w:pPr>
            <w:hyperlink w:anchor="h_566" w:history="1">
              <w:r>
                <w:rPr>
                  <w:color w:val="2F75B5"/>
                  <w:u w:val="single"/>
                  <w:sz w:val="14"/>
                </w:rPr>
                <w:t>27. Условная пара Spec_R / Gamma_R</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6_12" w:history="1">
              <w:r>
                <w:rPr>
                  <w:color w:val="2F75B5"/>
                  <w:u w:val="single"/>
                  <w:sz w:val="14"/>
                </w:rPr>
                <w:t>T2-THM-6.12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Character-spectrum no-go [THM]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594" w:history="1">
              <w:r>
                <w:rPr>
                  <w:color w:val="2F75B5"/>
                  <w:u w:val="single"/>
                  <w:sz w:val="14"/>
                </w:rPr>
                <w:t>28. Контртеоремы к ложной двойственности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OP_6_14" w:history="1">
              <w:r>
                <w:rPr>
                  <w:color w:val="2F75B5"/>
                  <w:u w:val="single"/>
                  <w:sz w:val="14"/>
                </w:rPr>
                <w:t>T2-PROP-6.14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Предложение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No-dynamics principle [THM]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594" w:history="1">
              <w:r>
                <w:rPr>
                  <w:color w:val="2F75B5"/>
                  <w:u w:val="single"/>
                  <w:sz w:val="14"/>
                </w:rPr>
                <w:t>28. Контртеоремы к ложной двойственности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6_15" w:history="1">
              <w:r>
                <w:rPr>
                  <w:color w:val="2F75B5"/>
                  <w:u w:val="single"/>
                  <w:sz w:val="14"/>
                </w:rPr>
                <w:t>T2-DEF-6.15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Projective Reper atlas [DEF-A]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613" w:history="1">
              <w:r>
                <w:rPr>
                  <w:color w:val="2F75B5"/>
                  <w:u w:val="single"/>
                  <w:sz w:val="14"/>
                </w:rPr>
                <w:t>29. Проективно-реперные атласы и глобальная harmonic coordinate</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6_16" w:history="1">
              <w:r>
                <w:rPr>
                  <w:color w:val="2F75B5"/>
                  <w:u w:val="single"/>
                  <w:sz w:val="14"/>
                </w:rPr>
                <w:t>T2-THM-6.16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Глобализация lambda [THM]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613" w:history="1">
              <w:r>
                <w:rPr>
                  <w:color w:val="2F75B5"/>
                  <w:u w:val="single"/>
                  <w:sz w:val="14"/>
                </w:rPr>
                <w:t>29. Проективно-реперные атласы и глобальная harmonic coordinate</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6_17" w:history="1">
              <w:r>
                <w:rPr>
                  <w:color w:val="2F75B5"/>
                  <w:u w:val="single"/>
                  <w:sz w:val="14"/>
                </w:rPr>
                <w:t>T2-COR-6.17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Глобальность harmonic locus [THM]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613" w:history="1">
              <w:r>
                <w:rPr>
                  <w:color w:val="2F75B5"/>
                  <w:u w:val="single"/>
                  <w:sz w:val="14"/>
                </w:rPr>
                <w:t>29. Проективно-реперные атласы и глобальная harmonic coordinate</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6_18" w:history="1">
              <w:r>
                <w:rPr>
                  <w:color w:val="2F75B5"/>
                  <w:u w:val="single"/>
                  <w:sz w:val="14"/>
                </w:rPr>
                <w:t>T2-DEF-6.18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Projective Reper morphism [DEF-A]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613" w:history="1">
              <w:r>
                <w:rPr>
                  <w:color w:val="2F75B5"/>
                  <w:u w:val="single"/>
                  <w:sz w:val="14"/>
                </w:rPr>
                <w:t>29. Проективно-реперные атласы и глобальная harmonic coordinate</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6_19" w:history="1">
              <w:r>
                <w:rPr>
                  <w:color w:val="2F75B5"/>
                  <w:u w:val="single"/>
                  <w:sz w:val="14"/>
                </w:rPr>
                <w:t>T2-THM-6.19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Инвариантность harmonic locus [THM]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613" w:history="1">
              <w:r>
                <w:rPr>
                  <w:color w:val="2F75B5"/>
                  <w:u w:val="single"/>
                  <w:sz w:val="14"/>
                </w:rPr>
                <w:t>29. Проективно-реперные атласы и глобальная harmonic coordinate</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HYP_6_20" w:history="1">
              <w:r>
                <w:rPr>
                  <w:color w:val="2F75B5"/>
                  <w:u w:val="single"/>
                  <w:sz w:val="14"/>
                </w:rPr>
                <w:t>T2-HYP-6.20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Гипотеза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Conjugacy bridge [COND]</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629" w:history="1">
              <w:r>
                <w:rPr>
                  <w:color w:val="2F75B5"/>
                  <w:u w:val="single"/>
                  <w:sz w:val="14"/>
                </w:rPr>
                <w:t>30. Двойной детерминантный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6_21" w:history="1">
              <w:r>
                <w:rPr>
                  <w:color w:val="2F75B5"/>
                  <w:u w:val="single"/>
                  <w:sz w:val="14"/>
                </w:rPr>
                <w:t>T2-THM-6.21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Совпадение ранговых горизонтов [THM при гипотезе 6.20]</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при гипотезе 6.20</w:t>
            </w:r>
          </w:p>
        </w:tc>
        <w:tc>
          <w:tcPr>
            <w:tcW w:type="dxa" w:w="2551"/>
            <w:vAlign w:val="center"/>
            <w:tcMar>
              <w:top w:w="80" w:type="dxa"/>
              <w:start w:w="100" w:type="dxa"/>
              <w:bottom w:w="80" w:type="dxa"/>
              <w:end w:w="100" w:type="dxa"/>
            </w:tcMar>
          </w:tcPr>
          <w:p>
            <w:pPr>
              <w:spacing w:before="0" w:after="0" w:line="240" w:lineRule="auto"/>
            </w:pPr>
            <w:hyperlink w:anchor="h_629" w:history="1">
              <w:r>
                <w:rPr>
                  <w:color w:val="2F75B5"/>
                  <w:u w:val="single"/>
                  <w:sz w:val="14"/>
                </w:rPr>
                <w:t>30. Двойной детерминантный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6_22" w:history="1">
              <w:r>
                <w:rPr>
                  <w:color w:val="2F75B5"/>
                  <w:u w:val="single"/>
                  <w:sz w:val="14"/>
                </w:rPr>
                <w:t>T2-COR-6.22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Двойная теорема отрицательного прогноза [THM при гипотезах 6.7 и 6.20]</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при гипотезах 6.7 и 6.20</w:t>
            </w:r>
          </w:p>
        </w:tc>
        <w:tc>
          <w:tcPr>
            <w:tcW w:type="dxa" w:w="2551"/>
            <w:vAlign w:val="center"/>
            <w:tcMar>
              <w:top w:w="80" w:type="dxa"/>
              <w:start w:w="100" w:type="dxa"/>
              <w:bottom w:w="80" w:type="dxa"/>
              <w:end w:w="100" w:type="dxa"/>
            </w:tcMar>
          </w:tcPr>
          <w:p>
            <w:pPr>
              <w:spacing w:before="0" w:after="0" w:line="240" w:lineRule="auto"/>
            </w:pPr>
            <w:hyperlink w:anchor="h_629" w:history="1">
              <w:r>
                <w:rPr>
                  <w:color w:val="2F75B5"/>
                  <w:u w:val="single"/>
                  <w:sz w:val="14"/>
                </w:rPr>
                <w:t>30. Двойной детерминантный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6_23" w:history="1">
              <w:r>
                <w:rPr>
                  <w:color w:val="2F75B5"/>
                  <w:u w:val="single"/>
                  <w:sz w:val="14"/>
                </w:rPr>
                <w:t>T2-DEF-6.23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Dual mismatch set [DEF-A]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629" w:history="1">
              <w:r>
                <w:rPr>
                  <w:color w:val="2F75B5"/>
                  <w:u w:val="single"/>
                  <w:sz w:val="14"/>
                </w:rPr>
                <w:t>30. Двойной детерминантный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6_24" w:history="1">
              <w:r>
                <w:rPr>
                  <w:color w:val="2F75B5"/>
                  <w:u w:val="single"/>
                  <w:sz w:val="14"/>
                </w:rPr>
                <w:t>T2-DEF-6.24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Block_dual [DEF-A]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646" w:history="1">
              <w:r>
                <w:rPr>
                  <w:color w:val="2F75B5"/>
                  <w:u w:val="single"/>
                  <w:sz w:val="14"/>
                </w:rPr>
                <w:t>31. Двойной предсказательный шлюз KLT-RBD</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6_25" w:history="1">
              <w:r>
                <w:rPr>
                  <w:color w:val="2F75B5"/>
                  <w:u w:val="single"/>
                  <w:sz w:val="14"/>
                </w:rPr>
                <w:t>T2-DEF-6.25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Dual harmonic candidate [DEF-A]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646" w:history="1">
              <w:r>
                <w:rPr>
                  <w:color w:val="2F75B5"/>
                  <w:u w:val="single"/>
                  <w:sz w:val="14"/>
                </w:rPr>
                <w:t>31. Двойной предсказательный шлюз KLT-RBD</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6_26" w:history="1">
              <w:r>
                <w:rPr>
                  <w:color w:val="2F75B5"/>
                  <w:u w:val="single"/>
                  <w:sz w:val="14"/>
                </w:rPr>
                <w:t>T2-THM-6.26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Functorial predictive transport [COND]</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646" w:history="1">
              <w:r>
                <w:rPr>
                  <w:color w:val="2F75B5"/>
                  <w:u w:val="single"/>
                  <w:sz w:val="14"/>
                </w:rPr>
                <w:t>31. Двойной предсказательный шлюз KLT-RBD</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OP_6_27" w:history="1">
              <w:r>
                <w:rPr>
                  <w:color w:val="2F75B5"/>
                  <w:u w:val="single"/>
                  <w:sz w:val="14"/>
                </w:rPr>
                <w:t>T2-PROP-6.27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Предложение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Представимость ассоциативного отражения [THM]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675" w:history="1">
              <w:r>
                <w:rPr>
                  <w:color w:val="2F75B5"/>
                  <w:u w:val="single"/>
                  <w:sz w:val="14"/>
                </w:rPr>
                <w:t>32. Геометрический смысл R-star-R</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OP_6_28" w:history="1">
              <w:r>
                <w:rPr>
                  <w:color w:val="2F75B5"/>
                  <w:u w:val="single"/>
                  <w:sz w:val="14"/>
                </w:rPr>
                <w:t>T2-PROP-6.28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Предложение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Функториальность ядровых локусов [THM]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675" w:history="1">
              <w:r>
                <w:rPr>
                  <w:color w:val="2F75B5"/>
                  <w:u w:val="single"/>
                  <w:sz w:val="14"/>
                </w:rPr>
                <w:t>32. Геометрический смысл R-star-R</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1" w:history="1">
              <w:r>
                <w:rPr>
                  <w:color w:val="2F75B5"/>
                  <w:u w:val="single"/>
                  <w:sz w:val="14"/>
                </w:rPr>
                <w:t>T2-DEF-7.1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Локальная NAPG-модель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39" w:history="1">
              <w:r>
                <w:rPr>
                  <w:color w:val="2F75B5"/>
                  <w:u w:val="single"/>
                  <w:sz w:val="14"/>
                </w:rPr>
                <w:t>36. NAPG-атласы и группоид переходов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2" w:history="1">
              <w:r>
                <w:rPr>
                  <w:color w:val="2F75B5"/>
                  <w:u w:val="single"/>
                  <w:sz w:val="14"/>
                </w:rPr>
                <w:t>T2-DEF-7.2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NAPG-атлас</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39" w:history="1">
              <w:r>
                <w:rPr>
                  <w:color w:val="2F75B5"/>
                  <w:u w:val="single"/>
                  <w:sz w:val="14"/>
                </w:rPr>
                <w:t>36. NAPG-атласы и группоид переходов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3" w:history="1">
              <w:r>
                <w:rPr>
                  <w:color w:val="2F75B5"/>
                  <w:u w:val="single"/>
                  <w:sz w:val="14"/>
                </w:rPr>
                <w:t>T2-DEF-7.3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Структурный группоид</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39" w:history="1">
              <w:r>
                <w:rPr>
                  <w:color w:val="2F75B5"/>
                  <w:u w:val="single"/>
                  <w:sz w:val="14"/>
                </w:rPr>
                <w:t>36. NAPG-атласы и группоид переходов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4" w:history="1">
              <w:r>
                <w:rPr>
                  <w:color w:val="2F75B5"/>
                  <w:u w:val="single"/>
                  <w:sz w:val="14"/>
                </w:rPr>
                <w:t>T2-THM-7.4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Необходимость ассоциативного группоида переходов</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739" w:history="1">
              <w:r>
                <w:rPr>
                  <w:color w:val="2F75B5"/>
                  <w:u w:val="single"/>
                  <w:sz w:val="14"/>
                </w:rPr>
                <w:t>36. NAPG-атласы и группоид переходов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5" w:history="1">
              <w:r>
                <w:rPr>
                  <w:color w:val="2F75B5"/>
                  <w:u w:val="single"/>
                  <w:sz w:val="14"/>
                </w:rPr>
                <w:t>T2-DEF-7.5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Проективно-реперная карта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39" w:history="1">
              <w:r>
                <w:rPr>
                  <w:color w:val="2F75B5"/>
                  <w:u w:val="single"/>
                  <w:sz w:val="14"/>
                </w:rPr>
                <w:t>36. NAPG-атласы и группоид переходов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6" w:history="1">
              <w:r>
                <w:rPr>
                  <w:color w:val="2F75B5"/>
                  <w:u w:val="single"/>
                  <w:sz w:val="14"/>
                </w:rPr>
                <w:t>T2-THM-7.6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Глобальность λ</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739" w:history="1">
              <w:r>
                <w:rPr>
                  <w:color w:val="2F75B5"/>
                  <w:u w:val="single"/>
                  <w:sz w:val="14"/>
                </w:rPr>
                <w:t>36. NAPG-атласы и группоид переходов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7" w:history="1">
              <w:r>
                <w:rPr>
                  <w:color w:val="2F75B5"/>
                  <w:u w:val="single"/>
                  <w:sz w:val="14"/>
                </w:rPr>
                <w:t>T2-DEF-7.7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Descent datum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CL/DEF-A</w:t>
            </w:r>
          </w:p>
        </w:tc>
        <w:tc>
          <w:tcPr>
            <w:tcW w:type="dxa" w:w="2551"/>
            <w:vAlign w:val="center"/>
            <w:tcMar>
              <w:top w:w="80" w:type="dxa"/>
              <w:start w:w="100" w:type="dxa"/>
              <w:bottom w:w="80" w:type="dxa"/>
              <w:end w:w="100" w:type="dxa"/>
            </w:tcMar>
          </w:tcPr>
          <w:p>
            <w:pPr>
              <w:spacing w:before="0" w:after="0" w:line="240" w:lineRule="auto"/>
            </w:pPr>
            <w:hyperlink w:anchor="h_754" w:history="1">
              <w:r>
                <w:rPr>
                  <w:color w:val="2F75B5"/>
                  <w:u w:val="single"/>
                  <w:sz w:val="14"/>
                </w:rPr>
                <w:t>37. Descent-данные и теорема склейки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8" w:history="1">
              <w:r>
                <w:rPr>
                  <w:color w:val="2F75B5"/>
                  <w:u w:val="single"/>
                  <w:sz w:val="14"/>
                </w:rPr>
                <w:t>T2-DEF-7.8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Effective descent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CL/COND</w:t>
            </w:r>
          </w:p>
        </w:tc>
        <w:tc>
          <w:tcPr>
            <w:tcW w:type="dxa" w:w="2551"/>
            <w:vAlign w:val="center"/>
            <w:tcMar>
              <w:top w:w="80" w:type="dxa"/>
              <w:start w:w="100" w:type="dxa"/>
              <w:bottom w:w="80" w:type="dxa"/>
              <w:end w:w="100" w:type="dxa"/>
            </w:tcMar>
          </w:tcPr>
          <w:p>
            <w:pPr>
              <w:spacing w:before="0" w:after="0" w:line="240" w:lineRule="auto"/>
            </w:pPr>
            <w:hyperlink w:anchor="h_754" w:history="1">
              <w:r>
                <w:rPr>
                  <w:color w:val="2F75B5"/>
                  <w:u w:val="single"/>
                  <w:sz w:val="14"/>
                </w:rPr>
                <w:t>37. Descent-данные и теорема склейки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9" w:history="1">
              <w:r>
                <w:rPr>
                  <w:color w:val="2F75B5"/>
                  <w:u w:val="single"/>
                  <w:sz w:val="14"/>
                </w:rPr>
                <w:t>T2-THM-7.9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Склейка NAPG-расслоения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754" w:history="1">
              <w:r>
                <w:rPr>
                  <w:color w:val="2F75B5"/>
                  <w:u w:val="single"/>
                  <w:sz w:val="14"/>
                </w:rPr>
                <w:t>37. Descent-данные и теорема склейки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11" w:history="1">
              <w:r>
                <w:rPr>
                  <w:color w:val="2F75B5"/>
                  <w:u w:val="single"/>
                  <w:sz w:val="14"/>
                </w:rPr>
                <w:t>T2-DEF-7.11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Bundle of NAPG algebras</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64" w:history="1">
              <w:r>
                <w:rPr>
                  <w:color w:val="2F75B5"/>
                  <w:u w:val="single"/>
                  <w:sz w:val="14"/>
                </w:rPr>
                <w:t>38. Пакетные, реперные и Hodge-расслоения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12" w:history="1">
              <w:r>
                <w:rPr>
                  <w:color w:val="2F75B5"/>
                  <w:u w:val="single"/>
                  <w:sz w:val="14"/>
                </w:rPr>
                <w:t>T2-THM-7.12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Спуск операции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764" w:history="1">
              <w:r>
                <w:rPr>
                  <w:color w:val="2F75B5"/>
                  <w:u w:val="single"/>
                  <w:sz w:val="14"/>
                </w:rPr>
                <w:t>38. Пакетные, реперные и Hodge-расслоения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13" w:history="1">
              <w:r>
                <w:rPr>
                  <w:color w:val="2F75B5"/>
                  <w:u w:val="single"/>
                  <w:sz w:val="14"/>
                </w:rPr>
                <w:t>T2-DEF-7.13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Дефект спуска операции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64" w:history="1">
              <w:r>
                <w:rPr>
                  <w:color w:val="2F75B5"/>
                  <w:u w:val="single"/>
                  <w:sz w:val="14"/>
                </w:rPr>
                <w:t>38. Пакетные, реперные и Hodge-расслоения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14" w:history="1">
              <w:r>
                <w:rPr>
                  <w:color w:val="2F75B5"/>
                  <w:u w:val="single"/>
                  <w:sz w:val="14"/>
                </w:rPr>
                <w:t>T2-DEF-7.14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Reper bundle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64" w:history="1">
              <w:r>
                <w:rPr>
                  <w:color w:val="2F75B5"/>
                  <w:u w:val="single"/>
                  <w:sz w:val="14"/>
                </w:rPr>
                <w:t>38. Пакетные, реперные и Hodge-расслоения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15" w:history="1">
              <w:r>
                <w:rPr>
                  <w:color w:val="2F75B5"/>
                  <w:u w:val="single"/>
                  <w:sz w:val="14"/>
                </w:rPr>
                <w:t>T2-THM-7.15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Двойной спуск Reper</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764" w:history="1">
              <w:r>
                <w:rPr>
                  <w:color w:val="2F75B5"/>
                  <w:u w:val="single"/>
                  <w:sz w:val="14"/>
                </w:rPr>
                <w:t>38. Пакетные, реперные и Hodge-расслоения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16" w:history="1">
              <w:r>
                <w:rPr>
                  <w:color w:val="2F75B5"/>
                  <w:u w:val="single"/>
                  <w:sz w:val="14"/>
                </w:rPr>
                <w:t>T2-DEF-7.16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Hodge-compatible atlas</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64" w:history="1">
              <w:r>
                <w:rPr>
                  <w:color w:val="2F75B5"/>
                  <w:u w:val="single"/>
                  <w:sz w:val="14"/>
                </w:rPr>
                <w:t>38. Пакетные, реперные и Hodge-расслоения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17" w:history="1">
              <w:r>
                <w:rPr>
                  <w:color w:val="2F75B5"/>
                  <w:u w:val="single"/>
                  <w:sz w:val="14"/>
                </w:rPr>
                <w:t>T2-THM-7.17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Спуск Hodge star</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764" w:history="1">
              <w:r>
                <w:rPr>
                  <w:color w:val="2F75B5"/>
                  <w:u w:val="single"/>
                  <w:sz w:val="14"/>
                </w:rPr>
                <w:t>38. Пакетные, реперные и Hodge-расслоения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19" w:history="1">
              <w:r>
                <w:rPr>
                  <w:color w:val="2F75B5"/>
                  <w:u w:val="single"/>
                  <w:sz w:val="14"/>
                </w:rPr>
                <w:t>T2-THM-7.19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Центральный класс препятствия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THM/COND</w:t>
            </w:r>
          </w:p>
        </w:tc>
        <w:tc>
          <w:tcPr>
            <w:tcW w:type="dxa" w:w="2551"/>
            <w:vAlign w:val="center"/>
            <w:tcMar>
              <w:top w:w="80" w:type="dxa"/>
              <w:start w:w="100" w:type="dxa"/>
              <w:bottom w:w="80" w:type="dxa"/>
              <w:end w:w="100" w:type="dxa"/>
            </w:tcMar>
          </w:tcPr>
          <w:p>
            <w:pPr>
              <w:spacing w:before="0" w:after="0" w:line="240" w:lineRule="auto"/>
            </w:pPr>
            <w:hyperlink w:anchor="h_779" w:history="1">
              <w:r>
                <w:rPr>
                  <w:color w:val="2F75B5"/>
                  <w:u w:val="single"/>
                  <w:sz w:val="14"/>
                </w:rPr>
                <w:t>39. Когомологические препятствия глобализации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20" w:history="1">
              <w:r>
                <w:rPr>
                  <w:color w:val="2F75B5"/>
                  <w:u w:val="single"/>
                  <w:sz w:val="14"/>
                </w:rPr>
                <w:t>T2-DEF-7.20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Globalization defect vector</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79" w:history="1">
              <w:r>
                <w:rPr>
                  <w:color w:val="2F75B5"/>
                  <w:u w:val="single"/>
                  <w:sz w:val="14"/>
                </w:rPr>
                <w:t>39. Когомологические препятствия глобализации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21" w:history="1">
              <w:r>
                <w:rPr>
                  <w:color w:val="2F75B5"/>
                  <w:u w:val="single"/>
                  <w:sz w:val="14"/>
                </w:rPr>
                <w:t>T2-THM-7.21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Клеточная башня препятствий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CL/COND</w:t>
            </w:r>
          </w:p>
        </w:tc>
        <w:tc>
          <w:tcPr>
            <w:tcW w:type="dxa" w:w="2551"/>
            <w:vAlign w:val="center"/>
            <w:tcMar>
              <w:top w:w="80" w:type="dxa"/>
              <w:start w:w="100" w:type="dxa"/>
              <w:bottom w:w="80" w:type="dxa"/>
              <w:end w:w="100" w:type="dxa"/>
            </w:tcMar>
          </w:tcPr>
          <w:p>
            <w:pPr>
              <w:spacing w:before="0" w:after="0" w:line="240" w:lineRule="auto"/>
            </w:pPr>
            <w:hyperlink w:anchor="h_779" w:history="1">
              <w:r>
                <w:rPr>
                  <w:color w:val="2F75B5"/>
                  <w:u w:val="single"/>
                  <w:sz w:val="14"/>
                </w:rPr>
                <w:t>39. Когомологические препятствия глобализации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22" w:history="1">
              <w:r>
                <w:rPr>
                  <w:color w:val="2F75B5"/>
                  <w:u w:val="single"/>
                  <w:sz w:val="14"/>
                </w:rPr>
                <w:t>T2-DEF-7.22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Параметрическое NAPG-расслоение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94" w:history="1">
              <w:r>
                <w:rPr>
                  <w:color w:val="2F75B5"/>
                  <w:u w:val="single"/>
                  <w:sz w:val="14"/>
                </w:rPr>
                <w:t>40. Глобализационные горизонты и отрицательные теоремы прогноза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23" w:history="1">
              <w:r>
                <w:rPr>
                  <w:color w:val="2F75B5"/>
                  <w:u w:val="single"/>
                  <w:sz w:val="14"/>
                </w:rPr>
                <w:t>T2-THM-7.23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Homotopy constancy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794" w:history="1">
              <w:r>
                <w:rPr>
                  <w:color w:val="2F75B5"/>
                  <w:u w:val="single"/>
                  <w:sz w:val="14"/>
                </w:rPr>
                <w:t>40. Глобализационные горизонты и отрицательные теоремы прогноза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7_24" w:history="1">
              <w:r>
                <w:rPr>
                  <w:color w:val="2F75B5"/>
                  <w:u w:val="single"/>
                  <w:sz w:val="14"/>
                </w:rPr>
                <w:t>T2-COR-7.24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Отрицательный глобальный прогноз</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794" w:history="1">
              <w:r>
                <w:rPr>
                  <w:color w:val="2F75B5"/>
                  <w:u w:val="single"/>
                  <w:sz w:val="14"/>
                </w:rPr>
                <w:t>40. Глобализационные горизонты и отрицательные теоремы прогноза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25" w:history="1">
              <w:r>
                <w:rPr>
                  <w:color w:val="2F75B5"/>
                  <w:u w:val="single"/>
                  <w:sz w:val="14"/>
                </w:rPr>
                <w:t>T2-DEF-7.25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Globalization horizon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794" w:history="1">
              <w:r>
                <w:rPr>
                  <w:color w:val="2F75B5"/>
                  <w:u w:val="single"/>
                  <w:sz w:val="14"/>
                </w:rPr>
                <w:t>40. Глобализационные горизонты и отрицательные теоремы прогноза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26" w:history="1">
              <w:r>
                <w:rPr>
                  <w:color w:val="2F75B5"/>
                  <w:u w:val="single"/>
                  <w:sz w:val="14"/>
                </w:rPr>
                <w:t>T2-THM-7.26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Локализация возможного глобального перехода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794" w:history="1">
              <w:r>
                <w:rPr>
                  <w:color w:val="2F75B5"/>
                  <w:u w:val="single"/>
                  <w:sz w:val="14"/>
                </w:rPr>
                <w:t>40. Глобализационные горизонты и отрицательные теоремы прогноза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27" w:history="1">
              <w:r>
                <w:rPr>
                  <w:color w:val="2F75B5"/>
                  <w:u w:val="single"/>
                  <w:sz w:val="14"/>
                </w:rPr>
                <w:t>T2-DEF-7.27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Predictive Reper bundle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805" w:history="1">
              <w:r>
                <w:rPr>
                  <w:color w:val="2F75B5"/>
                  <w:u w:val="single"/>
                  <w:sz w:val="14"/>
                </w:rPr>
                <w:t>41. Предсказательное реперное расслоение</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28" w:history="1">
              <w:r>
                <w:rPr>
                  <w:color w:val="2F75B5"/>
                  <w:u w:val="single"/>
                  <w:sz w:val="14"/>
                </w:rPr>
                <w:t>T2-DEF-7.28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Глобально допустимый сценарий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805" w:history="1">
              <w:r>
                <w:rPr>
                  <w:color w:val="2F75B5"/>
                  <w:u w:val="single"/>
                  <w:sz w:val="14"/>
                </w:rPr>
                <w:t>41. Предсказательное реперное расслоение</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7_29" w:history="1">
              <w:r>
                <w:rPr>
                  <w:color w:val="2F75B5"/>
                  <w:u w:val="single"/>
                  <w:sz w:val="14"/>
                </w:rPr>
                <w:t>T2-DEF-7.29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Global structural candidate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805" w:history="1">
              <w:r>
                <w:rPr>
                  <w:color w:val="2F75B5"/>
                  <w:u w:val="single"/>
                  <w:sz w:val="14"/>
                </w:rPr>
                <w:t>41. Предсказательное реперное расслоение</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7_30" w:history="1">
              <w:r>
                <w:rPr>
                  <w:color w:val="2F75B5"/>
                  <w:u w:val="single"/>
                  <w:sz w:val="14"/>
                </w:rPr>
                <w:t>T2-THM-7.30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Запрет локально-глобальной подмены</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805" w:history="1">
              <w:r>
                <w:rPr>
                  <w:color w:val="2F75B5"/>
                  <w:u w:val="single"/>
                  <w:sz w:val="14"/>
                </w:rPr>
                <w:t>41. Предсказательное реперное расслоение</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1" w:history="1">
              <w:r>
                <w:rPr>
                  <w:color w:val="2F75B5"/>
                  <w:u w:val="single"/>
                  <w:sz w:val="14"/>
                </w:rPr>
                <w:t>T2-DEF-8.1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Dual-number tangent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CL/DEF-A</w:t>
            </w:r>
          </w:p>
        </w:tc>
        <w:tc>
          <w:tcPr>
            <w:tcW w:type="dxa" w:w="2551"/>
            <w:vAlign w:val="center"/>
            <w:tcMar>
              <w:top w:w="80" w:type="dxa"/>
              <w:start w:w="100" w:type="dxa"/>
              <w:bottom w:w="80" w:type="dxa"/>
              <w:end w:w="100" w:type="dxa"/>
            </w:tcMar>
          </w:tcPr>
          <w:p>
            <w:pPr>
              <w:spacing w:before="0" w:after="0" w:line="240" w:lineRule="auto"/>
            </w:pPr>
            <w:hyperlink w:anchor="h_870" w:history="1">
              <w:r>
                <w:rPr>
                  <w:color w:val="2F75B5"/>
                  <w:u w:val="single"/>
                  <w:sz w:val="14"/>
                </w:rPr>
                <w:t>47. Четыре конструкции касательного объекта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8_2" w:history="1">
              <w:r>
                <w:rPr>
                  <w:color w:val="2F75B5"/>
                  <w:u w:val="single"/>
                  <w:sz w:val="14"/>
                </w:rPr>
                <w:t>T2-LEM-8.2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Derivation representation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870" w:history="1">
              <w:r>
                <w:rPr>
                  <w:color w:val="2F75B5"/>
                  <w:u w:val="single"/>
                  <w:sz w:val="14"/>
                </w:rPr>
                <w:t>47. Четыре конструкции касательного объекта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3" w:history="1">
              <w:r>
                <w:rPr>
                  <w:color w:val="2F75B5"/>
                  <w:u w:val="single"/>
                  <w:sz w:val="14"/>
                </w:rPr>
                <w:t>T2-DEF-8.3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Curve tangent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CL/COND</w:t>
            </w:r>
          </w:p>
        </w:tc>
        <w:tc>
          <w:tcPr>
            <w:tcW w:type="dxa" w:w="2551"/>
            <w:vAlign w:val="center"/>
            <w:tcMar>
              <w:top w:w="80" w:type="dxa"/>
              <w:start w:w="100" w:type="dxa"/>
              <w:bottom w:w="80" w:type="dxa"/>
              <w:end w:w="100" w:type="dxa"/>
            </w:tcMar>
          </w:tcPr>
          <w:p>
            <w:pPr>
              <w:spacing w:before="0" w:after="0" w:line="240" w:lineRule="auto"/>
            </w:pPr>
            <w:hyperlink w:anchor="h_870" w:history="1">
              <w:r>
                <w:rPr>
                  <w:color w:val="2F75B5"/>
                  <w:u w:val="single"/>
                  <w:sz w:val="14"/>
                </w:rPr>
                <w:t>47. Четыре конструкции касательного объекта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4" w:history="1">
              <w:r>
                <w:rPr>
                  <w:color w:val="2F75B5"/>
                  <w:u w:val="single"/>
                  <w:sz w:val="14"/>
                </w:rPr>
                <w:t>T2-DEF-8.4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Kähler cotangent module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CL/COND</w:t>
            </w:r>
          </w:p>
        </w:tc>
        <w:tc>
          <w:tcPr>
            <w:tcW w:type="dxa" w:w="2551"/>
            <w:vAlign w:val="center"/>
            <w:tcMar>
              <w:top w:w="80" w:type="dxa"/>
              <w:start w:w="100" w:type="dxa"/>
              <w:bottom w:w="80" w:type="dxa"/>
              <w:end w:w="100" w:type="dxa"/>
            </w:tcMar>
          </w:tcPr>
          <w:p>
            <w:pPr>
              <w:spacing w:before="0" w:after="0" w:line="240" w:lineRule="auto"/>
            </w:pPr>
            <w:hyperlink w:anchor="h_870" w:history="1">
              <w:r>
                <w:rPr>
                  <w:color w:val="2F75B5"/>
                  <w:u w:val="single"/>
                  <w:sz w:val="14"/>
                </w:rPr>
                <w:t>47. Четыре конструкции касательного объекта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5" w:history="1">
              <w:r>
                <w:rPr>
                  <w:color w:val="2F75B5"/>
                  <w:u w:val="single"/>
                  <w:sz w:val="14"/>
                </w:rPr>
                <w:t>T2-DEF-8.5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Cotangent space at a rational point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w:t>
            </w:r>
          </w:p>
        </w:tc>
        <w:tc>
          <w:tcPr>
            <w:tcW w:type="dxa" w:w="2551"/>
            <w:vAlign w:val="center"/>
            <w:tcMar>
              <w:top w:w="80" w:type="dxa"/>
              <w:start w:w="100" w:type="dxa"/>
              <w:bottom w:w="80" w:type="dxa"/>
              <w:end w:w="100" w:type="dxa"/>
            </w:tcMar>
          </w:tcPr>
          <w:p>
            <w:pPr>
              <w:spacing w:before="0" w:after="0" w:line="240" w:lineRule="auto"/>
            </w:pPr>
            <w:hyperlink w:anchor="h_870" w:history="1">
              <w:r>
                <w:rPr>
                  <w:color w:val="2F75B5"/>
                  <w:u w:val="single"/>
                  <w:sz w:val="14"/>
                </w:rPr>
                <w:t>47. Четыре конструкции касательного объекта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6" w:history="1">
              <w:r>
                <w:rPr>
                  <w:color w:val="2F75B5"/>
                  <w:u w:val="single"/>
                  <w:sz w:val="14"/>
                </w:rPr>
                <w:t>T2-DEF-8.6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Algebraic tangent cone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w:t>
            </w:r>
          </w:p>
        </w:tc>
        <w:tc>
          <w:tcPr>
            <w:tcW w:type="dxa" w:w="2551"/>
            <w:vAlign w:val="center"/>
            <w:tcMar>
              <w:top w:w="80" w:type="dxa"/>
              <w:start w:w="100" w:type="dxa"/>
              <w:bottom w:w="80" w:type="dxa"/>
              <w:end w:w="100" w:type="dxa"/>
            </w:tcMar>
          </w:tcPr>
          <w:p>
            <w:pPr>
              <w:spacing w:before="0" w:after="0" w:line="240" w:lineRule="auto"/>
            </w:pPr>
            <w:hyperlink w:anchor="h_883" w:history="1">
              <w:r>
                <w:rPr>
                  <w:color w:val="2F75B5"/>
                  <w:u w:val="single"/>
                  <w:sz w:val="14"/>
                </w:rPr>
                <w:t>48. Касательный конус и сингулярный сектор</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OP_8_7" w:history="1">
              <w:r>
                <w:rPr>
                  <w:color w:val="2F75B5"/>
                  <w:u w:val="single"/>
                  <w:sz w:val="14"/>
                </w:rPr>
                <w:t>T2-PROP-8.7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Предложение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Cone-to-tangent inclusion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w:t>
            </w:r>
          </w:p>
        </w:tc>
        <w:tc>
          <w:tcPr>
            <w:tcW w:type="dxa" w:w="2551"/>
            <w:vAlign w:val="center"/>
            <w:tcMar>
              <w:top w:w="80" w:type="dxa"/>
              <w:start w:w="100" w:type="dxa"/>
              <w:bottom w:w="80" w:type="dxa"/>
              <w:end w:w="100" w:type="dxa"/>
            </w:tcMar>
          </w:tcPr>
          <w:p>
            <w:pPr>
              <w:spacing w:before="0" w:after="0" w:line="240" w:lineRule="auto"/>
            </w:pPr>
            <w:hyperlink w:anchor="h_883" w:history="1">
              <w:r>
                <w:rPr>
                  <w:color w:val="2F75B5"/>
                  <w:u w:val="single"/>
                  <w:sz w:val="14"/>
                </w:rPr>
                <w:t>48. Касательный конус и сингулярный сектор</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10" w:history="1">
              <w:r>
                <w:rPr>
                  <w:color w:val="2F75B5"/>
                  <w:u w:val="single"/>
                  <w:sz w:val="14"/>
                </w:rPr>
                <w:t>T2-DEF-8.10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Ambient operation space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892" w:history="1">
              <w:r>
                <w:rPr>
                  <w:color w:val="2F75B5"/>
                  <w:u w:val="single"/>
                  <w:sz w:val="14"/>
                </w:rPr>
                <w:t>49. Линеаризация пространства операций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11" w:history="1">
              <w:r>
                <w:rPr>
                  <w:color w:val="2F75B5"/>
                  <w:u w:val="single"/>
                  <w:sz w:val="14"/>
                </w:rPr>
                <w:t>T2-DEF-8.11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Linearized structure space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892" w:history="1">
              <w:r>
                <w:rPr>
                  <w:color w:val="2F75B5"/>
                  <w:u w:val="single"/>
                  <w:sz w:val="14"/>
                </w:rPr>
                <w:t>49. Линеаризация пространства операций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8_12" w:history="1">
              <w:r>
                <w:rPr>
                  <w:color w:val="2F75B5"/>
                  <w:u w:val="single"/>
                  <w:sz w:val="14"/>
                </w:rPr>
                <w:t>T2-THM-8.12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Differential of the associator map</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892" w:history="1">
              <w:r>
                <w:rPr>
                  <w:color w:val="2F75B5"/>
                  <w:u w:val="single"/>
                  <w:sz w:val="14"/>
                </w:rPr>
                <w:t>49. Линеаризация пространства операций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8_13" w:history="1">
              <w:r>
                <w:rPr>
                  <w:color w:val="2F75B5"/>
                  <w:u w:val="single"/>
                  <w:sz w:val="14"/>
                </w:rPr>
                <w:t>T2-COR-8.13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Associative tangent equation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CL/THM</w:t>
            </w:r>
          </w:p>
        </w:tc>
        <w:tc>
          <w:tcPr>
            <w:tcW w:type="dxa" w:w="2551"/>
            <w:vAlign w:val="center"/>
            <w:tcMar>
              <w:top w:w="80" w:type="dxa"/>
              <w:start w:w="100" w:type="dxa"/>
              <w:bottom w:w="80" w:type="dxa"/>
              <w:end w:w="100" w:type="dxa"/>
            </w:tcMar>
          </w:tcPr>
          <w:p>
            <w:pPr>
              <w:spacing w:before="0" w:after="0" w:line="240" w:lineRule="auto"/>
            </w:pPr>
            <w:hyperlink w:anchor="h_892" w:history="1">
              <w:r>
                <w:rPr>
                  <w:color w:val="2F75B5"/>
                  <w:u w:val="single"/>
                  <w:sz w:val="14"/>
                </w:rPr>
                <w:t>49. Линеаризация пространства операций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14" w:history="1">
              <w:r>
                <w:rPr>
                  <w:color w:val="2F75B5"/>
                  <w:u w:val="single"/>
                  <w:sz w:val="14"/>
                </w:rPr>
                <w:t>T2-DEF-8.14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Gauge differential</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892" w:history="1">
              <w:r>
                <w:rPr>
                  <w:color w:val="2F75B5"/>
                  <w:u w:val="single"/>
                  <w:sz w:val="14"/>
                </w:rPr>
                <w:t>49. Линеаризация пространства операций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8_15" w:history="1">
              <w:r>
                <w:rPr>
                  <w:color w:val="2F75B5"/>
                  <w:u w:val="single"/>
                  <w:sz w:val="14"/>
                </w:rPr>
                <w:t>T2-THM-8.15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Stabilizer-derivation identity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892" w:history="1">
              <w:r>
                <w:rPr>
                  <w:color w:val="2F75B5"/>
                  <w:u w:val="single"/>
                  <w:sz w:val="14"/>
                </w:rPr>
                <w:t>49. Линеаризация пространства операций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16" w:history="1">
              <w:r>
                <w:rPr>
                  <w:color w:val="2F75B5"/>
                  <w:u w:val="single"/>
                  <w:sz w:val="14"/>
                </w:rPr>
                <w:t>T2-DEF-8.16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Reduced tangent space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892" w:history="1">
              <w:r>
                <w:rPr>
                  <w:color w:val="2F75B5"/>
                  <w:u w:val="single"/>
                  <w:sz w:val="14"/>
                </w:rPr>
                <w:t>49. Линеаризация пространства операций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17" w:history="1">
              <w:r>
                <w:rPr>
                  <w:color w:val="2F75B5"/>
                  <w:u w:val="single"/>
                  <w:sz w:val="14"/>
                </w:rPr>
                <w:t>T2-DEF-8.17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Tangent complex</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909" w:history="1">
              <w:r>
                <w:rPr>
                  <w:color w:val="2F75B5"/>
                  <w:u w:val="single"/>
                  <w:sz w:val="14"/>
                </w:rPr>
                <w:t>50. Касательный комплекс и кокасательная двойственность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8_18" w:history="1">
              <w:r>
                <w:rPr>
                  <w:color w:val="2F75B5"/>
                  <w:u w:val="single"/>
                  <w:sz w:val="14"/>
                </w:rPr>
                <w:t>T2-THM-8.18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Absence of canonical self-duality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CL/THM</w:t>
            </w:r>
          </w:p>
        </w:tc>
        <w:tc>
          <w:tcPr>
            <w:tcW w:type="dxa" w:w="2551"/>
            <w:vAlign w:val="center"/>
            <w:tcMar>
              <w:top w:w="80" w:type="dxa"/>
              <w:start w:w="100" w:type="dxa"/>
              <w:bottom w:w="80" w:type="dxa"/>
              <w:end w:w="100" w:type="dxa"/>
            </w:tcMar>
          </w:tcPr>
          <w:p>
            <w:pPr>
              <w:spacing w:before="0" w:after="0" w:line="240" w:lineRule="auto"/>
            </w:pPr>
            <w:hyperlink w:anchor="h_909" w:history="1">
              <w:r>
                <w:rPr>
                  <w:color w:val="2F75B5"/>
                  <w:u w:val="single"/>
                  <w:sz w:val="14"/>
                </w:rPr>
                <w:t>50. Касательный комплекс и кокасательная двойственность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8_19" w:history="1">
              <w:r>
                <w:rPr>
                  <w:color w:val="2F75B5"/>
                  <w:u w:val="single"/>
                  <w:sz w:val="14"/>
                </w:rPr>
                <w:t>T2-COR-8.19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NAPG duality boundary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THM/COND</w:t>
            </w:r>
          </w:p>
        </w:tc>
        <w:tc>
          <w:tcPr>
            <w:tcW w:type="dxa" w:w="2551"/>
            <w:vAlign w:val="center"/>
            <w:tcMar>
              <w:top w:w="80" w:type="dxa"/>
              <w:start w:w="100" w:type="dxa"/>
              <w:bottom w:w="80" w:type="dxa"/>
              <w:end w:w="100" w:type="dxa"/>
            </w:tcMar>
          </w:tcPr>
          <w:p>
            <w:pPr>
              <w:spacing w:before="0" w:after="0" w:line="240" w:lineRule="auto"/>
            </w:pPr>
            <w:hyperlink w:anchor="h_909" w:history="1">
              <w:r>
                <w:rPr>
                  <w:color w:val="2F75B5"/>
                  <w:u w:val="single"/>
                  <w:sz w:val="14"/>
                </w:rPr>
                <w:t>50. Касательный комплекс и кокасательная двойственность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20" w:history="1">
              <w:r>
                <w:rPr>
                  <w:color w:val="2F75B5"/>
                  <w:u w:val="single"/>
                  <w:sz w:val="14"/>
                </w:rPr>
                <w:t>T2-DEF-8.20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Second-order admissibility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917" w:history="1">
              <w:r>
                <w:rPr>
                  <w:color w:val="2F75B5"/>
                  <w:u w:val="single"/>
                  <w:sz w:val="14"/>
                </w:rPr>
                <w:t>51. Второй порядок и интегрируемость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8_21" w:history="1">
              <w:r>
                <w:rPr>
                  <w:color w:val="2F75B5"/>
                  <w:u w:val="single"/>
                  <w:sz w:val="14"/>
                </w:rPr>
                <w:t>T2-THM-8.21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First-order is not integrability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917" w:history="1">
              <w:r>
                <w:rPr>
                  <w:color w:val="2F75B5"/>
                  <w:u w:val="single"/>
                  <w:sz w:val="14"/>
                </w:rPr>
                <w:t>51. Второй порядок и интегрируемость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23" w:history="1">
              <w:r>
                <w:rPr>
                  <w:color w:val="2F75B5"/>
                  <w:u w:val="single"/>
                  <w:sz w:val="14"/>
                </w:rPr>
                <w:t>T2-DEF-8.23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Formally smooth point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926" w:history="1">
              <w:r>
                <w:rPr>
                  <w:color w:val="2F75B5"/>
                  <w:u w:val="single"/>
                  <w:sz w:val="14"/>
                </w:rPr>
                <w:t>52. Область гладкости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24" w:history="1">
              <w:r>
                <w:rPr>
                  <w:color w:val="2F75B5"/>
                  <w:u w:val="single"/>
                  <w:sz w:val="14"/>
                </w:rPr>
                <w:t>T2-DEF-8.24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Finite-dimensional regular sector</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926" w:history="1">
              <w:r>
                <w:rPr>
                  <w:color w:val="2F75B5"/>
                  <w:u w:val="single"/>
                  <w:sz w:val="14"/>
                </w:rPr>
                <w:t>52. Область гладкости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26" w:history="1">
              <w:r>
                <w:rPr>
                  <w:color w:val="2F75B5"/>
                  <w:u w:val="single"/>
                  <w:sz w:val="14"/>
                </w:rPr>
                <w:t>T2-DEF-8.26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Linearization horizon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926" w:history="1">
              <w:r>
                <w:rPr>
                  <w:color w:val="2F75B5"/>
                  <w:u w:val="single"/>
                  <w:sz w:val="14"/>
                </w:rPr>
                <w:t>52. Область гладкости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8_27" w:history="1">
              <w:r>
                <w:rPr>
                  <w:color w:val="2F75B5"/>
                  <w:u w:val="single"/>
                  <w:sz w:val="14"/>
                </w:rPr>
                <w:t>T2-THM-8.27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Local constancy outside the horizon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926" w:history="1">
              <w:r>
                <w:rPr>
                  <w:color w:val="2F75B5"/>
                  <w:u w:val="single"/>
                  <w:sz w:val="14"/>
                </w:rPr>
                <w:t>52. Область гладкости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8_28" w:history="1">
              <w:r>
                <w:rPr>
                  <w:color w:val="2F75B5"/>
                  <w:u w:val="single"/>
                  <w:sz w:val="14"/>
                </w:rPr>
                <w:t>T2-THM-8.28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Differential of cross-ratio</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937" w:history="1">
              <w:r>
                <w:rPr>
                  <w:color w:val="2F75B5"/>
                  <w:u w:val="single"/>
                  <w:sz w:val="14"/>
                </w:rPr>
                <w:t>53. Дифференциал проективно-гармонической координаты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8_29" w:history="1">
              <w:r>
                <w:rPr>
                  <w:color w:val="2F75B5"/>
                  <w:u w:val="single"/>
                  <w:sz w:val="14"/>
                </w:rPr>
                <w:t>T2-COR-8.29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Tangent to the harmonic locus</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THM/COND</w:t>
            </w:r>
          </w:p>
        </w:tc>
        <w:tc>
          <w:tcPr>
            <w:tcW w:type="dxa" w:w="2551"/>
            <w:vAlign w:val="center"/>
            <w:tcMar>
              <w:top w:w="80" w:type="dxa"/>
              <w:start w:w="100" w:type="dxa"/>
              <w:bottom w:w="80" w:type="dxa"/>
              <w:end w:w="100" w:type="dxa"/>
            </w:tcMar>
          </w:tcPr>
          <w:p>
            <w:pPr>
              <w:spacing w:before="0" w:after="0" w:line="240" w:lineRule="auto"/>
            </w:pPr>
            <w:hyperlink w:anchor="h_937" w:history="1">
              <w:r>
                <w:rPr>
                  <w:color w:val="2F75B5"/>
                  <w:u w:val="single"/>
                  <w:sz w:val="14"/>
                </w:rPr>
                <w:t>53. Дифференциал проективно-гармонической координаты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30" w:history="1">
              <w:r>
                <w:rPr>
                  <w:color w:val="2F75B5"/>
                  <w:u w:val="single"/>
                  <w:sz w:val="14"/>
                </w:rPr>
                <w:t>T2-DEF-8.30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Smooth harmonic risk</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937" w:history="1">
              <w:r>
                <w:rPr>
                  <w:color w:val="2F75B5"/>
                  <w:u w:val="single"/>
                  <w:sz w:val="14"/>
                </w:rPr>
                <w:t>53. Дифференциал проективно-гармонической координаты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8_31" w:history="1">
              <w:r>
                <w:rPr>
                  <w:color w:val="2F75B5"/>
                  <w:u w:val="single"/>
                  <w:sz w:val="14"/>
                </w:rPr>
                <w:t>T2-THM-8.31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First-order blindness at exact harmony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937" w:history="1">
              <w:r>
                <w:rPr>
                  <w:color w:val="2F75B5"/>
                  <w:u w:val="single"/>
                  <w:sz w:val="14"/>
                </w:rPr>
                <w:t>53. Дифференциал проективно-гармонической координаты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32" w:history="1">
              <w:r>
                <w:rPr>
                  <w:color w:val="2F75B5"/>
                  <w:u w:val="single"/>
                  <w:sz w:val="14"/>
                </w:rPr>
                <w:t>T2-DEF-8.32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Structural constraint map</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946" w:history="1">
              <w:r>
                <w:rPr>
                  <w:color w:val="2F75B5"/>
                  <w:u w:val="single"/>
                  <w:sz w:val="14"/>
                </w:rPr>
                <w:t>54. Локальный предсказательный конус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8_33" w:history="1">
              <w:r>
                <w:rPr>
                  <w:color w:val="2F75B5"/>
                  <w:u w:val="single"/>
                  <w:sz w:val="14"/>
                </w:rPr>
                <w:t>T2-DEF-8.33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Integrable predictive direction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946" w:history="1">
              <w:r>
                <w:rPr>
                  <w:color w:val="2F75B5"/>
                  <w:u w:val="single"/>
                  <w:sz w:val="14"/>
                </w:rPr>
                <w:t>54. Локальный предсказательный конус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8_34" w:history="1">
              <w:r>
                <w:rPr>
                  <w:color w:val="2F75B5"/>
                  <w:u w:val="single"/>
                  <w:sz w:val="14"/>
                </w:rPr>
                <w:t>T2-THM-8.34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Tangent-safe predictive transport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946" w:history="1">
              <w:r>
                <w:rPr>
                  <w:color w:val="2F75B5"/>
                  <w:u w:val="single"/>
                  <w:sz w:val="14"/>
                </w:rPr>
                <w:t>54. Локальный предсказательный конус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8_35" w:history="1">
              <w:r>
                <w:rPr>
                  <w:color w:val="2F75B5"/>
                  <w:u w:val="single"/>
                  <w:sz w:val="14"/>
                </w:rPr>
                <w:t>T2-THM-8.35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No-event from tangent data alone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946" w:history="1">
              <w:r>
                <w:rPr>
                  <w:color w:val="2F75B5"/>
                  <w:u w:val="single"/>
                  <w:sz w:val="14"/>
                </w:rPr>
                <w:t>54. Локальный предсказательный конус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1" w:history="1">
              <w:r>
                <w:rPr>
                  <w:color w:val="2F75B5"/>
                  <w:u w:val="single"/>
                  <w:sz w:val="14"/>
                </w:rPr>
                <w:t>T2-DEF-9.1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Алгебраическое NAPG-расслоение.[DEF-A] Пусть X - гладкий сектор пакетного многообразия, π:A→X - конечномерное векторное расслоение над полем K, а μ∈Γ(Hom(A⊗A,A)) - гладкое поле бил</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02" w:history="1">
              <w:r>
                <w:rPr>
                  <w:color w:val="2F75B5"/>
                  <w:u w:val="single"/>
                  <w:sz w:val="14"/>
                </w:rPr>
                <w:t>59. Типизированная NAPG-связность и D-допустимые пути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2" w:history="1">
              <w:r>
                <w:rPr>
                  <w:color w:val="2F75B5"/>
                  <w:u w:val="single"/>
                  <w:sz w:val="14"/>
                </w:rPr>
                <w:t>T2-DEF-9.2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D-допустимая категория путей.[DEF-A] Обозначим P_D(X) категорию, объектами которой являются точки X, а морфизмами - кусочно C¹-пути γ, удовлетворяющие Dom-ограничениям и снабжённые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02" w:history="1">
              <w:r>
                <w:rPr>
                  <w:color w:val="2F75B5"/>
                  <w:u w:val="single"/>
                  <w:sz w:val="14"/>
                </w:rPr>
                <w:t>59. Типизированная NAPG-связность и D-допустимые пути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3" w:history="1">
              <w:r>
                <w:rPr>
                  <w:color w:val="2F75B5"/>
                  <w:u w:val="single"/>
                  <w:sz w:val="14"/>
                </w:rPr>
                <w:t>T2-DEF-9.3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NAPG-связность.[DEF-A] Связностью на A называется K-линейный оператор ∇:Γ(A)→Ω¹(X;A), удовлетворяющий правилу Лейбница по скалярам: ∇(fs)=df⊗s+f∇s</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02" w:history="1">
              <w:r>
                <w:rPr>
                  <w:color w:val="2F75B5"/>
                  <w:u w:val="single"/>
                  <w:sz w:val="14"/>
                </w:rPr>
                <w:t>59. Типизированная NAPG-связность и D-допустимые пути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4" w:history="1">
              <w:r>
                <w:rPr>
                  <w:color w:val="2F75B5"/>
                  <w:u w:val="single"/>
                  <w:sz w:val="14"/>
                </w:rPr>
                <w:t>T2-DEF-9.4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Параллельный перенос.[CL/DEF-A] Для γ:[0,1]→X оператор P_γ:A_{γ(0)}→A_{γ(1)} определяется решением ∇_{γ̇}s=0</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CL/DEF-A</w:t>
            </w:r>
          </w:p>
        </w:tc>
        <w:tc>
          <w:tcPr>
            <w:tcW w:type="dxa" w:w="2551"/>
            <w:vAlign w:val="center"/>
            <w:tcMar>
              <w:top w:w="80" w:type="dxa"/>
              <w:start w:w="100" w:type="dxa"/>
              <w:bottom w:w="80" w:type="dxa"/>
              <w:end w:w="100" w:type="dxa"/>
            </w:tcMar>
          </w:tcPr>
          <w:p>
            <w:pPr>
              <w:spacing w:before="0" w:after="0" w:line="240" w:lineRule="auto"/>
            </w:pPr>
            <w:hyperlink w:anchor="h_1002" w:history="1">
              <w:r>
                <w:rPr>
                  <w:color w:val="2F75B5"/>
                  <w:u w:val="single"/>
                  <w:sz w:val="14"/>
                </w:rPr>
                <w:t>59. Типизированная NAPG-связность и D-допустимые пути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5" w:history="1">
              <w:r>
                <w:rPr>
                  <w:color w:val="2F75B5"/>
                  <w:u w:val="single"/>
                  <w:sz w:val="14"/>
                </w:rPr>
                <w:t>T2-THM-9.5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Ассоциативность композиции переносов.[THM] Если γ₁:x→y и γ₂:y→z допустимы, то P_{γ₂*γ₁}=P_{γ₂}∘P_{γ₁}</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002" w:history="1">
              <w:r>
                <w:rPr>
                  <w:color w:val="2F75B5"/>
                  <w:u w:val="single"/>
                  <w:sz w:val="14"/>
                </w:rPr>
                <w:t>59. Типизированная NAPG-связность и D-допустимые пути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9_6" w:history="1">
              <w:r>
                <w:rPr>
                  <w:color w:val="2F75B5"/>
                  <w:u w:val="single"/>
                  <w:sz w:val="14"/>
                </w:rPr>
                <w:t>T2-COR-9.6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Первый no-go.[THM] Hol_D не может быть буквально отождествлена с Ass_⊙: Hol_D состоит из линейных автоморфизмов волокна, тогда как Ass_⊙ является тернарным отображением A_x³→A_x</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002" w:history="1">
              <w:r>
                <w:rPr>
                  <w:color w:val="2F75B5"/>
                  <w:u w:val="single"/>
                  <w:sz w:val="14"/>
                </w:rPr>
                <w:t>59. Типизированная NAPG-связность и D-допустимые пути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7" w:history="1">
              <w:r>
                <w:rPr>
                  <w:color w:val="2F75B5"/>
                  <w:u w:val="single"/>
                  <w:sz w:val="14"/>
                </w:rPr>
                <w:t>T2-DEF-9.7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Кривизна.[CL] Для векторных полей X,Y положим R_∇(X,Y)=[∇_X,∇_Y]-∇_[X,Y]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w:t>
            </w:r>
          </w:p>
        </w:tc>
        <w:tc>
          <w:tcPr>
            <w:tcW w:type="dxa" w:w="2551"/>
            <w:vAlign w:val="center"/>
            <w:tcMar>
              <w:top w:w="80" w:type="dxa"/>
              <w:start w:w="100" w:type="dxa"/>
              <w:bottom w:w="80" w:type="dxa"/>
              <w:end w:w="100" w:type="dxa"/>
            </w:tcMar>
          </w:tcPr>
          <w:p>
            <w:pPr>
              <w:spacing w:before="0" w:after="0" w:line="240" w:lineRule="auto"/>
            </w:pPr>
            <w:hyperlink w:anchor="h_1017" w:history="1">
              <w:r>
                <w:rPr>
                  <w:color w:val="2F75B5"/>
                  <w:u w:val="single"/>
                  <w:sz w:val="14"/>
                </w:rPr>
                <w:t>60. Кривизна, малые контуры и D-голономия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8" w:history="1">
              <w:r>
                <w:rPr>
                  <w:color w:val="2F75B5"/>
                  <w:u w:val="single"/>
                  <w:sz w:val="14"/>
                </w:rPr>
                <w:t>T2-DEF-9.8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Малоконтурный сертификат.[DEF-A] Пусть □_ε(X,Y) - ориентированный малый прямоугольный контур, целиком лежащий в D-допустимом секторе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17" w:history="1">
              <w:r>
                <w:rPr>
                  <w:color w:val="2F75B5"/>
                  <w:u w:val="single"/>
                  <w:sz w:val="14"/>
                </w:rPr>
                <w:t>60. Кривизна, малые контуры и D-голономия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9" w:history="1">
              <w:r>
                <w:rPr>
                  <w:color w:val="2F75B5"/>
                  <w:u w:val="single"/>
                  <w:sz w:val="14"/>
                </w:rPr>
                <w:t>T2-THM-9.9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Малый контур локализует кривизну.[CL/THM] Для C²-связности P_{□_ε}=Id-ε²R_∇(X,Y)+O(ε³) в фиксированном соглашении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CL/THM</w:t>
            </w:r>
          </w:p>
        </w:tc>
        <w:tc>
          <w:tcPr>
            <w:tcW w:type="dxa" w:w="2551"/>
            <w:vAlign w:val="center"/>
            <w:tcMar>
              <w:top w:w="80" w:type="dxa"/>
              <w:start w:w="100" w:type="dxa"/>
              <w:bottom w:w="80" w:type="dxa"/>
              <w:end w:w="100" w:type="dxa"/>
            </w:tcMar>
          </w:tcPr>
          <w:p>
            <w:pPr>
              <w:spacing w:before="0" w:after="0" w:line="240" w:lineRule="auto"/>
            </w:pPr>
            <w:hyperlink w:anchor="h_1017" w:history="1">
              <w:r>
                <w:rPr>
                  <w:color w:val="2F75B5"/>
                  <w:u w:val="single"/>
                  <w:sz w:val="14"/>
                </w:rPr>
                <w:t>60. Кривизна, малые контуры и D-голономия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10" w:history="1">
              <w:r>
                <w:rPr>
                  <w:color w:val="2F75B5"/>
                  <w:u w:val="single"/>
                  <w:sz w:val="14"/>
                </w:rPr>
                <w:t>T2-DEF-9.10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D-голономия.[DEF-A] Для x∈X положим Hol_D(x)={P_γ | γ - D-допустимая петля в x}</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17" w:history="1">
              <w:r>
                <w:rPr>
                  <w:color w:val="2F75B5"/>
                  <w:u w:val="single"/>
                  <w:sz w:val="14"/>
                </w:rPr>
                <w:t>60. Кривизна, малые контуры и D-голономия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OP_9_11" w:history="1">
              <w:r>
                <w:rPr>
                  <w:color w:val="2F75B5"/>
                  <w:u w:val="single"/>
                  <w:sz w:val="14"/>
                </w:rPr>
                <w:t>T2-PROP-9.11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Предложение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Смена базовой точки.[THM] Для допустимого пути η:x→y выполняется Hol_D(y)=P_η Hol_D(x) P_η⁻¹, если конъюгирование сохраняет класс D-допустимых петель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017" w:history="1">
              <w:r>
                <w:rPr>
                  <w:color w:val="2F75B5"/>
                  <w:u w:val="single"/>
                  <w:sz w:val="14"/>
                </w:rPr>
                <w:t>60. Кривизна, малые контуры и D-голономия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12" w:history="1">
              <w:r>
                <w:rPr>
                  <w:color w:val="2F75B5"/>
                  <w:u w:val="single"/>
                  <w:sz w:val="14"/>
                </w:rPr>
                <w:t>T2-THM-9.12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Ambrose-Singer, классический слой.[CL] Для обычной гладкой связности алгебра ограниченной голономии порождается параллельно перенесёнными значениями кривизны</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w:t>
            </w:r>
          </w:p>
        </w:tc>
        <w:tc>
          <w:tcPr>
            <w:tcW w:type="dxa" w:w="2551"/>
            <w:vAlign w:val="center"/>
            <w:tcMar>
              <w:top w:w="80" w:type="dxa"/>
              <w:start w:w="100" w:type="dxa"/>
              <w:bottom w:w="80" w:type="dxa"/>
              <w:end w:w="100" w:type="dxa"/>
            </w:tcMar>
          </w:tcPr>
          <w:p>
            <w:pPr>
              <w:spacing w:before="0" w:after="0" w:line="240" w:lineRule="auto"/>
            </w:pPr>
            <w:hyperlink w:anchor="h_1017" w:history="1">
              <w:r>
                <w:rPr>
                  <w:color w:val="2F75B5"/>
                  <w:u w:val="single"/>
                  <w:sz w:val="14"/>
                </w:rPr>
                <w:t>60. Кривизна, малые контуры и D-голономия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HYP_9_13" w:history="1">
              <w:r>
                <w:rPr>
                  <w:color w:val="2F75B5"/>
                  <w:u w:val="single"/>
                  <w:sz w:val="14"/>
                </w:rPr>
                <w:t>T2-HYP-9.13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Гипотеза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D-Ambrose-Singer bridge.[COND/OPEN] Если D-допустимые пути образуют регулярную управляемую систему, локально содержат необходимые малые прямоугольники и устойчивы относительно тран</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COND/OPEN</w:t>
            </w:r>
          </w:p>
        </w:tc>
        <w:tc>
          <w:tcPr>
            <w:tcW w:type="dxa" w:w="2551"/>
            <w:vAlign w:val="center"/>
            <w:tcMar>
              <w:top w:w="80" w:type="dxa"/>
              <w:start w:w="100" w:type="dxa"/>
              <w:bottom w:w="80" w:type="dxa"/>
              <w:end w:w="100" w:type="dxa"/>
            </w:tcMar>
          </w:tcPr>
          <w:p>
            <w:pPr>
              <w:spacing w:before="0" w:after="0" w:line="240" w:lineRule="auto"/>
            </w:pPr>
            <w:hyperlink w:anchor="h_1017" w:history="1">
              <w:r>
                <w:rPr>
                  <w:color w:val="2F75B5"/>
                  <w:u w:val="single"/>
                  <w:sz w:val="14"/>
                </w:rPr>
                <w:t>60. Кривизна, малые контуры и D-голономия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14" w:history="1">
              <w:r>
                <w:rPr>
                  <w:color w:val="2F75B5"/>
                  <w:u w:val="single"/>
                  <w:sz w:val="14"/>
                </w:rPr>
                <w:t>T2-DEF-9.14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Дефект произведения.[DEF-A] Для X∈TX и локальных сечений a,b определим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31" w:history="1">
              <w:r>
                <w:rPr>
                  <w:color w:val="2F75B5"/>
                  <w:u w:val="single"/>
                  <w:sz w:val="14"/>
                </w:rPr>
                <w:t>61. Совместимость связности с пакетным умножением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15" w:history="1">
              <w:r>
                <w:rPr>
                  <w:color w:val="2F75B5"/>
                  <w:u w:val="single"/>
                  <w:sz w:val="14"/>
                </w:rPr>
                <w:t>T2-DEF-9.15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Product-compatible connection.[DEF-A] Связность совместима с ⊙, если C_∇=0</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31" w:history="1">
              <w:r>
                <w:rPr>
                  <w:color w:val="2F75B5"/>
                  <w:u w:val="single"/>
                  <w:sz w:val="14"/>
                </w:rPr>
                <w:t>61. Совместимость связности с пакетным умножением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16" w:history="1">
              <w:r>
                <w:rPr>
                  <w:color w:val="2F75B5"/>
                  <w:u w:val="single"/>
                  <w:sz w:val="14"/>
                </w:rPr>
                <w:t>T2-THM-9.16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Перенос сохраняет произведение.[THM] На связном D-секторе C_∇=0 тогда и только тогда, когда каждый допустимый параллельный перенос является гомоморфизмом волоконных алгебр</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031" w:history="1">
              <w:r>
                <w:rPr>
                  <w:color w:val="2F75B5"/>
                  <w:u w:val="single"/>
                  <w:sz w:val="14"/>
                </w:rPr>
                <w:t>61. Совместимость связности с пакетным умножением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9_17" w:history="1">
              <w:r>
                <w:rPr>
                  <w:color w:val="2F75B5"/>
                  <w:u w:val="single"/>
                  <w:sz w:val="14"/>
                </w:rPr>
                <w:t>T2-COR-9.17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Голономное сохранение структуры.[THM] Если C_∇=0, то Hol_D(x)⊂Aut(A_x,⊙_x)</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031" w:history="1">
              <w:r>
                <w:rPr>
                  <w:color w:val="2F75B5"/>
                  <w:u w:val="single"/>
                  <w:sz w:val="14"/>
                </w:rPr>
                <w:t>61. Совместимость связности с пакетным умножением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18" w:history="1">
              <w:r>
                <w:rPr>
                  <w:color w:val="2F75B5"/>
                  <w:u w:val="single"/>
                  <w:sz w:val="14"/>
                </w:rPr>
                <w:t>T2-DEF-9.18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Multiplication holonomy defect.[DEF-A] Для пути γ:x→y положим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31" w:history="1">
              <w:r>
                <w:rPr>
                  <w:color w:val="2F75B5"/>
                  <w:u w:val="single"/>
                  <w:sz w:val="14"/>
                </w:rPr>
                <w:t>61. Совместимость связности с пакетным умножением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19" w:history="1">
              <w:r>
                <w:rPr>
                  <w:color w:val="2F75B5"/>
                  <w:u w:val="single"/>
                  <w:sz w:val="14"/>
                </w:rPr>
                <w:t>T2-DEF-9.19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Associator holonomy defect.[DEF-A] Для тройки a,b,c∈A_x положим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31" w:history="1">
              <w:r>
                <w:rPr>
                  <w:color w:val="2F75B5"/>
                  <w:u w:val="single"/>
                  <w:sz w:val="14"/>
                </w:rPr>
                <w:t>61. Совместимость связности с пакетным умножением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20" w:history="1">
              <w:r>
                <w:rPr>
                  <w:color w:val="2F75B5"/>
                  <w:u w:val="single"/>
                  <w:sz w:val="14"/>
                </w:rPr>
                <w:t>T2-THM-9.20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Производная ассоциатора через C_∇.[THM] Для индуцированной связности на Hom(A⊗³,A) справедливо</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047" w:history="1">
              <w:r>
                <w:rPr>
                  <w:color w:val="2F75B5"/>
                  <w:u w:val="single"/>
                  <w:sz w:val="14"/>
                </w:rPr>
                <w:t>62. Ковариантная производная и ассоциаторная кривизна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9_21" w:history="1">
              <w:r>
                <w:rPr>
                  <w:color w:val="2F75B5"/>
                  <w:u w:val="single"/>
                  <w:sz w:val="14"/>
                </w:rPr>
                <w:t>T2-COR-9.21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C_∇=0 ⇒ ∇Ass=0 ⇒ H_Ass(γ)=0 для всех допустимых путей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047" w:history="1">
              <w:r>
                <w:rPr>
                  <w:color w:val="2F75B5"/>
                  <w:u w:val="single"/>
                  <w:sz w:val="14"/>
                </w:rPr>
                <w:t>62. Ковариантная производная и ассоциаторная кривизна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22" w:history="1">
              <w:r>
                <w:rPr>
                  <w:color w:val="2F75B5"/>
                  <w:u w:val="single"/>
                  <w:sz w:val="14"/>
                </w:rPr>
                <w:t>T2-DEF-9.22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 xml:space="preserve">Ассоциаторная кривизна Курпишева в строгом внутреннем смысле.[DEF-A] В v0.7 термином K_Ass обозначается не обычная кривизна и не сам ассоциатор, а действие кривизны индуцированной </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47" w:history="1">
              <w:r>
                <w:rPr>
                  <w:color w:val="2F75B5"/>
                  <w:u w:val="single"/>
                  <w:sz w:val="14"/>
                </w:rPr>
                <w:t>62. Ковариантная производная и ассоциаторная кривизна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23" w:history="1">
              <w:r>
                <w:rPr>
                  <w:color w:val="2F75B5"/>
                  <w:u w:val="single"/>
                  <w:sz w:val="14"/>
                </w:rPr>
                <w:t>T2-THM-9.23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Необходимое условие параллельности.[THM] Если ∇Ass=0, то K_Ass=0</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047" w:history="1">
              <w:r>
                <w:rPr>
                  <w:color w:val="2F75B5"/>
                  <w:u w:val="single"/>
                  <w:sz w:val="14"/>
                </w:rPr>
                <w:t>62. Ковариантная производная и ассоциаторная кривизна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25" w:history="1">
              <w:r>
                <w:rPr>
                  <w:color w:val="2F75B5"/>
                  <w:u w:val="single"/>
                  <w:sz w:val="14"/>
                </w:rPr>
                <w:t>T2-DEF-9.25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Полный bridge package.[DEF-A] Ассоциаторно-голономный мост хранится как четвёрка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47" w:history="1">
              <w:r>
                <w:rPr>
                  <w:color w:val="2F75B5"/>
                  <w:u w:val="single"/>
                  <w:sz w:val="14"/>
                </w:rPr>
                <w:t>62. Ковариантная производная и ассоциаторная кривизна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26" w:history="1">
              <w:r>
                <w:rPr>
                  <w:color w:val="2F75B5"/>
                  <w:u w:val="single"/>
                  <w:sz w:val="14"/>
                </w:rPr>
                <w:t>T2-THM-9.26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Holonomy principle.[CL/THM]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CL/THM</w:t>
            </w:r>
          </w:p>
        </w:tc>
        <w:tc>
          <w:tcPr>
            <w:tcW w:type="dxa" w:w="2551"/>
            <w:vAlign w:val="center"/>
            <w:tcMar>
              <w:top w:w="80" w:type="dxa"/>
              <w:start w:w="100" w:type="dxa"/>
              <w:bottom w:w="80" w:type="dxa"/>
              <w:end w:w="100" w:type="dxa"/>
            </w:tcMar>
          </w:tcPr>
          <w:p>
            <w:pPr>
              <w:spacing w:before="0" w:after="0" w:line="240" w:lineRule="auto"/>
            </w:pPr>
            <w:hyperlink w:anchor="h_1047" w:history="1">
              <w:r>
                <w:rPr>
                  <w:color w:val="2F75B5"/>
                  <w:u w:val="single"/>
                  <w:sz w:val="14"/>
                </w:rPr>
                <w:t>62. Ковариантная производная и ассоциаторная кривизна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32" w:history="1">
              <w:r>
                <w:rPr>
                  <w:color w:val="2F75B5"/>
                  <w:u w:val="single"/>
                  <w:sz w:val="14"/>
                </w:rPr>
                <w:t>T2-THM-9.32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Universal-equality no-go.[THM] На классе всех алгебраических расслоений не существует универсального тождества, определяющего R_∇ или Hol_D только по Ass_⊙, и не существует обратно</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066" w:history="1">
              <w:r>
                <w:rPr>
                  <w:color w:val="2F75B5"/>
                  <w:u w:val="single"/>
                  <w:sz w:val="14"/>
                </w:rPr>
                <w:t>63. Контрмодели и нетривиальная совместимая модель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33" w:history="1">
              <w:r>
                <w:rPr>
                  <w:color w:val="2F75B5"/>
                  <w:u w:val="single"/>
                  <w:sz w:val="14"/>
                </w:rPr>
                <w:t>T2-DEF-9.33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 xml:space="preserve">Akivis-алгебра.[CL] Векторное пространство V с антисимметричной бинарной операцией [x,y] и тернарной операцией (x,y,z) называется Akivis-алгеброй, если якобиатор бинарной операции </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w:t>
            </w:r>
          </w:p>
        </w:tc>
        <w:tc>
          <w:tcPr>
            <w:tcW w:type="dxa" w:w="2551"/>
            <w:vAlign w:val="center"/>
            <w:tcMar>
              <w:top w:w="80" w:type="dxa"/>
              <w:start w:w="100" w:type="dxa"/>
              <w:bottom w:w="80" w:type="dxa"/>
              <w:end w:w="100" w:type="dxa"/>
            </w:tcMar>
          </w:tcPr>
          <w:p>
            <w:pPr>
              <w:spacing w:before="0" w:after="0" w:line="240" w:lineRule="auto"/>
            </w:pPr>
            <w:hyperlink w:anchor="h_1079" w:history="1">
              <w:r>
                <w:rPr>
                  <w:color w:val="2F75B5"/>
                  <w:u w:val="single"/>
                  <w:sz w:val="14"/>
                </w:rPr>
                <w:t>64. Akivis/Sabinin-мост и его доказательные обязательства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34" w:history="1">
              <w:r>
                <w:rPr>
                  <w:color w:val="2F75B5"/>
                  <w:u w:val="single"/>
                  <w:sz w:val="14"/>
                </w:rPr>
                <w:t>T2-DEF-9.34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Bridge datum β.[DEF-A] Мостом от волоконной NAPG-алгебры к локальной Akivis-структуре называется семейство линейных карт J_x:A_x→T_xX или в более общем случае функтор β_x между тер</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79" w:history="1">
              <w:r>
                <w:rPr>
                  <w:color w:val="2F75B5"/>
                  <w:u w:val="single"/>
                  <w:sz w:val="14"/>
                </w:rPr>
                <w:t>64. Akivis/Sabinin-мост и его доказательные обязательства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36" w:history="1">
              <w:r>
                <w:rPr>
                  <w:color w:val="2F75B5"/>
                  <w:u w:val="single"/>
                  <w:sz w:val="14"/>
                </w:rPr>
                <w:t>T2-DEF-9.36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D-holonomy signature.[DEF-A] Для параметра t определим сигнатуру</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90" w:history="1">
              <w:r>
                <w:rPr>
                  <w:color w:val="2F75B5"/>
                  <w:u w:val="single"/>
                  <w:sz w:val="14"/>
                </w:rPr>
                <w:t>65. Голономные инварианты предсказательного метода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37" w:history="1">
              <w:r>
                <w:rPr>
                  <w:color w:val="2F75B5"/>
                  <w:u w:val="single"/>
                  <w:sz w:val="14"/>
                </w:rPr>
                <w:t>T2-DEF-9.37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Конечный голономный сертификат.[DEF-A] Выбирается конечное семейство D-допустимых путей η_j и ковариантных производных кривизны до порядка 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90" w:history="1">
              <w:r>
                <w:rPr>
                  <w:color w:val="2F75B5"/>
                  <w:u w:val="single"/>
                  <w:sz w:val="14"/>
                </w:rPr>
                <w:t>65. Голономные инварианты предсказательного метода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38" w:history="1">
              <w:r>
                <w:rPr>
                  <w:color w:val="2F75B5"/>
                  <w:u w:val="single"/>
                  <w:sz w:val="14"/>
                </w:rPr>
                <w:t>T2-THM-9.38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Локальная постоянность конечного ранга.[THM] Если элементы G_N(t) аналитичны и некоторый максимальный r×r minor не обращается в нуль на интервале I, то rank G_N(t)=r на I</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090" w:history="1">
              <w:r>
                <w:rPr>
                  <w:color w:val="2F75B5"/>
                  <w:u w:val="single"/>
                  <w:sz w:val="14"/>
                </w:rPr>
                <w:t>65. Голономные инварианты предсказательного метода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40" w:history="1">
              <w:r>
                <w:rPr>
                  <w:color w:val="2F75B5"/>
                  <w:u w:val="single"/>
                  <w:sz w:val="14"/>
                </w:rPr>
                <w:t>T2-DEF-9.40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 xml:space="preserve">Голономный горизонт.[DEF-A] Обозначим Δ_Hol,N объединение параметров, где: меняется категория P_D; исчезает transport existence; все выбранные максимальные minors G_N обращаются в </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090" w:history="1">
              <w:r>
                <w:rPr>
                  <w:color w:val="2F75B5"/>
                  <w:u w:val="single"/>
                  <w:sz w:val="14"/>
                </w:rPr>
                <w:t>65. Голономные инварианты предсказательного метода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41" w:history="1">
              <w:r>
                <w:rPr>
                  <w:color w:val="2F75B5"/>
                  <w:u w:val="single"/>
                  <w:sz w:val="14"/>
                </w:rPr>
                <w:t>T2-THM-9.41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Negative holonomy prediction.[COND] Если семейство аналитично, сертификат G_N полон и стабилизирован, путь параметров не пересекает Δ_conn, а D/Dom и калибровочная категория неизме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1090" w:history="1">
              <w:r>
                <w:rPr>
                  <w:color w:val="2F75B5"/>
                  <w:u w:val="single"/>
                  <w:sz w:val="14"/>
                </w:rPr>
                <w:t>65. Голономные инварианты предсказательного метода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42" w:history="1">
              <w:r>
                <w:rPr>
                  <w:color w:val="2F75B5"/>
                  <w:u w:val="single"/>
                  <w:sz w:val="14"/>
                </w:rPr>
                <w:t>T2-THM-9.42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Common-projective transport invariance.[THM] Пусть четыре точки Reper ρ=(r,i,u,d) переносятся одним и тем же PGL₂-преобразованием g_t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103" w:history="1">
              <w:r>
                <w:rPr>
                  <w:color w:val="2F75B5"/>
                  <w:u w:val="single"/>
                  <w:sz w:val="14"/>
                </w:rPr>
                <w:t>66. Проективный перенос Reper и невозможность изменения λ общим PGL₂-движением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9_43" w:history="1">
              <w:r>
                <w:rPr>
                  <w:color w:val="2F75B5"/>
                  <w:u w:val="single"/>
                  <w:sz w:val="14"/>
                </w:rPr>
                <w:t>T2-COR-9.43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Relative-transport necessity.[THM] Если наблюдается dλ/dt≠0 вне полюсов, то скорости r,i,u,d не могут быть одновременно порождены одним инфинитезимальным полем sl₂ на P¹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103" w:history="1">
              <w:r>
                <w:rPr>
                  <w:color w:val="2F75B5"/>
                  <w:u w:val="single"/>
                  <w:sz w:val="14"/>
                </w:rPr>
                <w:t>66. Проективный перенос Reper и невозможность изменения λ общим PGL₂-движением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9_44" w:history="1">
              <w:r>
                <w:rPr>
                  <w:color w:val="2F75B5"/>
                  <w:u w:val="single"/>
                  <w:sz w:val="14"/>
                </w:rPr>
                <w:t>T2-DEF-9.44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Relative Reper connection.[DEF-A] На четырёх копиях проективного расслоения допускаются связности ∇^r,∇^i,∇^u,∇^d</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103" w:history="1">
              <w:r>
                <w:rPr>
                  <w:color w:val="2F75B5"/>
                  <w:u w:val="single"/>
                  <w:sz w:val="14"/>
                </w:rPr>
                <w:t>66. Проективный перенос Reper и невозможность изменения λ общим PGL₂-движением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9_46" w:history="1">
              <w:r>
                <w:rPr>
                  <w:color w:val="2F75B5"/>
                  <w:u w:val="single"/>
                  <w:sz w:val="14"/>
                </w:rPr>
                <w:t>T2-THM-9.46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Holonomy-associator-safe predictive theorem.[COND] Рассмотрим параметрическое семейство (A_t,⊙_t,∇_t,ρ_t,D_t) на интервале I</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1110" w:history="1">
              <w:r>
                <w:rPr>
                  <w:color w:val="2F75B5"/>
                  <w:u w:val="single"/>
                  <w:sz w:val="14"/>
                </w:rPr>
                <w:t>67. Главная условная теорема v0.7</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1" w:history="1">
              <w:r>
                <w:rPr>
                  <w:color w:val="2F75B5"/>
                  <w:u w:val="single"/>
                  <w:sz w:val="14"/>
                </w:rPr>
                <w:t>T2-DEF-10.1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Внутренние пакетные формы.[DEF-A] Пусть X - допустимый гладкий или стратифицированный сектор</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170" w:history="1">
              <w:r>
                <w:rPr>
                  <w:color w:val="2F75B5"/>
                  <w:u w:val="single"/>
                  <w:sz w:val="14"/>
                </w:rPr>
                <w:t>71. Замороженная нотация и четыре типа операторов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2" w:history="1">
              <w:r>
                <w:rPr>
                  <w:color w:val="2F75B5"/>
                  <w:u w:val="single"/>
                  <w:sz w:val="14"/>
                </w:rPr>
                <w:t>T2-DEF-10.2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Внутренний differential candidate.[DEF-A] Оператор d_N степени +1 задаётся как семейство частичных линейных отображений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170" w:history="1">
              <w:r>
                <w:rPr>
                  <w:color w:val="2F75B5"/>
                  <w:u w:val="single"/>
                  <w:sz w:val="14"/>
                </w:rPr>
                <w:t>71. Замороженная нотация и четыре типа операторов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3" w:history="1">
              <w:r>
                <w:rPr>
                  <w:color w:val="2F75B5"/>
                  <w:u w:val="single"/>
                  <w:sz w:val="14"/>
                </w:rPr>
                <w:t>T2-DEF-10.3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Внешний E-оператор.[DEF-A/COND] Внешний слой записывается отдельно: δ_E^q:E^q→E^{q+1}</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DEF-A/COND</w:t>
            </w:r>
          </w:p>
        </w:tc>
        <w:tc>
          <w:tcPr>
            <w:tcW w:type="dxa" w:w="2551"/>
            <w:vAlign w:val="center"/>
            <w:tcMar>
              <w:top w:w="80" w:type="dxa"/>
              <w:start w:w="100" w:type="dxa"/>
              <w:bottom w:w="80" w:type="dxa"/>
              <w:end w:w="100" w:type="dxa"/>
            </w:tcMar>
          </w:tcPr>
          <w:p>
            <w:pPr>
              <w:spacing w:before="0" w:after="0" w:line="240" w:lineRule="auto"/>
            </w:pPr>
            <w:hyperlink w:anchor="h_1170" w:history="1">
              <w:r>
                <w:rPr>
                  <w:color w:val="2F75B5"/>
                  <w:u w:val="single"/>
                  <w:sz w:val="14"/>
                </w:rPr>
                <w:t>71. Замороженная нотация и четыре типа операторов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4" w:history="1">
              <w:r>
                <w:rPr>
                  <w:color w:val="2F75B5"/>
                  <w:u w:val="single"/>
                  <w:sz w:val="14"/>
                </w:rPr>
                <w:t>T2-DEF-10.4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Hodge-операторы.[CL/DEF-A] На ориентированном метрическом n-мерном секторе Hodge star обозначается ⋆_Hdg</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CL/DEF-A</w:t>
            </w:r>
          </w:p>
        </w:tc>
        <w:tc>
          <w:tcPr>
            <w:tcW w:type="dxa" w:w="2551"/>
            <w:vAlign w:val="center"/>
            <w:tcMar>
              <w:top w:w="80" w:type="dxa"/>
              <w:start w:w="100" w:type="dxa"/>
              <w:bottom w:w="80" w:type="dxa"/>
              <w:end w:w="100" w:type="dxa"/>
            </w:tcMar>
          </w:tcPr>
          <w:p>
            <w:pPr>
              <w:spacing w:before="0" w:after="0" w:line="240" w:lineRule="auto"/>
            </w:pPr>
            <w:hyperlink w:anchor="h_1170" w:history="1">
              <w:r>
                <w:rPr>
                  <w:color w:val="2F75B5"/>
                  <w:u w:val="single"/>
                  <w:sz w:val="14"/>
                </w:rPr>
                <w:t>71. Замороженная нотация и четыре типа операторов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INC_10_5" w:history="1">
              <w:r>
                <w:rPr>
                  <w:color w:val="2F75B5"/>
                  <w:u w:val="single"/>
                  <w:sz w:val="14"/>
                </w:rPr>
                <w:t>T2-PRINC-10.5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Принцип</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Notation firewall.[THM/PROTOCOL] Любая формула, где δ, δ_Hdg и d_N взаимозаменяются без явной карты, получает blocker NOTATION-COLLISION и не допускается к proof-status</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THM/PROTOCOL</w:t>
            </w:r>
          </w:p>
        </w:tc>
        <w:tc>
          <w:tcPr>
            <w:tcW w:type="dxa" w:w="2551"/>
            <w:vAlign w:val="center"/>
            <w:tcMar>
              <w:top w:w="80" w:type="dxa"/>
              <w:start w:w="100" w:type="dxa"/>
              <w:bottom w:w="80" w:type="dxa"/>
              <w:end w:w="100" w:type="dxa"/>
            </w:tcMar>
          </w:tcPr>
          <w:p>
            <w:pPr>
              <w:spacing w:before="0" w:after="0" w:line="240" w:lineRule="auto"/>
            </w:pPr>
            <w:hyperlink w:anchor="h_1170" w:history="1">
              <w:r>
                <w:rPr>
                  <w:color w:val="2F75B5"/>
                  <w:u w:val="single"/>
                  <w:sz w:val="14"/>
                </w:rPr>
                <w:t>71. Замороженная нотация и четыре типа операторов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6" w:history="1">
              <w:r>
                <w:rPr>
                  <w:color w:val="2F75B5"/>
                  <w:u w:val="single"/>
                  <w:sz w:val="14"/>
                </w:rPr>
                <w:t>T2-DEF-10.6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Degree-compatible product.[DEF-A] Пусть ⊙:Ω_N^p×Ω_N^q→Ω_N^{p+q} является билинейной операцией на admissible domain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181" w:history="1">
              <w:r>
                <w:rPr>
                  <w:color w:val="2F75B5"/>
                  <w:u w:val="single"/>
                  <w:sz w:val="14"/>
                </w:rPr>
                <w:t>72. Graded Leibniz calculus и дефект дифференцирования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7" w:history="1">
              <w:r>
                <w:rPr>
                  <w:color w:val="2F75B5"/>
                  <w:u w:val="single"/>
                  <w:sz w:val="14"/>
                </w:rPr>
                <w:t>T2-DEF-10.7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Graded derivation.[CL/DEF-A] Оператор d_N является градуированной деривацией степени +1, если L_d=0 на всей заявленной области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CL/DEF-A</w:t>
            </w:r>
          </w:p>
        </w:tc>
        <w:tc>
          <w:tcPr>
            <w:tcW w:type="dxa" w:w="2551"/>
            <w:vAlign w:val="center"/>
            <w:tcMar>
              <w:top w:w="80" w:type="dxa"/>
              <w:start w:w="100" w:type="dxa"/>
              <w:bottom w:w="80" w:type="dxa"/>
              <w:end w:w="100" w:type="dxa"/>
            </w:tcMar>
          </w:tcPr>
          <w:p>
            <w:pPr>
              <w:spacing w:before="0" w:after="0" w:line="240" w:lineRule="auto"/>
            </w:pPr>
            <w:hyperlink w:anchor="h_1181" w:history="1">
              <w:r>
                <w:rPr>
                  <w:color w:val="2F75B5"/>
                  <w:u w:val="single"/>
                  <w:sz w:val="14"/>
                </w:rPr>
                <w:t>72. Graded Leibniz calculus и дефект дифференцирования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10_8" w:history="1">
              <w:r>
                <w:rPr>
                  <w:color w:val="2F75B5"/>
                  <w:u w:val="single"/>
                  <w:sz w:val="14"/>
                </w:rPr>
                <w:t>T2-LEM-10.8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Значение на единице.[THM] В унитальном секторе характеристики, отличной от 2, graded Leibniz identity влечёт d_N(1)=0</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181" w:history="1">
              <w:r>
                <w:rPr>
                  <w:color w:val="2F75B5"/>
                  <w:u w:val="single"/>
                  <w:sz w:val="14"/>
                </w:rPr>
                <w:t>72. Graded Leibniz calculus и дефект дифференцирования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0_9" w:history="1">
              <w:r>
                <w:rPr>
                  <w:color w:val="2F75B5"/>
                  <w:u w:val="single"/>
                  <w:sz w:val="14"/>
                </w:rPr>
                <w:t>T2-THM-10.9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Замкнутость дериваций.[THM] Пусть D и E - однородные graded derivations степеней |D| и |E| на возможно неассоциативной градуированной алгебре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181" w:history="1">
              <w:r>
                <w:rPr>
                  <w:color w:val="2F75B5"/>
                  <w:u w:val="single"/>
                  <w:sz w:val="14"/>
                </w:rPr>
                <w:t>72. Graded Leibniz calculus и дефект дифференцирования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10_10" w:history="1">
              <w:r>
                <w:rPr>
                  <w:color w:val="2F75B5"/>
                  <w:u w:val="single"/>
                  <w:sz w:val="14"/>
                </w:rPr>
                <w:t>T2-COR-10.10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Квадрат нечётной деривации.[THM] При char(K)≠2 для |d_N|=1 имеем [d_N,d_N]=2d_N²</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181" w:history="1">
              <w:r>
                <w:rPr>
                  <w:color w:val="2F75B5"/>
                  <w:u w:val="single"/>
                  <w:sz w:val="14"/>
                </w:rPr>
                <w:t>72. Graded Leibniz calculus и дефект дифференцирования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0_11" w:history="1">
              <w:r>
                <w:rPr>
                  <w:color w:val="2F75B5"/>
                  <w:u w:val="single"/>
                  <w:sz w:val="14"/>
                </w:rPr>
                <w:t>T2-THM-10.11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Associator Leibniz identity.[THM] Если d_N является graded derivation степени +1, то для однородных α,β,γ</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181" w:history="1">
              <w:r>
                <w:rPr>
                  <w:color w:val="2F75B5"/>
                  <w:u w:val="single"/>
                  <w:sz w:val="14"/>
                </w:rPr>
                <w:t>72. Graded Leibniz calculus и дефект дифференцирования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10_12" w:history="1">
              <w:r>
                <w:rPr>
                  <w:color w:val="2F75B5"/>
                  <w:u w:val="single"/>
                  <w:sz w:val="14"/>
                </w:rPr>
                <w:t>T2-COR-10.12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Если d_N является derivation и Ass=0, ассоциативный сектор устойчив относительно d_N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181" w:history="1">
              <w:r>
                <w:rPr>
                  <w:color w:val="2F75B5"/>
                  <w:u w:val="single"/>
                  <w:sz w:val="14"/>
                </w:rPr>
                <w:t>72. Graded Leibniz calculus и дефект дифференцирования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13" w:history="1">
              <w:r>
                <w:rPr>
                  <w:color w:val="2F75B5"/>
                  <w:u w:val="single"/>
                  <w:sz w:val="14"/>
                </w:rPr>
                <w:t>T2-DEF-10.13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Кривизна differential candidate.[DEF-A] Для graded derivation d_N степени +1 определим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198" w:history="1">
              <w:r>
                <w:rPr>
                  <w:color w:val="2F75B5"/>
                  <w:u w:val="single"/>
                  <w:sz w:val="14"/>
                </w:rPr>
                <w:t>73. Почему d²=0 не является автоматическим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10_14" w:history="1">
              <w:r>
                <w:rPr>
                  <w:color w:val="2F75B5"/>
                  <w:u w:val="single"/>
                  <w:sz w:val="14"/>
                </w:rPr>
                <w:t>T2-LEM-10.14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Bianchi identity в операторной форме.[THM] Для Ω_d=d_N² выполнено [d_N,Ω_d]=0, поскольку d_N³-d_N³=0</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198" w:history="1">
              <w:r>
                <w:rPr>
                  <w:color w:val="2F75B5"/>
                  <w:u w:val="single"/>
                  <w:sz w:val="14"/>
                </w:rPr>
                <w:t>73. Почему d²=0 не является автоматическим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15" w:history="1">
              <w:r>
                <w:rPr>
                  <w:color w:val="2F75B5"/>
                  <w:u w:val="single"/>
                  <w:sz w:val="14"/>
                </w:rPr>
                <w:t>T2-DEF-10.15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Precomplex и complex.[DEF-A] Последовательность Ω_N^p --d_N^p→ Ω_N^{p+1} называется precomplex после проверки типов</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198" w:history="1">
              <w:r>
                <w:rPr>
                  <w:color w:val="2F75B5"/>
                  <w:u w:val="single"/>
                  <w:sz w:val="14"/>
                </w:rPr>
                <w:t>73. Почему d²=0 не является автоматическим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20" w:history="1">
              <w:r>
                <w:rPr>
                  <w:color w:val="2F75B5"/>
                  <w:u w:val="single"/>
                  <w:sz w:val="14"/>
                </w:rPr>
                <w:t>T2-DEF-10.20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Локальный оператор.[DEF-A] Семейство d_U:Ω_N^p(U)→Ω_N^{p+1}(U) называется локальным, если для V⊂U</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220" w:history="1">
              <w:r>
                <w:rPr>
                  <w:color w:val="2F75B5"/>
                  <w:u w:val="single"/>
                  <w:sz w:val="14"/>
                </w:rPr>
                <w:t>74. Локальность, ограничения и склейка дифференциалов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10_21" w:history="1">
              <w:r>
                <w:rPr>
                  <w:color w:val="2F75B5"/>
                  <w:u w:val="single"/>
                  <w:sz w:val="14"/>
                </w:rPr>
                <w:t>T2-LEM-10.21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Support nonincrease.[THM] Для sheaf-local operator supp(dα)⊂supp(α)</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220" w:history="1">
              <w:r>
                <w:rPr>
                  <w:color w:val="2F75B5"/>
                  <w:u w:val="single"/>
                  <w:sz w:val="14"/>
                </w:rPr>
                <w:t>74. Локальность, ограничения и склейка дифференциалов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0_22" w:history="1">
              <w:r>
                <w:rPr>
                  <w:color w:val="2F75B5"/>
                  <w:u w:val="single"/>
                  <w:sz w:val="14"/>
                </w:rPr>
                <w:t>T2-THM-10.22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Gluing of local differentials.[THM] Пусть {U_i} покрывает X, d_i - локальные degree +1 operators и g_ij - переходы NAPG-расслоения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220" w:history="1">
              <w:r>
                <w:rPr>
                  <w:color w:val="2F75B5"/>
                  <w:u w:val="single"/>
                  <w:sz w:val="14"/>
                </w:rPr>
                <w:t>74. Локальность, ограничения и склейка дифференциалов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23" w:history="1">
              <w:r>
                <w:rPr>
                  <w:color w:val="2F75B5"/>
                  <w:u w:val="single"/>
                  <w:sz w:val="14"/>
                </w:rPr>
                <w:t>T2-DEF-10.23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Gluing defect.[DEF-A] На пересечениях положим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220" w:history="1">
              <w:r>
                <w:rPr>
                  <w:color w:val="2F75B5"/>
                  <w:u w:val="single"/>
                  <w:sz w:val="14"/>
                </w:rPr>
                <w:t>74. Локальность, ограничения и склейка дифференциалов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25" w:history="1">
              <w:r>
                <w:rPr>
                  <w:color w:val="2F75B5"/>
                  <w:u w:val="single"/>
                  <w:sz w:val="14"/>
                </w:rPr>
                <w:t>T2-DEF-10.25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Bigraded bridge object.[DEF-A/COND] Пусть B^{p,q}=Ω_N^p⊗E^q</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DEF-A/COND</w:t>
            </w:r>
          </w:p>
        </w:tc>
        <w:tc>
          <w:tcPr>
            <w:tcW w:type="dxa" w:w="2551"/>
            <w:vAlign w:val="center"/>
            <w:tcMar>
              <w:top w:w="80" w:type="dxa"/>
              <w:start w:w="100" w:type="dxa"/>
              <w:bottom w:w="80" w:type="dxa"/>
              <w:end w:w="100" w:type="dxa"/>
            </w:tcMar>
          </w:tcPr>
          <w:p>
            <w:pPr>
              <w:spacing w:before="0" w:after="0" w:line="240" w:lineRule="auto"/>
            </w:pPr>
            <w:hyperlink w:anchor="h_1233" w:history="1">
              <w:r>
                <w:rPr>
                  <w:color w:val="2F75B5"/>
                  <w:u w:val="single"/>
                  <w:sz w:val="14"/>
                </w:rPr>
                <w:t>75. Внутренний и внешний слои: total operator и mixed defect</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0_26" w:history="1">
              <w:r>
                <w:rPr>
                  <w:color w:val="2F75B5"/>
                  <w:u w:val="single"/>
                  <w:sz w:val="14"/>
                </w:rPr>
                <w:t>T2-THM-10.26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Разложение квадрата.[THM] При фиксированной convention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233" w:history="1">
              <w:r>
                <w:rPr>
                  <w:color w:val="2F75B5"/>
                  <w:u w:val="single"/>
                  <w:sz w:val="14"/>
                </w:rPr>
                <w:t>75. Внутренний и внешний слои: total operator и mixed defect</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28" w:history="1">
              <w:r>
                <w:rPr>
                  <w:color w:val="2F75B5"/>
                  <w:u w:val="single"/>
                  <w:sz w:val="14"/>
                </w:rPr>
                <w:t>T2-DEF-10.28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Differential bridge certificate.[DEF-A] Для Π_E:O_B→H³(E^•) требуется пакет</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233" w:history="1">
              <w:r>
                <w:rPr>
                  <w:color w:val="2F75B5"/>
                  <w:u w:val="single"/>
                  <w:sz w:val="14"/>
                </w:rPr>
                <w:t>75. Внутренний и внешний слои: total operator и mixed defect</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30" w:history="1">
              <w:r>
                <w:rPr>
                  <w:color w:val="2F75B5"/>
                  <w:u w:val="single"/>
                  <w:sz w:val="14"/>
                </w:rPr>
                <w:t>T2-DEF-10.30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Hodge sector.[CL/COND] Пусть U является ориентированным n-мерным гладким сектором с невырожденной метрикой g и допустимой мерой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CL/COND</w:t>
            </w:r>
          </w:p>
        </w:tc>
        <w:tc>
          <w:tcPr>
            <w:tcW w:type="dxa" w:w="2551"/>
            <w:vAlign w:val="center"/>
            <w:tcMar>
              <w:top w:w="80" w:type="dxa"/>
              <w:start w:w="100" w:type="dxa"/>
              <w:bottom w:w="80" w:type="dxa"/>
              <w:end w:w="100" w:type="dxa"/>
            </w:tcMar>
          </w:tcPr>
          <w:p>
            <w:pPr>
              <w:spacing w:before="0" w:after="0" w:line="240" w:lineRule="auto"/>
            </w:pPr>
            <w:hyperlink w:anchor="h_1246" w:history="1">
              <w:r>
                <w:rPr>
                  <w:color w:val="2F75B5"/>
                  <w:u w:val="single"/>
                  <w:sz w:val="14"/>
                </w:rPr>
                <w:t>76. Hodge-слой: кодифференциал и лапласиан без подмены обозначений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31" w:history="1">
              <w:r>
                <w:rPr>
                  <w:color w:val="2F75B5"/>
                  <w:u w:val="single"/>
                  <w:sz w:val="14"/>
                </w:rPr>
                <w:t>T2-DEF-10.31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Codifferential.[CL/COND] В выбранной римановой convention на p-формах</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CL/COND</w:t>
            </w:r>
          </w:p>
        </w:tc>
        <w:tc>
          <w:tcPr>
            <w:tcW w:type="dxa" w:w="2551"/>
            <w:vAlign w:val="center"/>
            <w:tcMar>
              <w:top w:w="80" w:type="dxa"/>
              <w:start w:w="100" w:type="dxa"/>
              <w:bottom w:w="80" w:type="dxa"/>
              <w:end w:w="100" w:type="dxa"/>
            </w:tcMar>
          </w:tcPr>
          <w:p>
            <w:pPr>
              <w:spacing w:before="0" w:after="0" w:line="240" w:lineRule="auto"/>
            </w:pPr>
            <w:hyperlink w:anchor="h_1246" w:history="1">
              <w:r>
                <w:rPr>
                  <w:color w:val="2F75B5"/>
                  <w:u w:val="single"/>
                  <w:sz w:val="14"/>
                </w:rPr>
                <w:t>76. Hodge-слой: кодифференциал и лапласиан без подмены обозначений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32" w:history="1">
              <w:r>
                <w:rPr>
                  <w:color w:val="2F75B5"/>
                  <w:u w:val="single"/>
                  <w:sz w:val="14"/>
                </w:rPr>
                <w:t>T2-DEF-10.32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Hodge Laplacian.[CL/COND]</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CL/COND</w:t>
            </w:r>
          </w:p>
        </w:tc>
        <w:tc>
          <w:tcPr>
            <w:tcW w:type="dxa" w:w="2551"/>
            <w:vAlign w:val="center"/>
            <w:tcMar>
              <w:top w:w="80" w:type="dxa"/>
              <w:start w:w="100" w:type="dxa"/>
              <w:bottom w:w="80" w:type="dxa"/>
              <w:end w:w="100" w:type="dxa"/>
            </w:tcMar>
          </w:tcPr>
          <w:p>
            <w:pPr>
              <w:spacing w:before="0" w:after="0" w:line="240" w:lineRule="auto"/>
            </w:pPr>
            <w:hyperlink w:anchor="h_1246" w:history="1">
              <w:r>
                <w:rPr>
                  <w:color w:val="2F75B5"/>
                  <w:u w:val="single"/>
                  <w:sz w:val="14"/>
                </w:rPr>
                <w:t>76. Hodge-слой: кодифференциал и лапласиан без подмены обозначений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0_33" w:history="1">
              <w:r>
                <w:rPr>
                  <w:color w:val="2F75B5"/>
                  <w:u w:val="single"/>
                  <w:sz w:val="14"/>
                </w:rPr>
                <w:t>T2-THM-10.33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Если d_N²=0 и ⋆_Hdg является корректным изоморфизмом указанного сектора, то δ_Hdg²=0</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246" w:history="1">
              <w:r>
                <w:rPr>
                  <w:color w:val="2F75B5"/>
                  <w:u w:val="single"/>
                  <w:sz w:val="14"/>
                </w:rPr>
                <w:t>76. Hodge-слой: кодифференциал и лапласиан без подмены обозначений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35" w:history="1">
              <w:r>
                <w:rPr>
                  <w:color w:val="2F75B5"/>
                  <w:u w:val="single"/>
                  <w:sz w:val="14"/>
                </w:rPr>
                <w:t>T2-DEF-10.35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Hodge transport defect.[DEF-A] Для перехода g_ij между картами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246" w:history="1">
              <w:r>
                <w:rPr>
                  <w:color w:val="2F75B5"/>
                  <w:u w:val="single"/>
                  <w:sz w:val="14"/>
                </w:rPr>
                <w:t>76. Hodge-слой: кодифференциал и лапласиан без подмены обозначений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36" w:history="1">
              <w:r>
                <w:rPr>
                  <w:color w:val="2F75B5"/>
                  <w:u w:val="single"/>
                  <w:sz w:val="14"/>
                </w:rPr>
                <w:t>T2-DEF-10.36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Formal-adjoint defect.[DEF-A] Если внутреннее произведение задано, положим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246" w:history="1">
              <w:r>
                <w:rPr>
                  <w:color w:val="2F75B5"/>
                  <w:u w:val="single"/>
                  <w:sz w:val="14"/>
                </w:rPr>
                <w:t>76. Hodge-слой: кодифференциал и лапласиан без подмены обозначений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37" w:history="1">
              <w:r>
                <w:rPr>
                  <w:color w:val="2F75B5"/>
                  <w:u w:val="single"/>
                  <w:sz w:val="14"/>
                </w:rPr>
                <w:t>T2-DEF-10.37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Differential Reper.[DEF-A] Операторный объект получает четвёрку</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263" w:history="1">
              <w:r>
                <w:rPr>
                  <w:color w:val="2F75B5"/>
                  <w:u w:val="single"/>
                  <w:sz w:val="14"/>
                </w:rPr>
                <w:t>77. Differential Reper и λ-гармония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38" w:history="1">
              <w:r>
                <w:rPr>
                  <w:color w:val="2F75B5"/>
                  <w:u w:val="single"/>
                  <w:sz w:val="14"/>
                </w:rPr>
                <w:t>T2-DEF-10.38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Differential defect vector.[DEF-A]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263" w:history="1">
              <w:r>
                <w:rPr>
                  <w:color w:val="2F75B5"/>
                  <w:u w:val="single"/>
                  <w:sz w:val="14"/>
                </w:rPr>
                <w:t>77. Differential Reper и λ-гармония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PRINC_10_39" w:history="1">
              <w:r>
                <w:rPr>
                  <w:color w:val="2F75B5"/>
                  <w:u w:val="single"/>
                  <w:sz w:val="14"/>
                </w:rPr>
                <w:t>T2-PRINC-10.39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Принцип</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Harmonic insufficiency.[THM/PROTOCOL] Условие λ=-1 не влечёт L_d=0, d_N²=0, локальность, gluing или Hodge compatibility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THM/PROTOCOL</w:t>
            </w:r>
          </w:p>
        </w:tc>
        <w:tc>
          <w:tcPr>
            <w:tcW w:type="dxa" w:w="2551"/>
            <w:vAlign w:val="center"/>
            <w:tcMar>
              <w:top w:w="80" w:type="dxa"/>
              <w:start w:w="100" w:type="dxa"/>
              <w:bottom w:w="80" w:type="dxa"/>
              <w:end w:w="100" w:type="dxa"/>
            </w:tcMar>
          </w:tcPr>
          <w:p>
            <w:pPr>
              <w:spacing w:before="0" w:after="0" w:line="240" w:lineRule="auto"/>
            </w:pPr>
            <w:hyperlink w:anchor="h_1263" w:history="1">
              <w:r>
                <w:rPr>
                  <w:color w:val="2F75B5"/>
                  <w:u w:val="single"/>
                  <w:sz w:val="14"/>
                </w:rPr>
                <w:t>77. Differential Reper и λ-гармония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40" w:history="1">
              <w:r>
                <w:rPr>
                  <w:color w:val="2F75B5"/>
                  <w:u w:val="single"/>
                  <w:sz w:val="14"/>
                </w:rPr>
                <w:t>T2-DEF-10.40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Relaxed differential candidate.[DEF-A] Для порогов τ,η</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263" w:history="1">
              <w:r>
                <w:rPr>
                  <w:color w:val="2F75B5"/>
                  <w:u w:val="single"/>
                  <w:sz w:val="14"/>
                </w:rPr>
                <w:t>77. Differential Reper и λ-гармония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41" w:history="1">
              <w:r>
                <w:rPr>
                  <w:color w:val="2F75B5"/>
                  <w:u w:val="single"/>
                  <w:sz w:val="14"/>
                </w:rPr>
                <w:t>T2-DEF-10.41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Finite differential signature.[DEF-A] Для конечномерного усечения степеней 0≤p≤m и параметра t положим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273" w:history="1">
              <w:r>
                <w:rPr>
                  <w:color w:val="2F75B5"/>
                  <w:u w:val="single"/>
                  <w:sz w:val="14"/>
                </w:rPr>
                <w:t>78. Дифференциальный переходный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0_42" w:history="1">
              <w:r>
                <w:rPr>
                  <w:color w:val="2F75B5"/>
                  <w:u w:val="single"/>
                  <w:sz w:val="14"/>
                </w:rPr>
                <w:t>T2-DEF-10.42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Differential horizon.[DEF-A] Δ_diff является объединением: нулевых множеств выбранных максимальных minors; точек изменения Dom; полюсов λ; точек, где certificate precision недостат</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273" w:history="1">
              <w:r>
                <w:rPr>
                  <w:color w:val="2F75B5"/>
                  <w:u w:val="single"/>
                  <w:sz w:val="14"/>
                </w:rPr>
                <w:t>78. Дифференциальный переходный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0_43" w:history="1">
              <w:r>
                <w:rPr>
                  <w:color w:val="2F75B5"/>
                  <w:u w:val="single"/>
                  <w:sz w:val="14"/>
                </w:rPr>
                <w:t>T2-THM-10.43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Rank constancy.[THM] Для аналитического конечномерного семейства на каждой связной компоненте I\Δ_diff ранги всех сертифицированных матриц постоянны</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273" w:history="1">
              <w:r>
                <w:rPr>
                  <w:color w:val="2F75B5"/>
                  <w:u w:val="single"/>
                  <w:sz w:val="14"/>
                </w:rPr>
                <w:t>78. Дифференциальный переходный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0_44" w:history="1">
              <w:r>
                <w:rPr>
                  <w:color w:val="2F75B5"/>
                  <w:u w:val="single"/>
                  <w:sz w:val="14"/>
                </w:rPr>
                <w:t>T2-THM-10.44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Differential negative prediction.[COND] Если полный certificate выполнен и параметрический путь не пересекает Δ_safe^{++}, то изменение сертифицированного differential-complex type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1273" w:history="1">
              <w:r>
                <w:rPr>
                  <w:color w:val="2F75B5"/>
                  <w:u w:val="single"/>
                  <w:sz w:val="14"/>
                </w:rPr>
                <w:t>78. Дифференциальный переходный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10_45" w:history="1">
              <w:r>
                <w:rPr>
                  <w:color w:val="2F75B5"/>
                  <w:u w:val="single"/>
                  <w:sz w:val="14"/>
                </w:rPr>
                <w:t>T2-COR-10.45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 Пересечение Δ_diff создаёт только candidate-transition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1273" w:history="1">
              <w:r>
                <w:rPr>
                  <w:color w:val="2F75B5"/>
                  <w:u w:val="single"/>
                  <w:sz w:val="14"/>
                </w:rPr>
                <w:t>78. Дифференциальный переходный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THM_10_46" w:history="1">
              <w:r>
                <w:rPr>
                  <w:color w:val="2F75B5"/>
                  <w:u w:val="single"/>
                  <w:sz w:val="14"/>
                </w:rPr>
                <w:t>T2-CTHM-10.46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Контртеорема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Triple independence.[THM] На классе моделей 10.16-10.24 свойства graded Leibniz, nilpotency и globalizability логически независимы попарно</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284" w:history="1">
              <w:r>
                <w:rPr>
                  <w:color w:val="2F75B5"/>
                  <w:u w:val="single"/>
                  <w:sz w:val="14"/>
                </w:rPr>
                <w:t>79. Разделяющие модели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0_47" w:history="1">
              <w:r>
                <w:rPr>
                  <w:color w:val="2F75B5"/>
                  <w:u w:val="single"/>
                  <w:sz w:val="14"/>
                </w:rPr>
                <w:t>T2-THM-10.47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Differential-calculus-safe predictive theorem.[COND] Рассмотрим семейство (Ω_t^•,⊙_t,d_t,δ_{E,t},⋆_t,ρ_t,D_t) на интервале I</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1287" w:history="1">
              <w:r>
                <w:rPr>
                  <w:color w:val="2F75B5"/>
                  <w:u w:val="single"/>
                  <w:sz w:val="14"/>
                </w:rPr>
                <w:t>80. Главная условная теорема v0.8</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2_1" w:history="1">
              <w:r>
                <w:rPr>
                  <w:color w:val="2F75B5"/>
                  <w:u w:val="single"/>
                  <w:sz w:val="14"/>
                </w:rPr>
                <w:t>T2-DEF-12.1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квадратичный кадр NAPG</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344" w:history="1">
              <w:r>
                <w:rPr>
                  <w:color w:val="2F75B5"/>
                  <w:u w:val="single"/>
                  <w:sz w:val="14"/>
                </w:rPr>
                <w:t>84. Definition Core: квадратичный кадр и минимальный комплекс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2_2" w:history="1">
              <w:r>
                <w:rPr>
                  <w:color w:val="2F75B5"/>
                  <w:u w:val="single"/>
                  <w:sz w:val="14"/>
                </w:rPr>
                <w:t>T2-DEF-12.2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внутренний минимальный комплекс</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THM/IMPORT</w:t>
            </w:r>
          </w:p>
        </w:tc>
        <w:tc>
          <w:tcPr>
            <w:tcW w:type="dxa" w:w="2551"/>
            <w:vAlign w:val="center"/>
            <w:tcMar>
              <w:top w:w="80" w:type="dxa"/>
              <w:start w:w="100" w:type="dxa"/>
              <w:bottom w:w="80" w:type="dxa"/>
              <w:end w:w="100" w:type="dxa"/>
            </w:tcMar>
          </w:tcPr>
          <w:p>
            <w:pPr>
              <w:spacing w:before="0" w:after="0" w:line="240" w:lineRule="auto"/>
            </w:pPr>
            <w:hyperlink w:anchor="h_1344" w:history="1">
              <w:r>
                <w:rPr>
                  <w:color w:val="2F75B5"/>
                  <w:u w:val="single"/>
                  <w:sz w:val="14"/>
                </w:rPr>
                <w:t>84. Definition Core: квадратичный кадр и минимальный комплекс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12_1" w:history="1">
              <w:r>
                <w:rPr>
                  <w:color w:val="2F75B5"/>
                  <w:u w:val="single"/>
                  <w:sz w:val="14"/>
                </w:rPr>
                <w:t>T2-LEM-12.1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нильпотентность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344" w:history="1">
              <w:r>
                <w:rPr>
                  <w:color w:val="2F75B5"/>
                  <w:u w:val="single"/>
                  <w:sz w:val="14"/>
                </w:rPr>
                <w:t>84. Definition Core: квадратичный кадр и минимальный комплекс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2_3" w:history="1">
              <w:r>
                <w:rPr>
                  <w:color w:val="2F75B5"/>
                  <w:u w:val="single"/>
                  <w:sz w:val="14"/>
                </w:rPr>
                <w:t>T2-DEF-12.3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каноническая карта в третью степень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THM/IMPORT</w:t>
            </w:r>
          </w:p>
        </w:tc>
        <w:tc>
          <w:tcPr>
            <w:tcW w:type="dxa" w:w="2551"/>
            <w:vAlign w:val="center"/>
            <w:tcMar>
              <w:top w:w="80" w:type="dxa"/>
              <w:start w:w="100" w:type="dxa"/>
              <w:bottom w:w="80" w:type="dxa"/>
              <w:end w:w="100" w:type="dxa"/>
            </w:tcMar>
          </w:tcPr>
          <w:p>
            <w:pPr>
              <w:spacing w:before="0" w:after="0" w:line="240" w:lineRule="auto"/>
            </w:pPr>
            <w:hyperlink w:anchor="h_1344" w:history="1">
              <w:r>
                <w:rPr>
                  <w:color w:val="2F75B5"/>
                  <w:u w:val="single"/>
                  <w:sz w:val="14"/>
                </w:rPr>
                <w:t>84. Definition Core: квадратичный кадр и минимальный комплекс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2_4" w:history="1">
              <w:r>
                <w:rPr>
                  <w:color w:val="2F75B5"/>
                  <w:u w:val="single"/>
                  <w:sz w:val="14"/>
                </w:rPr>
                <w:t>T2-DEF-12.4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класс препятствия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344" w:history="1">
              <w:r>
                <w:rPr>
                  <w:color w:val="2F75B5"/>
                  <w:u w:val="single"/>
                  <w:sz w:val="14"/>
                </w:rPr>
                <w:t>84. Definition Core: квадратичный кадр и минимальный комплекс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2" w:history="1">
              <w:r>
                <w:rPr>
                  <w:color w:val="2F75B5"/>
                  <w:u w:val="single"/>
                  <w:sz w:val="14"/>
                </w:rPr>
                <w:t>T2-THM-12.2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внутренние H² и H³</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363" w:history="1">
              <w:r>
                <w:rPr>
                  <w:color w:val="2F75B5"/>
                  <w:u w:val="single"/>
                  <w:sz w:val="14"/>
                </w:rPr>
                <w:t>85. Когомологии, точная последовательность и эйлеров инвариант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3" w:history="1">
              <w:r>
                <w:rPr>
                  <w:color w:val="2F75B5"/>
                  <w:u w:val="single"/>
                  <w:sz w:val="14"/>
                </w:rPr>
                <w:t>T2-THM-12.3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естественная точная последовательность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363" w:history="1">
              <w:r>
                <w:rPr>
                  <w:color w:val="2F75B5"/>
                  <w:u w:val="single"/>
                  <w:sz w:val="14"/>
                </w:rPr>
                <w:t>85. Когомологии, точная последовательность и эйлеров инвариант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12_3" w:history="1">
              <w:r>
                <w:rPr>
                  <w:color w:val="2F75B5"/>
                  <w:u w:val="single"/>
                  <w:sz w:val="14"/>
                </w:rPr>
                <w:t>T2-COR-12.3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 (конечномерный ранг)</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363" w:history="1">
              <w:r>
                <w:rPr>
                  <w:color w:val="2F75B5"/>
                  <w:u w:val="single"/>
                  <w:sz w:val="14"/>
                </w:rPr>
                <w:t>85. Когомологии, точная последовательность и эйлеров инвариант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4" w:history="1">
              <w:r>
                <w:rPr>
                  <w:color w:val="2F75B5"/>
                  <w:u w:val="single"/>
                  <w:sz w:val="14"/>
                </w:rPr>
                <w:t>T2-THM-12.4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функтор минимального комплекса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373" w:history="1">
              <w:r>
                <w:rPr>
                  <w:color w:val="2F75B5"/>
                  <w:u w:val="single"/>
                  <w:sz w:val="14"/>
                </w:rPr>
                <w:t>86. Функториальность и естественная каноничность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5" w:history="1">
              <w:r>
                <w:rPr>
                  <w:color w:val="2F75B5"/>
                  <w:u w:val="single"/>
                  <w:sz w:val="14"/>
                </w:rPr>
                <w:t>T2-THM-12.5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естественный изоморфизм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373" w:history="1">
              <w:r>
                <w:rPr>
                  <w:color w:val="2F75B5"/>
                  <w:u w:val="single"/>
                  <w:sz w:val="14"/>
                </w:rPr>
                <w:t>86. Функториальность и естественная каноничность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12_5" w:history="1">
              <w:r>
                <w:rPr>
                  <w:color w:val="2F75B5"/>
                  <w:u w:val="single"/>
                  <w:sz w:val="14"/>
                </w:rPr>
                <w:t>T2-COR-12.5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373" w:history="1">
              <w:r>
                <w:rPr>
                  <w:color w:val="2F75B5"/>
                  <w:u w:val="single"/>
                  <w:sz w:val="14"/>
                </w:rPr>
                <w:t>86. Функториальность и естественная каноничность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2_5" w:history="1">
              <w:r>
                <w:rPr>
                  <w:color w:val="2F75B5"/>
                  <w:u w:val="single"/>
                  <w:sz w:val="14"/>
                </w:rPr>
                <w:t>T2-DEF-12.5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подъём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381" w:history="1">
              <w:r>
                <w:rPr>
                  <w:color w:val="2F75B5"/>
                  <w:u w:val="single"/>
                  <w:sz w:val="14"/>
                </w:rPr>
                <w:t>87. Критерий подъёма и H²-торсор решений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6" w:history="1">
              <w:r>
                <w:rPr>
                  <w:color w:val="2F75B5"/>
                  <w:u w:val="single"/>
                  <w:sz w:val="14"/>
                </w:rPr>
                <w:t>T2-THM-12.6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полный внутренний критерий подъёма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381" w:history="1">
              <w:r>
                <w:rPr>
                  <w:color w:val="2F75B5"/>
                  <w:u w:val="single"/>
                  <w:sz w:val="14"/>
                </w:rPr>
                <w:t>87. Критерий подъёма и H²-торсор решений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7" w:history="1">
              <w:r>
                <w:rPr>
                  <w:color w:val="2F75B5"/>
                  <w:u w:val="single"/>
                  <w:sz w:val="14"/>
                </w:rPr>
                <w:t>T2-THM-12.7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торсор подъёмов</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381" w:history="1">
              <w:r>
                <w:rPr>
                  <w:color w:val="2F75B5"/>
                  <w:u w:val="single"/>
                  <w:sz w:val="14"/>
                </w:rPr>
                <w:t>87. Критерий подъёма и H²-торсор решений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8" w:history="1">
              <w:r>
                <w:rPr>
                  <w:color w:val="2F75B5"/>
                  <w:u w:val="single"/>
                  <w:sz w:val="14"/>
                </w:rPr>
                <w:t>T2-THM-12.8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универсальное продолжение в заданный комплекс</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394" w:history="1">
              <w:r>
                <w:rPr>
                  <w:color w:val="2F75B5"/>
                  <w:u w:val="single"/>
                  <w:sz w:val="14"/>
                </w:rPr>
                <w:t>88. Универсальное свойство двухчленного ядра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9" w:history="1">
              <w:r>
                <w:rPr>
                  <w:color w:val="2F75B5"/>
                  <w:u w:val="single"/>
                  <w:sz w:val="14"/>
                </w:rPr>
                <w:t>T2-THM-12.9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расширение поля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400" w:history="1">
              <w:r>
                <w:rPr>
                  <w:color w:val="2F75B5"/>
                  <w:u w:val="single"/>
                  <w:sz w:val="14"/>
                </w:rPr>
                <w:t>89. Base-change, прямые суммы и предел каноничности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10" w:history="1">
              <w:r>
                <w:rPr>
                  <w:color w:val="2F75B5"/>
                  <w:u w:val="single"/>
                  <w:sz w:val="14"/>
                </w:rPr>
                <w:t>T2-THM-12.10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блочно-диагональная аддитивность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400" w:history="1">
              <w:r>
                <w:rPr>
                  <w:color w:val="2F75B5"/>
                  <w:u w:val="single"/>
                  <w:sz w:val="14"/>
                </w:rPr>
                <w:t>89. Base-change, прямые суммы и предел каноничности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2_6" w:history="1">
              <w:r>
                <w:rPr>
                  <w:color w:val="2F75B5"/>
                  <w:u w:val="single"/>
                  <w:sz w:val="14"/>
                </w:rPr>
                <w:t>T2-DEF-12.6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ортогональный obstruction residual</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DEF-A/COMP</w:t>
            </w:r>
          </w:p>
        </w:tc>
        <w:tc>
          <w:tcPr>
            <w:tcW w:type="dxa" w:w="2551"/>
            <w:vAlign w:val="center"/>
            <w:tcMar>
              <w:top w:w="80" w:type="dxa"/>
              <w:start w:w="100" w:type="dxa"/>
              <w:bottom w:w="80" w:type="dxa"/>
              <w:end w:w="100" w:type="dxa"/>
            </w:tcMar>
          </w:tcPr>
          <w:p>
            <w:pPr>
              <w:spacing w:before="0" w:after="0" w:line="240" w:lineRule="auto"/>
            </w:pPr>
            <w:hyperlink w:anchor="h_1407" w:history="1">
              <w:r>
                <w:rPr>
                  <w:color w:val="2F75B5"/>
                  <w:u w:val="single"/>
                  <w:sz w:val="14"/>
                </w:rPr>
                <w:t>90. Канонический класс и неканонический численный остаток</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11" w:history="1">
              <w:r>
                <w:rPr>
                  <w:color w:val="2F75B5"/>
                  <w:u w:val="single"/>
                  <w:sz w:val="14"/>
                </w:rPr>
                <w:t>T2-THM-12.11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остаточный критерий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407" w:history="1">
              <w:r>
                <w:rPr>
                  <w:color w:val="2F75B5"/>
                  <w:u w:val="single"/>
                  <w:sz w:val="14"/>
                </w:rPr>
                <w:t>90. Канонический класс и неканонический численный остаток</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2_7" w:history="1">
              <w:r>
                <w:rPr>
                  <w:color w:val="2F75B5"/>
                  <w:u w:val="single"/>
                  <w:sz w:val="14"/>
                </w:rPr>
                <w:t>T2-DEF-12.7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нормированный индекс внутренней обструкции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DEF-A/DIAGNOSTIC</w:t>
            </w:r>
          </w:p>
        </w:tc>
        <w:tc>
          <w:tcPr>
            <w:tcW w:type="dxa" w:w="2551"/>
            <w:vAlign w:val="center"/>
            <w:tcMar>
              <w:top w:w="80" w:type="dxa"/>
              <w:start w:w="100" w:type="dxa"/>
              <w:bottom w:w="80" w:type="dxa"/>
              <w:end w:w="100" w:type="dxa"/>
            </w:tcMar>
          </w:tcPr>
          <w:p>
            <w:pPr>
              <w:spacing w:before="0" w:after="0" w:line="240" w:lineRule="auto"/>
            </w:pPr>
            <w:hyperlink w:anchor="h_1407" w:history="1">
              <w:r>
                <w:rPr>
                  <w:color w:val="2F75B5"/>
                  <w:u w:val="single"/>
                  <w:sz w:val="14"/>
                </w:rPr>
                <w:t>90. Канонический класс и неканонический численный остаток</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12" w:history="1">
              <w:r>
                <w:rPr>
                  <w:color w:val="2F75B5"/>
                  <w:u w:val="single"/>
                  <w:sz w:val="14"/>
                </w:rPr>
                <w:t>T2-THM-12.12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когомологические расслоения постоянного ранга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417" w:history="1">
              <w:r>
                <w:rPr>
                  <w:color w:val="2F75B5"/>
                  <w:u w:val="single"/>
                  <w:sz w:val="14"/>
                </w:rPr>
                <w:t>91. Аналитические семейства и obstruction section</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12_12" w:history="1">
              <w:r>
                <w:rPr>
                  <w:color w:val="2F75B5"/>
                  <w:u w:val="single"/>
                  <w:sz w:val="14"/>
                </w:rPr>
                <w:t>T2-COR-12.12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417" w:history="1">
              <w:r>
                <w:rPr>
                  <w:color w:val="2F75B5"/>
                  <w:u w:val="single"/>
                  <w:sz w:val="14"/>
                </w:rPr>
                <w:t>91. Аналитические семейства и obstruction section</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2_8" w:history="1">
              <w:r>
                <w:rPr>
                  <w:color w:val="2F75B5"/>
                  <w:u w:val="single"/>
                  <w:sz w:val="14"/>
                </w:rPr>
                <w:t>T2-DEF-12.8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внутренний переходный горизонт</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417" w:history="1">
              <w:r>
                <w:rPr>
                  <w:color w:val="2F75B5"/>
                  <w:u w:val="single"/>
                  <w:sz w:val="14"/>
                </w:rPr>
                <w:t>91. Аналитические семейства и obstruction section</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12_13" w:history="1">
              <w:r>
                <w:rPr>
                  <w:color w:val="2F75B5"/>
                  <w:u w:val="single"/>
                  <w:sz w:val="14"/>
                </w:rPr>
                <w:t>T2-LEM-12.13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оценка движения остатка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426" w:history="1">
              <w:r>
                <w:rPr>
                  <w:color w:val="2F75B5"/>
                  <w:u w:val="single"/>
                  <w:sz w:val="14"/>
                </w:rPr>
                <w:t>92. Устойчивый отрицательный прогноз</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14" w:history="1">
              <w:r>
                <w:rPr>
                  <w:color w:val="2F75B5"/>
                  <w:u w:val="single"/>
                  <w:sz w:val="14"/>
                </w:rPr>
                <w:t>T2-THM-12.14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сертифицированная зона отсутствия подъёма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THM/COMP</w:t>
            </w:r>
          </w:p>
        </w:tc>
        <w:tc>
          <w:tcPr>
            <w:tcW w:type="dxa" w:w="2551"/>
            <w:vAlign w:val="center"/>
            <w:tcMar>
              <w:top w:w="80" w:type="dxa"/>
              <w:start w:w="100" w:type="dxa"/>
              <w:bottom w:w="80" w:type="dxa"/>
              <w:end w:w="100" w:type="dxa"/>
            </w:tcMar>
          </w:tcPr>
          <w:p>
            <w:pPr>
              <w:spacing w:before="0" w:after="0" w:line="240" w:lineRule="auto"/>
            </w:pPr>
            <w:hyperlink w:anchor="h_1426" w:history="1">
              <w:r>
                <w:rPr>
                  <w:color w:val="2F75B5"/>
                  <w:u w:val="single"/>
                  <w:sz w:val="14"/>
                </w:rPr>
                <w:t>92. Устойчивый отрицательный прогноз</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2_15" w:history="1">
              <w:r>
                <w:rPr>
                  <w:color w:val="2F75B5"/>
                  <w:u w:val="single"/>
                  <w:sz w:val="14"/>
                </w:rPr>
                <w:t>T2-THM-12.15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minimal-obstruction-safe predictive theorem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1434" w:history="1">
              <w:r>
                <w:rPr>
                  <w:color w:val="2F75B5"/>
                  <w:u w:val="single"/>
                  <w:sz w:val="14"/>
                </w:rPr>
                <w:t>93. Главная условная теорема предсказательного метода v0.9</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2_9" w:history="1">
              <w:r>
                <w:rPr>
                  <w:color w:val="2F75B5"/>
                  <w:u w:val="single"/>
                  <w:sz w:val="14"/>
                </w:rPr>
                <w:t>T2-DEF-12.9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совместный сертификат</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450" w:history="1">
              <w:r>
                <w:rPr>
                  <w:color w:val="2F75B5"/>
                  <w:u w:val="single"/>
                  <w:sz w:val="14"/>
                </w:rPr>
                <w:t>94. Проективно-гармонический Reper-шлюз</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THM_12_16" w:history="1">
              <w:r>
                <w:rPr>
                  <w:color w:val="2F75B5"/>
                  <w:u w:val="single"/>
                  <w:sz w:val="14"/>
                </w:rPr>
                <w:t>T2-CTHM-12.16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Контртеорема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четыре запрета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458" w:history="1">
              <w:r>
                <w:rPr>
                  <w:color w:val="2F75B5"/>
                  <w:u w:val="single"/>
                  <w:sz w:val="14"/>
                </w:rPr>
                <w:t>95. Контрпримеры и граничные случаи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3_1" w:history="1">
              <w:r>
                <w:rPr>
                  <w:color w:val="2F75B5"/>
                  <w:u w:val="single"/>
                  <w:sz w:val="14"/>
                </w:rPr>
                <w:t>T2-DEF-13.1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внешняя реализация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486" w:history="1">
              <w:r>
                <w:rPr>
                  <w:color w:val="2F75B5"/>
                  <w:u w:val="single"/>
                  <w:sz w:val="14"/>
                </w:rPr>
                <w:t>101. Definition Core внешней реализации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3_2" w:history="1">
              <w:r>
                <w:rPr>
                  <w:color w:val="2F75B5"/>
                  <w:u w:val="single"/>
                  <w:sz w:val="14"/>
                </w:rPr>
                <w:t>T2-DEF-13.2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chain bridge J</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486" w:history="1">
              <w:r>
                <w:rPr>
                  <w:color w:val="2F75B5"/>
                  <w:u w:val="single"/>
                  <w:sz w:val="14"/>
                </w:rPr>
                <w:t>101. Definition Core внешней реализации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3_1" w:history="1">
              <w:r>
                <w:rPr>
                  <w:color w:val="2F75B5"/>
                  <w:u w:val="single"/>
                  <w:sz w:val="14"/>
                </w:rPr>
                <w:t>T2-THM-13.1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Пусть d_E³J³=0</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501" w:history="1">
              <w:r>
                <w:rPr>
                  <w:color w:val="2F75B5"/>
                  <w:u w:val="single"/>
                  <w:sz w:val="14"/>
                </w:rPr>
                <w:t>102. Существование и корректность индуцированной карты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13_1" w:history="1">
              <w:r>
                <w:rPr>
                  <w:color w:val="2F75B5"/>
                  <w:u w:val="single"/>
                  <w:sz w:val="14"/>
                </w:rPr>
                <w:t>T2-COR-13.1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501" w:history="1">
              <w:r>
                <w:rPr>
                  <w:color w:val="2F75B5"/>
                  <w:u w:val="single"/>
                  <w:sz w:val="14"/>
                </w:rPr>
                <w:t>102. Существование и корректность индуцированной карты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3_3" w:history="1">
              <w:r>
                <w:rPr>
                  <w:color w:val="2F75B5"/>
                  <w:u w:val="single"/>
                  <w:sz w:val="14"/>
                </w:rPr>
                <w:t>T2-DEF-13.3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внешняя карта препятствий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COND/THM при B1-B5</w:t>
            </w:r>
          </w:p>
        </w:tc>
        <w:tc>
          <w:tcPr>
            <w:tcW w:type="dxa" w:w="2551"/>
            <w:vAlign w:val="center"/>
            <w:tcMar>
              <w:top w:w="80" w:type="dxa"/>
              <w:start w:w="100" w:type="dxa"/>
              <w:bottom w:w="80" w:type="dxa"/>
              <w:end w:w="100" w:type="dxa"/>
            </w:tcMar>
          </w:tcPr>
          <w:p>
            <w:pPr>
              <w:spacing w:before="0" w:after="0" w:line="240" w:lineRule="auto"/>
            </w:pPr>
            <w:hyperlink w:anchor="h_1501" w:history="1">
              <w:r>
                <w:rPr>
                  <w:color w:val="2F75B5"/>
                  <w:u w:val="single"/>
                  <w:sz w:val="14"/>
                </w:rPr>
                <w:t>102. Существование и корректность индуцированной карты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3_2" w:history="1">
              <w:r>
                <w:rPr>
                  <w:color w:val="2F75B5"/>
                  <w:u w:val="single"/>
                  <w:sz w:val="14"/>
                </w:rPr>
                <w:t>T2-THM-13.2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естественность Π_E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при B3-B5</w:t>
            </w:r>
          </w:p>
        </w:tc>
        <w:tc>
          <w:tcPr>
            <w:tcW w:type="dxa" w:w="2551"/>
            <w:vAlign w:val="center"/>
            <w:tcMar>
              <w:top w:w="80" w:type="dxa"/>
              <w:start w:w="100" w:type="dxa"/>
              <w:bottom w:w="80" w:type="dxa"/>
              <w:end w:w="100" w:type="dxa"/>
            </w:tcMar>
          </w:tcPr>
          <w:p>
            <w:pPr>
              <w:spacing w:before="0" w:after="0" w:line="240" w:lineRule="auto"/>
            </w:pPr>
            <w:hyperlink w:anchor="h_1501" w:history="1">
              <w:r>
                <w:rPr>
                  <w:color w:val="2F75B5"/>
                  <w:u w:val="single"/>
                  <w:sz w:val="14"/>
                </w:rPr>
                <w:t>102. Существование и корректность индуцированной карты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3_3" w:history="1">
              <w:r>
                <w:rPr>
                  <w:color w:val="2F75B5"/>
                  <w:u w:val="single"/>
                  <w:sz w:val="14"/>
                </w:rPr>
                <w:t>T2-THM-13.3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односторонняя детекция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517" w:history="1">
              <w:r>
                <w:rPr>
                  <w:color w:val="2F75B5"/>
                  <w:u w:val="single"/>
                  <w:sz w:val="14"/>
                </w:rPr>
                <w:t>103. Односторонняя, обратная и полная детекция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3_4" w:history="1">
              <w:r>
                <w:rPr>
                  <w:color w:val="2F75B5"/>
                  <w:u w:val="single"/>
                  <w:sz w:val="14"/>
                </w:rPr>
                <w:t>T2-THM-13.4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критерий обратной детекции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517" w:history="1">
              <w:r>
                <w:rPr>
                  <w:color w:val="2F75B5"/>
                  <w:u w:val="single"/>
                  <w:sz w:val="14"/>
                </w:rPr>
                <w:t>103. Односторонняя, обратная и полная детекция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3_4" w:history="1">
              <w:r>
                <w:rPr>
                  <w:color w:val="2F75B5"/>
                  <w:u w:val="single"/>
                  <w:sz w:val="14"/>
                </w:rPr>
                <w:t>T2-DEF-13.4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качество моста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517" w:history="1">
              <w:r>
                <w:rPr>
                  <w:color w:val="2F75B5"/>
                  <w:u w:val="single"/>
                  <w:sz w:val="14"/>
                </w:rPr>
                <w:t>103. Односторонняя, обратная и полная детекция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3_5" w:history="1">
              <w:r>
                <w:rPr>
                  <w:color w:val="2F75B5"/>
                  <w:u w:val="single"/>
                  <w:sz w:val="14"/>
                </w:rPr>
                <w:t>T2-DEF-13.5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mapping cone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w:t>
            </w:r>
          </w:p>
        </w:tc>
        <w:tc>
          <w:tcPr>
            <w:tcW w:type="dxa" w:w="2551"/>
            <w:vAlign w:val="center"/>
            <w:tcMar>
              <w:top w:w="80" w:type="dxa"/>
              <w:start w:w="100" w:type="dxa"/>
              <w:bottom w:w="80" w:type="dxa"/>
              <w:end w:w="100" w:type="dxa"/>
            </w:tcMar>
          </w:tcPr>
          <w:p>
            <w:pPr>
              <w:spacing w:before="0" w:after="0" w:line="240" w:lineRule="auto"/>
            </w:pPr>
            <w:hyperlink w:anchor="h_1529" w:history="1">
              <w:r>
                <w:rPr>
                  <w:color w:val="2F75B5"/>
                  <w:u w:val="single"/>
                  <w:sz w:val="14"/>
                </w:rPr>
                <w:t>104. Mapping cone и измерение потери информации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3_5" w:history="1">
              <w:r>
                <w:rPr>
                  <w:color w:val="2F75B5"/>
                  <w:u w:val="single"/>
                  <w:sz w:val="14"/>
                </w:rPr>
                <w:t>T2-THM-13.5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точная последовательность детекции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529" w:history="1">
              <w:r>
                <w:rPr>
                  <w:color w:val="2F75B5"/>
                  <w:u w:val="single"/>
                  <w:sz w:val="14"/>
                </w:rPr>
                <w:t>104. Mapping cone и измерение потери информации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3_6" w:history="1">
              <w:r>
                <w:rPr>
                  <w:color w:val="2F75B5"/>
                  <w:u w:val="single"/>
                  <w:sz w:val="14"/>
                </w:rPr>
                <w:t>T2-THM-13.6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chain-homotopy invariance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CL/THM</w:t>
            </w:r>
          </w:p>
        </w:tc>
        <w:tc>
          <w:tcPr>
            <w:tcW w:type="dxa" w:w="2551"/>
            <w:vAlign w:val="center"/>
            <w:tcMar>
              <w:top w:w="80" w:type="dxa"/>
              <w:start w:w="100" w:type="dxa"/>
              <w:bottom w:w="80" w:type="dxa"/>
              <w:end w:w="100" w:type="dxa"/>
            </w:tcMar>
          </w:tcPr>
          <w:p>
            <w:pPr>
              <w:spacing w:before="0" w:after="0" w:line="240" w:lineRule="auto"/>
            </w:pPr>
            <w:hyperlink w:anchor="h_1547" w:history="1">
              <w:r>
                <w:rPr>
                  <w:color w:val="2F75B5"/>
                  <w:u w:val="single"/>
                  <w:sz w:val="14"/>
                </w:rPr>
                <w:t>105. Зависимость от выбора внешней реализации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3_6" w:history="1">
              <w:r>
                <w:rPr>
                  <w:color w:val="2F75B5"/>
                  <w:u w:val="single"/>
                  <w:sz w:val="14"/>
                </w:rPr>
                <w:t>T2-DEF-13.6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категория внешних реализаций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558" w:history="1">
              <w:r>
                <w:rPr>
                  <w:color w:val="2F75B5"/>
                  <w:u w:val="single"/>
                  <w:sz w:val="14"/>
                </w:rPr>
                <w:t>106. Функториальная внешняя теория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3_7" w:history="1">
              <w:r>
                <w:rPr>
                  <w:color w:val="2F75B5"/>
                  <w:u w:val="single"/>
                  <w:sz w:val="14"/>
                </w:rPr>
                <w:t>T2-THM-13.7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Назначение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558" w:history="1">
              <w:r>
                <w:rPr>
                  <w:color w:val="2F75B5"/>
                  <w:u w:val="single"/>
                  <w:sz w:val="14"/>
                </w:rPr>
                <w:t>106. Функториальная внешняя теория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3_7" w:history="1">
              <w:r>
                <w:rPr>
                  <w:color w:val="2F75B5"/>
                  <w:u w:val="single"/>
                  <w:sz w:val="14"/>
                </w:rPr>
                <w:t>T2-DEF-13.7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 xml:space="preserve">[COND]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 canonical external class</w:t>
            </w:r>
          </w:p>
        </w:tc>
        <w:tc>
          <w:tcPr>
            <w:tcW w:type="dxa" w:w="2551"/>
            <w:vAlign w:val="center"/>
            <w:tcMar>
              <w:top w:w="80" w:type="dxa"/>
              <w:start w:w="100" w:type="dxa"/>
              <w:bottom w:w="80" w:type="dxa"/>
              <w:end w:w="100" w:type="dxa"/>
            </w:tcMar>
          </w:tcPr>
          <w:p>
            <w:pPr>
              <w:spacing w:before="0" w:after="0" w:line="240" w:lineRule="auto"/>
            </w:pPr>
            <w:hyperlink w:anchor="h_1558" w:history="1">
              <w:r>
                <w:rPr>
                  <w:color w:val="2F75B5"/>
                  <w:u w:val="single"/>
                  <w:sz w:val="14"/>
                </w:rPr>
                <w:t>106. Функториальная внешняя теория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3_8" w:history="1">
              <w:r>
                <w:rPr>
                  <w:color w:val="2F75B5"/>
                  <w:u w:val="single"/>
                  <w:sz w:val="14"/>
                </w:rPr>
                <w:t>T2-THM-13.8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стабильная обратная детекция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THM/COMP</w:t>
            </w:r>
          </w:p>
        </w:tc>
        <w:tc>
          <w:tcPr>
            <w:tcW w:type="dxa" w:w="2551"/>
            <w:vAlign w:val="center"/>
            <w:tcMar>
              <w:top w:w="80" w:type="dxa"/>
              <w:start w:w="100" w:type="dxa"/>
              <w:bottom w:w="80" w:type="dxa"/>
              <w:end w:w="100" w:type="dxa"/>
            </w:tcMar>
          </w:tcPr>
          <w:p>
            <w:pPr>
              <w:spacing w:before="0" w:after="0" w:line="240" w:lineRule="auto"/>
            </w:pPr>
            <w:hyperlink w:anchor="h_1565" w:history="1">
              <w:r>
                <w:rPr>
                  <w:color w:val="2F75B5"/>
                  <w:u w:val="single"/>
                  <w:sz w:val="14"/>
                </w:rPr>
                <w:t>107. Конечномерная численная реализация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13_9" w:history="1">
              <w:r>
                <w:rPr>
                  <w:color w:val="2F75B5"/>
                  <w:u w:val="single"/>
                  <w:sz w:val="14"/>
                </w:rPr>
                <w:t>T2-LEM-13.9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локальная постоянность рангов</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579" w:history="1">
              <w:r>
                <w:rPr>
                  <w:color w:val="2F75B5"/>
                  <w:u w:val="single"/>
                  <w:sz w:val="14"/>
                </w:rPr>
                <w:t>108. Параметрические семейства и внешний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3_10" w:history="1">
              <w:r>
                <w:rPr>
                  <w:color w:val="2F75B5"/>
                  <w:u w:val="single"/>
                  <w:sz w:val="14"/>
                </w:rPr>
                <w:t>T2-THM-13.10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[THM/COMP] Пусть на компактном интервале I выполнены B1-B5, семейства непрерывны и существует ε_E&gt;0 такое, что</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THM/COMP</w:t>
            </w:r>
          </w:p>
        </w:tc>
        <w:tc>
          <w:tcPr>
            <w:tcW w:type="dxa" w:w="2551"/>
            <w:vAlign w:val="center"/>
            <w:tcMar>
              <w:top w:w="80" w:type="dxa"/>
              <w:start w:w="100" w:type="dxa"/>
              <w:bottom w:w="80" w:type="dxa"/>
              <w:end w:w="100" w:type="dxa"/>
            </w:tcMar>
          </w:tcPr>
          <w:p>
            <w:pPr>
              <w:spacing w:before="0" w:after="0" w:line="240" w:lineRule="auto"/>
            </w:pPr>
            <w:hyperlink w:anchor="h_1584" w:history="1">
              <w:r>
                <w:rPr>
                  <w:color w:val="2F75B5"/>
                  <w:u w:val="single"/>
                  <w:sz w:val="14"/>
                </w:rPr>
                <w:t>109. Предсказательный внешний мост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3_11" w:history="1">
              <w:r>
                <w:rPr>
                  <w:color w:val="2F75B5"/>
                  <w:u w:val="single"/>
                  <w:sz w:val="14"/>
                </w:rPr>
                <w:t>T2-THM-13.11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external-detection-safe predictive theorem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1584" w:history="1">
              <w:r>
                <w:rPr>
                  <w:color w:val="2F75B5"/>
                  <w:u w:val="single"/>
                  <w:sz w:val="14"/>
                </w:rPr>
                <w:t>109. Предсказательный внешний мост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3_8" w:history="1">
              <w:r>
                <w:rPr>
                  <w:color w:val="2F75B5"/>
                  <w:u w:val="single"/>
                  <w:sz w:val="14"/>
                </w:rPr>
                <w:t>T2-DEF-13.8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associator test channel</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OPEN/DEF-A</w:t>
            </w:r>
          </w:p>
        </w:tc>
        <w:tc>
          <w:tcPr>
            <w:tcW w:type="dxa" w:w="2551"/>
            <w:vAlign w:val="center"/>
            <w:tcMar>
              <w:top w:w="80" w:type="dxa"/>
              <w:start w:w="100" w:type="dxa"/>
              <w:bottom w:w="80" w:type="dxa"/>
              <w:end w:w="100" w:type="dxa"/>
            </w:tcMar>
          </w:tcPr>
          <w:p>
            <w:pPr>
              <w:spacing w:before="0" w:after="0" w:line="240" w:lineRule="auto"/>
            </w:pPr>
            <w:hyperlink w:anchor="h_1605" w:history="1">
              <w:r>
                <w:rPr>
                  <w:color w:val="2F75B5"/>
                  <w:u w:val="single"/>
                  <w:sz w:val="14"/>
                </w:rPr>
                <w:t>110. Отдельный ассоциаторный канал β_Ass</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THM_13_12" w:history="1">
              <w:r>
                <w:rPr>
                  <w:color w:val="2F75B5"/>
                  <w:u w:val="single"/>
                  <w:sz w:val="14"/>
                </w:rPr>
                <w:t>T2-CTHM-13.12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Контртеорема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Без дополнительных гипотез неверны импликации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611" w:history="1">
              <w:r>
                <w:rPr>
                  <w:color w:val="2F75B5"/>
                  <w:u w:val="single"/>
                  <w:sz w:val="14"/>
                </w:rPr>
                <w:t>111. Контрпримеры к сильным внешним выводам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5_1" w:history="1">
              <w:r>
                <w:rPr>
                  <w:color w:val="2F75B5"/>
                  <w:u w:val="single"/>
                  <w:sz w:val="14"/>
                </w:rPr>
                <w:t>T2-DEF-15.1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Hilbert-комплекс</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w:t>
            </w:r>
          </w:p>
        </w:tc>
        <w:tc>
          <w:tcPr>
            <w:tcW w:type="dxa" w:w="2551"/>
            <w:vAlign w:val="center"/>
            <w:tcMar>
              <w:top w:w="80" w:type="dxa"/>
              <w:start w:w="100" w:type="dxa"/>
              <w:bottom w:w="80" w:type="dxa"/>
              <w:end w:w="100" w:type="dxa"/>
            </w:tcMar>
          </w:tcPr>
          <w:p>
            <w:pPr>
              <w:spacing w:before="0" w:after="0" w:line="240" w:lineRule="auto"/>
            </w:pPr>
            <w:hyperlink w:anchor="h_1760" w:history="1">
              <w:r>
                <w:rPr>
                  <w:color w:val="2F75B5"/>
                  <w:u w:val="single"/>
                  <w:sz w:val="14"/>
                </w:rPr>
                <w:t>133. Hilbert-комплекс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5_2" w:history="1">
              <w:r>
                <w:rPr>
                  <w:color w:val="2F75B5"/>
                  <w:u w:val="single"/>
                  <w:sz w:val="14"/>
                </w:rPr>
                <w:t>T2-DEF-15.2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цикл, граница и две когомологии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w:t>
            </w:r>
          </w:p>
        </w:tc>
        <w:tc>
          <w:tcPr>
            <w:tcW w:type="dxa" w:w="2551"/>
            <w:vAlign w:val="center"/>
            <w:tcMar>
              <w:top w:w="80" w:type="dxa"/>
              <w:start w:w="100" w:type="dxa"/>
              <w:bottom w:w="80" w:type="dxa"/>
              <w:end w:w="100" w:type="dxa"/>
            </w:tcMar>
          </w:tcPr>
          <w:p>
            <w:pPr>
              <w:spacing w:before="0" w:after="0" w:line="240" w:lineRule="auto"/>
            </w:pPr>
            <w:hyperlink w:anchor="h_1760" w:history="1">
              <w:r>
                <w:rPr>
                  <w:color w:val="2F75B5"/>
                  <w:u w:val="single"/>
                  <w:sz w:val="14"/>
                </w:rPr>
                <w:t>133. Hilbert-комплекс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15_1" w:history="1">
              <w:r>
                <w:rPr>
                  <w:color w:val="2F75B5"/>
                  <w:u w:val="single"/>
                  <w:sz w:val="14"/>
                </w:rPr>
                <w:t>T2-LEM-15.1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замыкание и adjoint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CL/THM</w:t>
            </w:r>
          </w:p>
        </w:tc>
        <w:tc>
          <w:tcPr>
            <w:tcW w:type="dxa" w:w="2551"/>
            <w:vAlign w:val="center"/>
            <w:tcMar>
              <w:top w:w="80" w:type="dxa"/>
              <w:start w:w="100" w:type="dxa"/>
              <w:bottom w:w="80" w:type="dxa"/>
              <w:end w:w="100" w:type="dxa"/>
            </w:tcMar>
          </w:tcPr>
          <w:p>
            <w:pPr>
              <w:spacing w:before="0" w:after="0" w:line="240" w:lineRule="auto"/>
            </w:pPr>
            <w:hyperlink w:anchor="h_1760" w:history="1">
              <w:r>
                <w:rPr>
                  <w:color w:val="2F75B5"/>
                  <w:u w:val="single"/>
                  <w:sz w:val="14"/>
                </w:rPr>
                <w:t>133. Hilbert-комплекс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5_3" w:history="1">
              <w:r>
                <w:rPr>
                  <w:color w:val="2F75B5"/>
                  <w:u w:val="single"/>
                  <w:sz w:val="14"/>
                </w:rPr>
                <w:t>T2-DEF-15.3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 В степени k вводится оператор</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w:t>
            </w:r>
          </w:p>
        </w:tc>
        <w:tc>
          <w:tcPr>
            <w:tcW w:type="dxa" w:w="2551"/>
            <w:vAlign w:val="center"/>
            <w:tcMar>
              <w:top w:w="80" w:type="dxa"/>
              <w:start w:w="100" w:type="dxa"/>
              <w:bottom w:w="80" w:type="dxa"/>
              <w:end w:w="100" w:type="dxa"/>
            </w:tcMar>
          </w:tcPr>
          <w:p>
            <w:pPr>
              <w:spacing w:before="0" w:after="0" w:line="240" w:lineRule="auto"/>
            </w:pPr>
            <w:hyperlink w:anchor="h_1760" w:history="1">
              <w:r>
                <w:rPr>
                  <w:color w:val="2F75B5"/>
                  <w:u w:val="single"/>
                  <w:sz w:val="14"/>
                </w:rPr>
                <w:t>133. Hilbert-комплекс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5_4" w:history="1">
              <w:r>
                <w:rPr>
                  <w:color w:val="2F75B5"/>
                  <w:u w:val="single"/>
                  <w:sz w:val="14"/>
                </w:rPr>
                <w:t>T2-DEF-15.4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гармонический сектор</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w:t>
            </w:r>
          </w:p>
        </w:tc>
        <w:tc>
          <w:tcPr>
            <w:tcW w:type="dxa" w:w="2551"/>
            <w:vAlign w:val="center"/>
            <w:tcMar>
              <w:top w:w="80" w:type="dxa"/>
              <w:start w:w="100" w:type="dxa"/>
              <w:bottom w:w="80" w:type="dxa"/>
              <w:end w:w="100" w:type="dxa"/>
            </w:tcMar>
          </w:tcPr>
          <w:p>
            <w:pPr>
              <w:spacing w:before="0" w:after="0" w:line="240" w:lineRule="auto"/>
            </w:pPr>
            <w:hyperlink w:anchor="h_1760" w:history="1">
              <w:r>
                <w:rPr>
                  <w:color w:val="2F75B5"/>
                  <w:u w:val="single"/>
                  <w:sz w:val="14"/>
                </w:rPr>
                <w:t>133. Hilbert-комплекс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5_2" w:history="1">
              <w:r>
                <w:rPr>
                  <w:color w:val="2F75B5"/>
                  <w:u w:val="single"/>
                  <w:sz w:val="14"/>
                </w:rPr>
                <w:t>T2-THM-15.2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слабое Hodge-разложение Hilbert-комплекса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CL/THM</w:t>
            </w:r>
          </w:p>
        </w:tc>
        <w:tc>
          <w:tcPr>
            <w:tcW w:type="dxa" w:w="2551"/>
            <w:vAlign w:val="center"/>
            <w:tcMar>
              <w:top w:w="80" w:type="dxa"/>
              <w:start w:w="100" w:type="dxa"/>
              <w:bottom w:w="80" w:type="dxa"/>
              <w:end w:w="100" w:type="dxa"/>
            </w:tcMar>
          </w:tcPr>
          <w:p>
            <w:pPr>
              <w:spacing w:before="0" w:after="0" w:line="240" w:lineRule="auto"/>
            </w:pPr>
            <w:hyperlink w:anchor="h_1782" w:history="1">
              <w:r>
                <w:rPr>
                  <w:color w:val="2F75B5"/>
                  <w:u w:val="single"/>
                  <w:sz w:val="14"/>
                </w:rPr>
                <w:t>134. Слабое и сильное Hodge-разложение</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5_3" w:history="1">
              <w:r>
                <w:rPr>
                  <w:color w:val="2F75B5"/>
                  <w:u w:val="single"/>
                  <w:sz w:val="14"/>
                </w:rPr>
                <w:t>T2-THM-15.3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сильное разложение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CL/THM</w:t>
            </w:r>
          </w:p>
        </w:tc>
        <w:tc>
          <w:tcPr>
            <w:tcW w:type="dxa" w:w="2551"/>
            <w:vAlign w:val="center"/>
            <w:tcMar>
              <w:top w:w="80" w:type="dxa"/>
              <w:start w:w="100" w:type="dxa"/>
              <w:bottom w:w="80" w:type="dxa"/>
              <w:end w:w="100" w:type="dxa"/>
            </w:tcMar>
          </w:tcPr>
          <w:p>
            <w:pPr>
              <w:spacing w:before="0" w:after="0" w:line="240" w:lineRule="auto"/>
            </w:pPr>
            <w:hyperlink w:anchor="h_1782" w:history="1">
              <w:r>
                <w:rPr>
                  <w:color w:val="2F75B5"/>
                  <w:u w:val="single"/>
                  <w:sz w:val="14"/>
                </w:rPr>
                <w:t>134. Слабое и сильное Hodge-разложение</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5_4" w:history="1">
              <w:r>
                <w:rPr>
                  <w:color w:val="2F75B5"/>
                  <w:u w:val="single"/>
                  <w:sz w:val="14"/>
                </w:rPr>
                <w:t>T2-THM-15.4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эллиптичность Hodge-Laplacian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CL/THM</w:t>
            </w:r>
          </w:p>
        </w:tc>
        <w:tc>
          <w:tcPr>
            <w:tcW w:type="dxa" w:w="2551"/>
            <w:vAlign w:val="center"/>
            <w:tcMar>
              <w:top w:w="80" w:type="dxa"/>
              <w:start w:w="100" w:type="dxa"/>
              <w:bottom w:w="80" w:type="dxa"/>
              <w:end w:w="100" w:type="dxa"/>
            </w:tcMar>
          </w:tcPr>
          <w:p>
            <w:pPr>
              <w:spacing w:before="0" w:after="0" w:line="240" w:lineRule="auto"/>
            </w:pPr>
            <w:hyperlink w:anchor="h_1804" w:history="1">
              <w:r>
                <w:rPr>
                  <w:color w:val="2F75B5"/>
                  <w:u w:val="single"/>
                  <w:sz w:val="14"/>
                </w:rPr>
                <w:t>135. Эллиптические комплексы и операторы лапласовского типа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5_5" w:history="1">
              <w:r>
                <w:rPr>
                  <w:color w:val="2F75B5"/>
                  <w:u w:val="single"/>
                  <w:sz w:val="14"/>
                </w:rPr>
                <w:t>T2-DEF-15.5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оператор лапласовского типа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w:t>
            </w:r>
          </w:p>
        </w:tc>
        <w:tc>
          <w:tcPr>
            <w:tcW w:type="dxa" w:w="2551"/>
            <w:vAlign w:val="center"/>
            <w:tcMar>
              <w:top w:w="80" w:type="dxa"/>
              <w:start w:w="100" w:type="dxa"/>
              <w:bottom w:w="80" w:type="dxa"/>
              <w:end w:w="100" w:type="dxa"/>
            </w:tcMar>
          </w:tcPr>
          <w:p>
            <w:pPr>
              <w:spacing w:before="0" w:after="0" w:line="240" w:lineRule="auto"/>
            </w:pPr>
            <w:hyperlink w:anchor="h_1804" w:history="1">
              <w:r>
                <w:rPr>
                  <w:color w:val="2F75B5"/>
                  <w:u w:val="single"/>
                  <w:sz w:val="14"/>
                </w:rPr>
                <w:t>135. Эллиптические комплексы и операторы лапласовского типа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THM_15_5" w:history="1">
              <w:r>
                <w:rPr>
                  <w:color w:val="2F75B5"/>
                  <w:u w:val="single"/>
                  <w:sz w:val="14"/>
                </w:rPr>
                <w:t>T2-CTHM-15.5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Контртеорема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d²=0 не влечёт эллиптичность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804" w:history="1">
              <w:r>
                <w:rPr>
                  <w:color w:val="2F75B5"/>
                  <w:u w:val="single"/>
                  <w:sz w:val="14"/>
                </w:rPr>
                <w:t>135. Эллиптические комплексы и операторы лапласовского типа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5_6" w:history="1">
              <w:r>
                <w:rPr>
                  <w:color w:val="2F75B5"/>
                  <w:u w:val="single"/>
                  <w:sz w:val="14"/>
                </w:rPr>
                <w:t>T2-THM-15.6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граничный firewall</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CL/COND</w:t>
            </w:r>
          </w:p>
        </w:tc>
        <w:tc>
          <w:tcPr>
            <w:tcW w:type="dxa" w:w="2551"/>
            <w:vAlign w:val="center"/>
            <w:tcMar>
              <w:top w:w="80" w:type="dxa"/>
              <w:start w:w="100" w:type="dxa"/>
              <w:bottom w:w="80" w:type="dxa"/>
              <w:end w:w="100" w:type="dxa"/>
            </w:tcMar>
          </w:tcPr>
          <w:p>
            <w:pPr>
              <w:spacing w:before="0" w:after="0" w:line="240" w:lineRule="auto"/>
            </w:pPr>
            <w:hyperlink w:anchor="h_1815" w:history="1">
              <w:r>
                <w:rPr>
                  <w:color w:val="2F75B5"/>
                  <w:u w:val="single"/>
                  <w:sz w:val="14"/>
                </w:rPr>
                <w:t>136. Граничные и интерфейсные условия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THM_15_7" w:history="1">
              <w:r>
                <w:rPr>
                  <w:color w:val="2F75B5"/>
                  <w:u w:val="single"/>
                  <w:sz w:val="14"/>
                </w:rPr>
                <w:t>T2-CTHM-15.7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Контртеорема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формальная симметрия не равна самосопряжённости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815" w:history="1">
              <w:r>
                <w:rPr>
                  <w:color w:val="2F75B5"/>
                  <w:u w:val="single"/>
                  <w:sz w:val="14"/>
                </w:rPr>
                <w:t>136. Граничные и интерфейсные условия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5_6" w:history="1">
              <w:r>
                <w:rPr>
                  <w:color w:val="2F75B5"/>
                  <w:u w:val="single"/>
                  <w:sz w:val="14"/>
                </w:rPr>
                <w:t>T2-DEF-15.6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interface domain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DEF-A/COND</w:t>
            </w:r>
          </w:p>
        </w:tc>
        <w:tc>
          <w:tcPr>
            <w:tcW w:type="dxa" w:w="2551"/>
            <w:vAlign w:val="center"/>
            <w:tcMar>
              <w:top w:w="80" w:type="dxa"/>
              <w:start w:w="100" w:type="dxa"/>
              <w:bottom w:w="80" w:type="dxa"/>
              <w:end w:w="100" w:type="dxa"/>
            </w:tcMar>
          </w:tcPr>
          <w:p>
            <w:pPr>
              <w:spacing w:before="0" w:after="0" w:line="240" w:lineRule="auto"/>
            </w:pPr>
            <w:hyperlink w:anchor="h_1826" w:history="1">
              <w:r>
                <w:rPr>
                  <w:color w:val="2F75B5"/>
                  <w:u w:val="single"/>
                  <w:sz w:val="14"/>
                </w:rPr>
                <w:t>137. Стратифицированная Hodge-реализация NAPG</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5_7" w:history="1">
              <w:r>
                <w:rPr>
                  <w:color w:val="2F75B5"/>
                  <w:u w:val="single"/>
                  <w:sz w:val="14"/>
                </w:rPr>
                <w:t>T2-DEF-15.7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 Замкнутый оператор T:D(T)⊂H_0→H_1 называется Fredholm, если ran T замкнут, dim ker T&lt;∞ и dim coker T&lt;∞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w:t>
            </w:r>
          </w:p>
        </w:tc>
        <w:tc>
          <w:tcPr>
            <w:tcW w:type="dxa" w:w="2551"/>
            <w:vAlign w:val="center"/>
            <w:tcMar>
              <w:top w:w="80" w:type="dxa"/>
              <w:start w:w="100" w:type="dxa"/>
              <w:bottom w:w="80" w:type="dxa"/>
              <w:end w:w="100" w:type="dxa"/>
            </w:tcMar>
          </w:tcPr>
          <w:p>
            <w:pPr>
              <w:spacing w:before="0" w:after="0" w:line="240" w:lineRule="auto"/>
            </w:pPr>
            <w:hyperlink w:anchor="h_1840" w:history="1">
              <w:r>
                <w:rPr>
                  <w:color w:val="2F75B5"/>
                  <w:u w:val="single"/>
                  <w:sz w:val="14"/>
                </w:rPr>
                <w:t>138. Fredholm-секторы и индекс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5_8" w:history="1">
              <w:r>
                <w:rPr>
                  <w:color w:val="2F75B5"/>
                  <w:u w:val="single"/>
                  <w:sz w:val="14"/>
                </w:rPr>
                <w:t>T2-THM-15.8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стабильность индекса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CL/THM</w:t>
            </w:r>
          </w:p>
        </w:tc>
        <w:tc>
          <w:tcPr>
            <w:tcW w:type="dxa" w:w="2551"/>
            <w:vAlign w:val="center"/>
            <w:tcMar>
              <w:top w:w="80" w:type="dxa"/>
              <w:start w:w="100" w:type="dxa"/>
              <w:bottom w:w="80" w:type="dxa"/>
              <w:end w:w="100" w:type="dxa"/>
            </w:tcMar>
          </w:tcPr>
          <w:p>
            <w:pPr>
              <w:spacing w:before="0" w:after="0" w:line="240" w:lineRule="auto"/>
            </w:pPr>
            <w:hyperlink w:anchor="h_1840" w:history="1">
              <w:r>
                <w:rPr>
                  <w:color w:val="2F75B5"/>
                  <w:u w:val="single"/>
                  <w:sz w:val="14"/>
                </w:rPr>
                <w:t>138. Fredholm-секторы и индекс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5_8" w:history="1">
              <w:r>
                <w:rPr>
                  <w:color w:val="2F75B5"/>
                  <w:u w:val="single"/>
                  <w:sz w:val="14"/>
                </w:rPr>
                <w:t>T2-DEF-15.8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 Самосопряжённая реализация Δ имеет компактный резольвент, если (Δ+I)^{-1} компактен</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CL/DEF; compact-resolvent sector</w:t>
            </w:r>
          </w:p>
        </w:tc>
        <w:tc>
          <w:tcPr>
            <w:tcW w:type="dxa" w:w="2551"/>
            <w:vAlign w:val="center"/>
            <w:tcMar>
              <w:top w:w="80" w:type="dxa"/>
              <w:start w:w="100" w:type="dxa"/>
              <w:bottom w:w="80" w:type="dxa"/>
              <w:end w:w="100" w:type="dxa"/>
            </w:tcMar>
          </w:tcPr>
          <w:p>
            <w:pPr>
              <w:spacing w:before="0" w:after="0" w:line="240" w:lineRule="auto"/>
            </w:pPr>
            <w:hyperlink w:anchor="h_1840" w:history="1">
              <w:r>
                <w:rPr>
                  <w:color w:val="2F75B5"/>
                  <w:u w:val="single"/>
                  <w:sz w:val="14"/>
                </w:rPr>
                <w:t>138. Fredholm-секторы и индекс</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5_9" w:history="1">
              <w:r>
                <w:rPr>
                  <w:color w:val="2F75B5"/>
                  <w:u w:val="single"/>
                  <w:sz w:val="14"/>
                </w:rPr>
                <w:t>T2-THM-15.9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точная аналитическая детекция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THM/COND</w:t>
            </w:r>
          </w:p>
        </w:tc>
        <w:tc>
          <w:tcPr>
            <w:tcW w:type="dxa" w:w="2551"/>
            <w:vAlign w:val="center"/>
            <w:tcMar>
              <w:top w:w="80" w:type="dxa"/>
              <w:start w:w="100" w:type="dxa"/>
              <w:bottom w:w="80" w:type="dxa"/>
              <w:end w:w="100" w:type="dxa"/>
            </w:tcMar>
          </w:tcPr>
          <w:p>
            <w:pPr>
              <w:spacing w:before="0" w:after="0" w:line="240" w:lineRule="auto"/>
            </w:pPr>
            <w:hyperlink w:anchor="h_1848" w:history="1">
              <w:r>
                <w:rPr>
                  <w:color w:val="2F75B5"/>
                  <w:u w:val="single"/>
                  <w:sz w:val="14"/>
                </w:rPr>
                <w:t>139. Гармоническая аналитика препятствий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5_9" w:history="1">
              <w:r>
                <w:rPr>
                  <w:color w:val="2F75B5"/>
                  <w:u w:val="single"/>
                  <w:sz w:val="14"/>
                </w:rPr>
                <w:t>T2-DEF-15.9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 analytic conditioning ledger</w:t>
            </w:r>
          </w:p>
        </w:tc>
        <w:tc>
          <w:tcPr>
            <w:tcW w:type="dxa" w:w="2551"/>
            <w:vAlign w:val="center"/>
            <w:tcMar>
              <w:top w:w="80" w:type="dxa"/>
              <w:start w:w="100" w:type="dxa"/>
              <w:bottom w:w="80" w:type="dxa"/>
              <w:end w:w="100" w:type="dxa"/>
            </w:tcMar>
          </w:tcPr>
          <w:p>
            <w:pPr>
              <w:spacing w:before="0" w:after="0" w:line="240" w:lineRule="auto"/>
            </w:pPr>
            <w:hyperlink w:anchor="h_1848" w:history="1">
              <w:r>
                <w:rPr>
                  <w:color w:val="2F75B5"/>
                  <w:u w:val="single"/>
                  <w:sz w:val="14"/>
                </w:rPr>
                <w:t>139. Гармоническая аналитика препятствий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5_10" w:history="1">
              <w:r>
                <w:rPr>
                  <w:color w:val="2F75B5"/>
                  <w:u w:val="single"/>
                  <w:sz w:val="14"/>
                </w:rPr>
                <w:t>T2-THM-15.10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устойчивое ненулевое препятствие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THM/COMP</w:t>
            </w:r>
          </w:p>
        </w:tc>
        <w:tc>
          <w:tcPr>
            <w:tcW w:type="dxa" w:w="2551"/>
            <w:vAlign w:val="center"/>
            <w:tcMar>
              <w:top w:w="80" w:type="dxa"/>
              <w:start w:w="100" w:type="dxa"/>
              <w:bottom w:w="80" w:type="dxa"/>
              <w:end w:w="100" w:type="dxa"/>
            </w:tcMar>
          </w:tcPr>
          <w:p>
            <w:pPr>
              <w:spacing w:before="0" w:after="0" w:line="240" w:lineRule="auto"/>
            </w:pPr>
            <w:hyperlink w:anchor="h_1848" w:history="1">
              <w:r>
                <w:rPr>
                  <w:color w:val="2F75B5"/>
                  <w:u w:val="single"/>
                  <w:sz w:val="14"/>
                </w:rPr>
                <w:t>139. Гармоническая аналитика препятствий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15_10" w:history="1">
              <w:r>
                <w:rPr>
                  <w:color w:val="2F75B5"/>
                  <w:u w:val="single"/>
                  <w:sz w:val="14"/>
                </w:rPr>
                <w:t>T2-COR-15.10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1848" w:history="1">
              <w:r>
                <w:rPr>
                  <w:color w:val="2F75B5"/>
                  <w:u w:val="single"/>
                  <w:sz w:val="14"/>
                </w:rPr>
                <w:t>139. Гармоническая аналитика препятствий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5_11" w:history="1">
              <w:r>
                <w:rPr>
                  <w:color w:val="2F75B5"/>
                  <w:u w:val="single"/>
                  <w:sz w:val="14"/>
                </w:rPr>
                <w:t>T2-THM-15.11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необходимость пересечения аналитического горизонта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THM/COND</w:t>
            </w:r>
          </w:p>
        </w:tc>
        <w:tc>
          <w:tcPr>
            <w:tcW w:type="dxa" w:w="2551"/>
            <w:vAlign w:val="center"/>
            <w:tcMar>
              <w:top w:w="80" w:type="dxa"/>
              <w:start w:w="100" w:type="dxa"/>
              <w:bottom w:w="80" w:type="dxa"/>
              <w:end w:w="100" w:type="dxa"/>
            </w:tcMar>
          </w:tcPr>
          <w:p>
            <w:pPr>
              <w:spacing w:before="0" w:after="0" w:line="240" w:lineRule="auto"/>
            </w:pPr>
            <w:hyperlink w:anchor="h_1862" w:history="1">
              <w:r>
                <w:rPr>
                  <w:color w:val="2F75B5"/>
                  <w:u w:val="single"/>
                  <w:sz w:val="14"/>
                </w:rPr>
                <w:t>140. Hodge-Fredholm переходный горизонт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5_10" w:history="1">
              <w:r>
                <w:rPr>
                  <w:color w:val="2F75B5"/>
                  <w:u w:val="single"/>
                  <w:sz w:val="14"/>
                </w:rPr>
                <w:t>T2-DEF-15.10</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Hodge-Reper certificate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873" w:history="1">
              <w:r>
                <w:rPr>
                  <w:color w:val="2F75B5"/>
                  <w:u w:val="single"/>
                  <w:sz w:val="14"/>
                </w:rPr>
                <w:t>141. Hodge-слой и проективно-гармонический Reper</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5_12" w:history="1">
              <w:r>
                <w:rPr>
                  <w:color w:val="2F75B5"/>
                  <w:u w:val="single"/>
                  <w:sz w:val="14"/>
                </w:rPr>
                <w:t>T2-THM-15.12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Hodge-Fredholm-safe predictive theorem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1880" w:history="1">
              <w:r>
                <w:rPr>
                  <w:color w:val="2F75B5"/>
                  <w:u w:val="single"/>
                  <w:sz w:val="14"/>
                </w:rPr>
                <w:t>142. Главная условная теорема T2-RP-v0.12</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THM_15_13" w:history="1">
              <w:r>
                <w:rPr>
                  <w:color w:val="2F75B5"/>
                  <w:u w:val="single"/>
                  <w:sz w:val="14"/>
                </w:rPr>
                <w:t>T2-CTHM-15.13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Контртеорема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Каждая из следующих импликаций неверна без дополнительных гипотез</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1898" w:history="1">
              <w:r>
                <w:rPr>
                  <w:color w:val="2F75B5"/>
                  <w:u w:val="single"/>
                  <w:sz w:val="14"/>
                </w:rPr>
                <w:t>144. Контрпримеры и разделяющие модели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6_1" w:history="1">
              <w:r>
                <w:rPr>
                  <w:color w:val="2F75B5"/>
                  <w:u w:val="single"/>
                  <w:sz w:val="14"/>
                </w:rPr>
                <w:t>T2-DEF-16.1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Для фиксированного кадра N деформационный группоид Def_N(A) состоит из NAPG-структур N_A над A, редукция которых по A→K изоморфна N, и изоморфизмов над A, тождественных на специаль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946" w:history="1">
              <w:r>
                <w:rPr>
                  <w:color w:val="2F75B5"/>
                  <w:u w:val="single"/>
                  <w:sz w:val="14"/>
                </w:rPr>
                <w:t>150. Категория артиевых баз и деформационный функтор</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6_2" w:history="1">
              <w:r>
                <w:rPr>
                  <w:color w:val="2F75B5"/>
                  <w:u w:val="single"/>
                  <w:sz w:val="14"/>
                </w:rPr>
                <w:t>T2-DEF-16.2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полная линейная obstruction theory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1954" w:history="1">
              <w:r>
                <w:rPr>
                  <w:color w:val="2F75B5"/>
                  <w:u w:val="single"/>
                  <w:sz w:val="14"/>
                </w:rPr>
                <w:t>151. Малые расширения и локальная задача подъёма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6_3" w:history="1">
              <w:r>
                <w:rPr>
                  <w:color w:val="2F75B5"/>
                  <w:u w:val="single"/>
                  <w:sz w:val="14"/>
                </w:rPr>
                <w:t>T2-THM-16.3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Schlessinger package, применённый условно</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1963" w:history="1">
              <w:r>
                <w:rPr>
                  <w:color w:val="2F75B5"/>
                  <w:u w:val="single"/>
                  <w:sz w:val="14"/>
                </w:rPr>
                <w:t>152. Условия Шлессингера и существование hull</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6_4" w:history="1">
              <w:r>
                <w:rPr>
                  <w:color w:val="2F75B5"/>
                  <w:u w:val="single"/>
                  <w:sz w:val="14"/>
                </w:rPr>
                <w:t>T2-THM-16.4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малое расширение, условная форма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1986" w:history="1">
              <w:r>
                <w:rPr>
                  <w:color w:val="2F75B5"/>
                  <w:u w:val="single"/>
                  <w:sz w:val="14"/>
                </w:rPr>
                <w:t>156. Lifting theorem из Maurer-Cartan equation</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6_5" w:history="1">
              <w:r>
                <w:rPr>
                  <w:color w:val="2F75B5"/>
                  <w:u w:val="single"/>
                  <w:sz w:val="14"/>
                </w:rPr>
                <w:t>T2-THM-16.5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Kuranishi reduction, условная аналитическая форма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1999" w:history="1">
              <w:r>
                <w:rPr>
                  <w:color w:val="2F75B5"/>
                  <w:u w:val="single"/>
                  <w:sz w:val="14"/>
                </w:rPr>
                <w:t>158. Рекурсия Кураниши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6_6" w:history="1">
              <w:r>
                <w:rPr>
                  <w:color w:val="2F75B5"/>
                  <w:u w:val="single"/>
                  <w:sz w:val="14"/>
                </w:rPr>
                <w:t>T2-DEF-16.6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Kuranishi conditioning margin</w:t>
            </w:r>
          </w:p>
        </w:tc>
        <w:tc>
          <w:tcPr>
            <w:tcW w:type="dxa" w:w="2551"/>
            <w:vAlign w:val="center"/>
            <w:tcMar>
              <w:top w:w="80" w:type="dxa"/>
              <w:start w:w="100" w:type="dxa"/>
              <w:bottom w:w="80" w:type="dxa"/>
              <w:end w:w="100" w:type="dxa"/>
            </w:tcMar>
          </w:tcPr>
          <w:p>
            <w:pPr>
              <w:spacing w:before="0" w:after="0" w:line="240" w:lineRule="auto"/>
            </w:pPr>
            <w:hyperlink w:anchor="h_2008" w:history="1">
              <w:r>
                <w:rPr>
                  <w:color w:val="2F75B5"/>
                  <w:u w:val="single"/>
                  <w:sz w:val="14"/>
                </w:rPr>
                <w:t>159. Явная оценка радиуса сходимости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6_7" w:history="1">
              <w:r>
                <w:rPr>
                  <w:color w:val="2F75B5"/>
                  <w:u w:val="single"/>
                  <w:sz w:val="14"/>
                </w:rPr>
                <w:t>T2-DEF-16.7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Порядок первого ненулевого препятствия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016" w:history="1">
              <w:r>
                <w:rPr>
                  <w:color w:val="2F75B5"/>
                  <w:u w:val="single"/>
                  <w:sz w:val="14"/>
                </w:rPr>
                <w:t>160. Taylor-слои и высшие obstruction classes</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THM_16_8" w:history="1">
              <w:r>
                <w:rPr>
                  <w:color w:val="2F75B5"/>
                  <w:u w:val="single"/>
                  <w:sz w:val="14"/>
                </w:rPr>
                <w:t>T2-CTHM-16.8</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Контртеорема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Нельзя восстановить локальный stack germ по одному coarse moduli germ без stabilizer data</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2036" w:history="1">
              <w:r>
                <w:rPr>
                  <w:color w:val="2F75B5"/>
                  <w:u w:val="single"/>
                  <w:sz w:val="14"/>
                </w:rPr>
                <w:t>164. Stack versus coarse moduli: stabilizer no-go</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6_9" w:history="1">
              <w:r>
                <w:rPr>
                  <w:color w:val="2F75B5"/>
                  <w:u w:val="single"/>
                  <w:sz w:val="14"/>
                </w:rPr>
                <w:t>T2-THM-16.9</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Moduli-Kuranishi-safe predictive theorem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2061" w:history="1">
              <w:r>
                <w:rPr>
                  <w:color w:val="2F75B5"/>
                  <w:u w:val="single"/>
                  <w:sz w:val="14"/>
                </w:rPr>
                <w:t>168. Главная условная теорема T2-RP-v0.13</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7_1" w:history="1">
              <w:r>
                <w:rPr>
                  <w:color w:val="2F75B5"/>
                  <w:u w:val="single"/>
                  <w:sz w:val="14"/>
                </w:rPr>
                <w:t>T2-THM-17.1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Пусть C является связной камерой, семейство moduli problems тривиализовано сертификатом ModTriv(C), а C не пересекает W</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2129" w:history="1">
              <w:r>
                <w:rPr>
                  <w:color w:val="2F75B5"/>
                  <w:u w:val="single"/>
                  <w:sz w:val="14"/>
                </w:rPr>
                <w:t>176. Wall, chamber и wall certificate</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THM_17_2" w:history="1">
              <w:r>
                <w:rPr>
                  <w:color w:val="2F75B5"/>
                  <w:u w:val="single"/>
                  <w:sz w:val="14"/>
                </w:rPr>
                <w:t>T2-CTHM-17.2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Контртеорема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Равенство размерностей пространств инвариантов по обе стороны стены не задаёт канонического wall-crossing operator</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2136" w:history="1">
              <w:r>
                <w:rPr>
                  <w:color w:val="2F75B5"/>
                  <w:u w:val="single"/>
                  <w:sz w:val="14"/>
                </w:rPr>
                <w:t>177. Wall-crossing operator и предел его корректности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7_3" w:history="1">
              <w:r>
                <w:rPr>
                  <w:color w:val="2F75B5"/>
                  <w:u w:val="single"/>
                  <w:sz w:val="14"/>
                </w:rPr>
                <w:t>T2-THM-17.3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 общем случае W и B не совпадают</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2149" w:history="1">
              <w:r>
                <w:rPr>
                  <w:color w:val="2F75B5"/>
                  <w:u w:val="single"/>
                  <w:sz w:val="14"/>
                </w:rPr>
                <w:t>179. Разделяющая теорема: wall не равен bifurcation</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7_4" w:history="1">
              <w:r>
                <w:rPr>
                  <w:color w:val="2F75B5"/>
                  <w:u w:val="single"/>
                  <w:sz w:val="14"/>
                </w:rPr>
                <w:t>T2-THM-17.4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Если branch cover локально тривиален над U, то продолжение вдоль гомотопных петель с фиксированными концами задаёт одну и ту же перестановку ветвей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2160" w:history="1">
              <w:r>
                <w:rPr>
                  <w:color w:val="2F75B5"/>
                  <w:u w:val="single"/>
                  <w:sz w:val="14"/>
                </w:rPr>
                <w:t>181. Монодромия ветвей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7_5" w:history="1">
              <w:r>
                <w:rPr>
                  <w:color w:val="2F75B5"/>
                  <w:u w:val="single"/>
                  <w:sz w:val="14"/>
                </w:rPr>
                <w:t>T2-THM-17.5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Если образ Mon нетривиален, глобальная непрерывная нумерация всех ветвей над U невозможна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2168" w:history="1">
              <w:r>
                <w:rPr>
                  <w:color w:val="2F75B5"/>
                  <w:u w:val="single"/>
                  <w:sz w:val="14"/>
                </w:rPr>
                <w:t>182. No-global-label theorem</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7_7" w:history="1">
              <w:r>
                <w:rPr>
                  <w:color w:val="2F75B5"/>
                  <w:u w:val="single"/>
                  <w:sz w:val="14"/>
                </w:rPr>
                <w:t>T2-THM-17.7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Stratified wall-crossing-safe predictive theorem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2199" w:history="1">
              <w:r>
                <w:rPr>
                  <w:color w:val="2F75B5"/>
                  <w:u w:val="single"/>
                  <w:sz w:val="14"/>
                </w:rPr>
                <w:t>188. Главная условная теорема T2-RP-v0.14</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8_1" w:history="1">
              <w:r>
                <w:rPr>
                  <w:color w:val="2F75B5"/>
                  <w:u w:val="single"/>
                  <w:sz w:val="14"/>
                </w:rPr>
                <w:t>T2-DEF-18.1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Глобальным NAPG-moduli object называется stacky/derived-объект 𝔐_N вместе с атласом, виртуальным касательным комплексом и структурами D/Dom, удовлетворяющими условиям разделов 195-</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256" w:history="1">
              <w:r>
                <w:rPr>
                  <w:color w:val="2F75B5"/>
                  <w:u w:val="single"/>
                  <w:sz w:val="14"/>
                </w:rPr>
                <w:t>194. Три уровня глобального пространства модулей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8_2" w:history="1">
              <w:r>
                <w:rPr>
                  <w:color w:val="2F75B5"/>
                  <w:u w:val="single"/>
                  <w:sz w:val="14"/>
                </w:rPr>
                <w:t>T2-THM-18.2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Descent no-shortcut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в выбранной 2-категории</w:t>
            </w:r>
          </w:p>
        </w:tc>
        <w:tc>
          <w:tcPr>
            <w:tcW w:type="dxa" w:w="2551"/>
            <w:vAlign w:val="center"/>
            <w:tcMar>
              <w:top w:w="80" w:type="dxa"/>
              <w:start w:w="100" w:type="dxa"/>
              <w:bottom w:w="80" w:type="dxa"/>
              <w:end w:w="100" w:type="dxa"/>
            </w:tcMar>
          </w:tcPr>
          <w:p>
            <w:pPr>
              <w:spacing w:before="0" w:after="0" w:line="240" w:lineRule="auto"/>
            </w:pPr>
            <w:hyperlink w:anchor="h_2275" w:history="1">
              <w:r>
                <w:rPr>
                  <w:color w:val="2F75B5"/>
                  <w:u w:val="single"/>
                  <w:sz w:val="14"/>
                </w:rPr>
                <w:t>197. Čech nerve и effective descent</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8_3" w:history="1">
              <w:r>
                <w:rPr>
                  <w:color w:val="2F75B5"/>
                  <w:u w:val="single"/>
                  <w:sz w:val="14"/>
                </w:rPr>
                <w:t>T2-THM-18.3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Presentation invariance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304" w:history="1">
              <w:r>
                <w:rPr>
                  <w:color w:val="2F75B5"/>
                  <w:u w:val="single"/>
                  <w:sz w:val="14"/>
                </w:rPr>
                <w:t>201. Детерминант, ориентация и виртуальная размерность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8_4" w:history="1">
              <w:r>
                <w:rPr>
                  <w:color w:val="2F75B5"/>
                  <w:u w:val="single"/>
                  <w:sz w:val="14"/>
                </w:rPr>
                <w:t>T2-DEF-18.4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Глобальный предсказательный носитель задаётся кортежем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312" w:history="1">
              <w:r>
                <w:rPr>
                  <w:color w:val="2F75B5"/>
                  <w:u w:val="single"/>
                  <w:sz w:val="14"/>
                </w:rPr>
                <w:t>203. Глобальный предсказательный носитель KLT-RBD</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8_5" w:history="1">
              <w:r>
                <w:rPr>
                  <w:color w:val="2F75B5"/>
                  <w:u w:val="single"/>
                  <w:sz w:val="14"/>
                </w:rPr>
                <w:t>T2-THM-18.5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Исчезновение всех локальных obstruction classes не влечёт существование глобального объекта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317" w:history="1">
              <w:r>
                <w:rPr>
                  <w:color w:val="2F75B5"/>
                  <w:u w:val="single"/>
                  <w:sz w:val="14"/>
                </w:rPr>
                <w:t>204. Local-to-global no-go theorem</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8_6" w:history="1">
              <w:r>
                <w:rPr>
                  <w:color w:val="2F75B5"/>
                  <w:u w:val="single"/>
                  <w:sz w:val="14"/>
                </w:rPr>
                <w:t>T2-THM-18.6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Coarse moduli space не определяет stacky/derived moduli object</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323" w:history="1">
              <w:r>
                <w:rPr>
                  <w:color w:val="2F75B5"/>
                  <w:u w:val="single"/>
                  <w:sz w:val="14"/>
                </w:rPr>
                <w:t>205. Coarse-moduli no-go theorem</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8_7" w:history="1">
              <w:r>
                <w:rPr>
                  <w:color w:val="2F75B5"/>
                  <w:u w:val="single"/>
                  <w:sz w:val="14"/>
                </w:rPr>
                <w:t>T2-THM-18.7</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Global-stack-safe predictive theorem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2337" w:history="1">
              <w:r>
                <w:rPr>
                  <w:color w:val="2F75B5"/>
                  <w:u w:val="single"/>
                  <w:sz w:val="14"/>
                </w:rPr>
                <w:t>209. Главная условная теорема T2-RP-v0.15</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9_1" w:history="1">
              <w:r>
                <w:rPr>
                  <w:color w:val="2F75B5"/>
                  <w:u w:val="single"/>
                  <w:sz w:val="14"/>
                </w:rPr>
                <w:t>T2-THM-19.1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Presentation independence, условная форма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2403" w:history="1">
              <w:r>
                <w:rPr>
                  <w:color w:val="2F75B5"/>
                  <w:u w:val="single"/>
                  <w:sz w:val="14"/>
                </w:rPr>
                <w:t>218. Конструкция виртуального фундаментального класса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19_2" w:history="1">
              <w:r>
                <w:rPr>
                  <w:color w:val="2F75B5"/>
                  <w:u w:val="single"/>
                  <w:sz w:val="14"/>
                </w:rPr>
                <w:t>T2-LEM-19.2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Transverse reduction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в конечномерной ориентированной модели</w:t>
            </w:r>
          </w:p>
        </w:tc>
        <w:tc>
          <w:tcPr>
            <w:tcW w:type="dxa" w:w="2551"/>
            <w:vAlign w:val="center"/>
            <w:tcMar>
              <w:top w:w="80" w:type="dxa"/>
              <w:start w:w="100" w:type="dxa"/>
              <w:bottom w:w="80" w:type="dxa"/>
              <w:end w:w="100" w:type="dxa"/>
            </w:tcMar>
          </w:tcPr>
          <w:p>
            <w:pPr>
              <w:spacing w:before="0" w:after="0" w:line="240" w:lineRule="auto"/>
            </w:pPr>
            <w:hyperlink w:anchor="h_2416" w:history="1">
              <w:r>
                <w:rPr>
                  <w:color w:val="2F75B5"/>
                  <w:u w:val="single"/>
                  <w:sz w:val="14"/>
                </w:rPr>
                <w:t>220. Regular zero locus и excess intersection</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9_3" w:history="1">
              <w:r>
                <w:rPr>
                  <w:color w:val="2F75B5"/>
                  <w:u w:val="single"/>
                  <w:sz w:val="14"/>
                </w:rPr>
                <w:t>T2-THM-19.3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 При hypotheses (19.8), properness и совместимом transport insertions виртуальный инвариант локально постоянен на связной базе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2421" w:history="1">
              <w:r>
                <w:rPr>
                  <w:color w:val="2F75B5"/>
                  <w:u w:val="single"/>
                  <w:sz w:val="14"/>
                </w:rPr>
                <w:t>221. Деформационная инвариантность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9_4" w:history="1">
              <w:r>
                <w:rPr>
                  <w:color w:val="2F75B5"/>
                  <w:u w:val="single"/>
                  <w:sz w:val="14"/>
                </w:rPr>
                <w:t>T2-THM-19.4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Additivity-probability no-go</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442" w:history="1">
              <w:r>
                <w:rPr>
                  <w:color w:val="2F75B5"/>
                  <w:u w:val="single"/>
                  <w:sz w:val="14"/>
                </w:rPr>
                <w:t>225. Теорема невозможности универсальной вероятностной интерпретации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19_5" w:history="1">
              <w:r>
                <w:rPr>
                  <w:color w:val="2F75B5"/>
                  <w:u w:val="single"/>
                  <w:sz w:val="14"/>
                </w:rPr>
                <w:t>T2-DEF-19.5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Вероятностный мост к прикладному событию задаётся кортежем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450" w:history="1">
              <w:r>
                <w:rPr>
                  <w:color w:val="2F75B5"/>
                  <w:u w:val="single"/>
                  <w:sz w:val="14"/>
                </w:rPr>
                <w:t>226. Вероятностный мост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19_6" w:history="1">
              <w:r>
                <w:rPr>
                  <w:color w:val="2F75B5"/>
                  <w:u w:val="single"/>
                  <w:sz w:val="14"/>
                </w:rPr>
                <w:t>T2-THM-19.6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 Пусть над связной камерой U выполнены условия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 Virtual-cycle-safe predictive theorem</w:t>
            </w:r>
          </w:p>
        </w:tc>
        <w:tc>
          <w:tcPr>
            <w:tcW w:type="dxa" w:w="2551"/>
            <w:vAlign w:val="center"/>
            <w:tcMar>
              <w:top w:w="80" w:type="dxa"/>
              <w:start w:w="100" w:type="dxa"/>
              <w:bottom w:w="80" w:type="dxa"/>
              <w:end w:w="100" w:type="dxa"/>
            </w:tcMar>
          </w:tcPr>
          <w:p>
            <w:pPr>
              <w:spacing w:before="0" w:after="0" w:line="240" w:lineRule="auto"/>
            </w:pPr>
            <w:hyperlink w:anchor="h_2487" w:history="1">
              <w:r>
                <w:rPr>
                  <w:color w:val="2F75B5"/>
                  <w:u w:val="single"/>
                  <w:sz w:val="14"/>
                </w:rPr>
                <w:t>231. Главная условная теорема T2-RP-v0.16</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0_1" w:history="1">
              <w:r>
                <w:rPr>
                  <w:color w:val="2F75B5"/>
                  <w:u w:val="single"/>
                  <w:sz w:val="14"/>
                </w:rPr>
                <w:t>T2-DEF-20.1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Лестницей refined-носителей называется диаграмма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547" w:history="1">
              <w:r>
                <w:rPr>
                  <w:color w:val="2F75B5"/>
                  <w:u w:val="single"/>
                  <w:sz w:val="14"/>
                </w:rPr>
                <w:t>238. Лестница носителей и правило неповышения статуса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0_2" w:history="1">
              <w:r>
                <w:rPr>
                  <w:color w:val="2F75B5"/>
                  <w:u w:val="single"/>
                  <w:sz w:val="14"/>
                </w:rPr>
                <w:t>T2-DEF-20.2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Категорификацией числового или кольцевого инварианта A называется выбор категории 𝒞, дополнительной структуры на 𝒞 и отображения декатегорификации dec:K₀(𝒞)→A, при котором заданный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554" w:history="1">
              <w:r>
                <w:rPr>
                  <w:color w:val="2F75B5"/>
                  <w:u w:val="single"/>
                  <w:sz w:val="14"/>
                </w:rPr>
                <w:t>239. Категорификация и декатегорификация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0_1" w:history="1">
              <w:r>
                <w:rPr>
                  <w:color w:val="2F75B5"/>
                  <w:u w:val="single"/>
                  <w:sz w:val="14"/>
                </w:rPr>
                <w:t>T2-THM-20.1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Decategorification no-go</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554" w:history="1">
              <w:r>
                <w:rPr>
                  <w:color w:val="2F75B5"/>
                  <w:u w:val="single"/>
                  <w:sz w:val="14"/>
                </w:rPr>
                <w:t>239. Категорификация и декатегорификация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0_3" w:history="1">
              <w:r>
                <w:rPr>
                  <w:color w:val="2F75B5"/>
                  <w:u w:val="single"/>
                  <w:sz w:val="14"/>
                </w:rPr>
                <w:t>T2-DEF-20.3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Motivic carrier NAPG-кандидата есть кортеж</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561" w:history="1">
              <w:r>
                <w:rPr>
                  <w:color w:val="2F75B5"/>
                  <w:u w:val="single"/>
                  <w:sz w:val="14"/>
                </w:rPr>
                <w:t>240. Мотивный носитель и Grothendieck-кольцо разновидностей</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0_2" w:history="1">
              <w:r>
                <w:rPr>
                  <w:color w:val="2F75B5"/>
                  <w:u w:val="single"/>
                  <w:sz w:val="14"/>
                </w:rPr>
                <w:t>T2-THM-20.2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Numerical realization no-go</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569" w:history="1">
              <w:r>
                <w:rPr>
                  <w:color w:val="2F75B5"/>
                  <w:u w:val="single"/>
                  <w:sz w:val="14"/>
                </w:rPr>
                <w:t>241. Реализации и теорема числовой неразличимости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20_3" w:history="1">
              <w:r>
                <w:rPr>
                  <w:color w:val="2F75B5"/>
                  <w:u w:val="single"/>
                  <w:sz w:val="14"/>
                </w:rPr>
                <w:t>T2-LEM-20.3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 Если R полно относительно I и ψ_r(I)⊂I^r, то PExp задаёт биекцию между I и 1+I</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576" w:history="1">
              <w:r>
                <w:rPr>
                  <w:color w:val="2F75B5"/>
                  <w:u w:val="single"/>
                  <w:sz w:val="14"/>
                </w:rPr>
                <w:t>242. Power structures и плетистические операции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0_4" w:history="1">
              <w:r>
                <w:rPr>
                  <w:color w:val="2F75B5"/>
                  <w:u w:val="single"/>
                  <w:sz w:val="14"/>
                </w:rPr>
                <w:t>T2-DEF-20.4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Series certificate включает (Γ,R,completion,pairing,ordering,chamber,PExp/PLog,convergence_status,D,Dom)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Γ,R,completion,pairing,ordering,chamber,PExp/PLog,convergence_status,D,Dom</w:t>
            </w:r>
          </w:p>
        </w:tc>
        <w:tc>
          <w:tcPr>
            <w:tcW w:type="dxa" w:w="2551"/>
            <w:vAlign w:val="center"/>
            <w:tcMar>
              <w:top w:w="80" w:type="dxa"/>
              <w:start w:w="100" w:type="dxa"/>
              <w:bottom w:w="80" w:type="dxa"/>
              <w:end w:w="100" w:type="dxa"/>
            </w:tcMar>
          </w:tcPr>
          <w:p>
            <w:pPr>
              <w:spacing w:before="0" w:after="0" w:line="240" w:lineRule="auto"/>
            </w:pPr>
            <w:hyperlink w:anchor="h_2606" w:history="1">
              <w:r>
                <w:rPr>
                  <w:color w:val="2F75B5"/>
                  <w:u w:val="single"/>
                  <w:sz w:val="14"/>
                </w:rPr>
                <w:t>248. Квантовый тор и упорядоченные факторизации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0_4" w:history="1">
              <w:r>
                <w:rPr>
                  <w:color w:val="2F75B5"/>
                  <w:u w:val="single"/>
                  <w:sz w:val="14"/>
                </w:rPr>
                <w:t>T2-THM-20.4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Coefficient-time non-identifiability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615" w:history="1">
              <w:r>
                <w:rPr>
                  <w:color w:val="2F75B5"/>
                  <w:u w:val="single"/>
                  <w:sz w:val="14"/>
                </w:rPr>
                <w:t>250. Теорема неидентифицируемости времени по коэффициентам</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0_5" w:history="1">
              <w:r>
                <w:rPr>
                  <w:color w:val="2F75B5"/>
                  <w:u w:val="single"/>
                  <w:sz w:val="14"/>
                </w:rPr>
                <w:t>T2-DEF-20.5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Динамический мост задаётся кортежем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621" w:history="1">
              <w:r>
                <w:rPr>
                  <w:color w:val="2F75B5"/>
                  <w:u w:val="single"/>
                  <w:sz w:val="14"/>
                </w:rPr>
                <w:t>251. Минимальный динамический мост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0_6" w:history="1">
              <w:r>
                <w:rPr>
                  <w:color w:val="2F75B5"/>
                  <w:u w:val="single"/>
                  <w:sz w:val="14"/>
                </w:rPr>
                <w:t>T2-DEF-20.6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Полный сертификат главы имеет вид</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650" w:history="1">
              <w:r>
                <w:rPr>
                  <w:color w:val="2F75B5"/>
                  <w:u w:val="single"/>
                  <w:sz w:val="14"/>
                </w:rPr>
                <w:t>255. Мотивно-refined Reper-сертификат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0_5" w:history="1">
              <w:r>
                <w:rPr>
                  <w:color w:val="2F75B5"/>
                  <w:u w:val="single"/>
                  <w:sz w:val="14"/>
                </w:rPr>
                <w:t>T2-THM-20.5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Motivic-series-dynamic safe theorem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2671" w:history="1">
              <w:r>
                <w:rPr>
                  <w:color w:val="2F75B5"/>
                  <w:u w:val="single"/>
                  <w:sz w:val="14"/>
                </w:rPr>
                <w:t>258. Главная условная теорема T2-RP-v0.17</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1_1" w:history="1">
              <w:r>
                <w:rPr>
                  <w:color w:val="2F75B5"/>
                  <w:u w:val="single"/>
                  <w:sz w:val="14"/>
                </w:rPr>
                <w:t>T2-DEF-21.1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Временным носителем называется ориентированное частично упорядоченное множество (T,≤), снабжённое топологией или измеримой структурой, достаточной для выбранного класса эволюций</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737" w:history="1">
              <w:r>
                <w:rPr>
                  <w:color w:val="2F75B5"/>
                  <w:u w:val="single"/>
                  <w:sz w:val="14"/>
                </w:rPr>
                <w:t>265. Типы времени, состояния и эволюции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1_2" w:history="1">
              <w:r>
                <w:rPr>
                  <w:color w:val="2F75B5"/>
                  <w:u w:val="single"/>
                  <w:sz w:val="14"/>
                </w:rPr>
                <w:t>T2-DEF-21.2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Нелинейной полугруппой на замкнутом множестве C банахова пространства X называется семейство отображений {𝒮(t)}_{t≥0}, для которого</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743" w:history="1">
              <w:r>
                <w:rPr>
                  <w:color w:val="2F75B5"/>
                  <w:u w:val="single"/>
                  <w:sz w:val="14"/>
                </w:rPr>
                <w:t>266. Нелинейная эволюционная полугруппа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1_1" w:history="1">
              <w:r>
                <w:rPr>
                  <w:color w:val="2F75B5"/>
                  <w:u w:val="single"/>
                  <w:sz w:val="14"/>
                </w:rPr>
                <w:t>T2-THM-21.1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Crandall–Liggett generation, специализированная форма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THM/prior art</w:t>
            </w:r>
          </w:p>
        </w:tc>
        <w:tc>
          <w:tcPr>
            <w:tcW w:type="dxa" w:w="2551"/>
            <w:vAlign w:val="center"/>
            <w:tcMar>
              <w:top w:w="80" w:type="dxa"/>
              <w:start w:w="100" w:type="dxa"/>
              <w:bottom w:w="80" w:type="dxa"/>
              <w:end w:w="100" w:type="dxa"/>
            </w:tcMar>
          </w:tcPr>
          <w:p>
            <w:pPr>
              <w:spacing w:before="0" w:after="0" w:line="240" w:lineRule="auto"/>
            </w:pPr>
            <w:hyperlink w:anchor="h_2750" w:history="1">
              <w:r>
                <w:rPr>
                  <w:color w:val="2F75B5"/>
                  <w:u w:val="single"/>
                  <w:sz w:val="14"/>
                </w:rPr>
                <w:t>267. Аккретивные и m-аккретивные генераторы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21_1" w:history="1">
              <w:r>
                <w:rPr>
                  <w:color w:val="2F75B5"/>
                  <w:u w:val="single"/>
                  <w:sz w:val="14"/>
                </w:rPr>
                <w:t>T2-COR-21.1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Вычислительная схема может сертифицировать переход лишь при контроле ошибки дискретизации, устойчивости резольвенты и неизменности Dom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2750" w:history="1">
              <w:r>
                <w:rPr>
                  <w:color w:val="2F75B5"/>
                  <w:u w:val="single"/>
                  <w:sz w:val="14"/>
                </w:rPr>
                <w:t>267. Аккретивные и m-аккретивные генераторы</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1_3" w:history="1">
              <w:r>
                <w:rPr>
                  <w:color w:val="2F75B5"/>
                  <w:u w:val="single"/>
                  <w:sz w:val="14"/>
                </w:rPr>
                <w:t>T2-DEF-21.3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Неавтономным evolution family называется семейство 𝒰(t,s), t≥s, удовлетворяющее</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756" w:history="1">
              <w:r>
                <w:rPr>
                  <w:color w:val="2F75B5"/>
                  <w:u w:val="single"/>
                  <w:sz w:val="14"/>
                </w:rPr>
                <w:t>268. Неавтономные evolution families и интерфейс Като</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1_2" w:history="1">
              <w:r>
                <w:rPr>
                  <w:color w:val="2F75B5"/>
                  <w:u w:val="single"/>
                  <w:sz w:val="14"/>
                </w:rPr>
                <w:t>T2-THM-21.2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no-state-reconstruction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761" w:history="1">
              <w:r>
                <w:rPr>
                  <w:color w:val="2F75B5"/>
                  <w:u w:val="single"/>
                  <w:sz w:val="14"/>
                </w:rPr>
                <w:t>269. Динамика состояний и Koopman-оператор наблюдаемых</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1_4" w:history="1">
              <w:r>
                <w:rPr>
                  <w:color w:val="2F75B5"/>
                  <w:u w:val="single"/>
                  <w:sz w:val="14"/>
                </w:rPr>
                <w:t>T2-DEF-21.4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Переходным Markov kernel называется K_{t,s}(x,B), который для фиксированного x является вероятностной мерой по B, а для фиксированного B измерим по x</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775" w:history="1">
              <w:r>
                <w:rPr>
                  <w:color w:val="2F75B5"/>
                  <w:u w:val="single"/>
                  <w:sz w:val="14"/>
                </w:rPr>
                <w:t>271. Markov kernels и Chapman–Kolmogorov</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1_3" w:history="1">
              <w:r>
                <w:rPr>
                  <w:color w:val="2F75B5"/>
                  <w:u w:val="single"/>
                  <w:sz w:val="14"/>
                </w:rPr>
                <w:t>T2-THM-21.3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Kolmogorov consistency, стандартная форма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THM/prior art</w:t>
            </w:r>
          </w:p>
        </w:tc>
        <w:tc>
          <w:tcPr>
            <w:tcW w:type="dxa" w:w="2551"/>
            <w:vAlign w:val="center"/>
            <w:tcMar>
              <w:top w:w="80" w:type="dxa"/>
              <w:start w:w="100" w:type="dxa"/>
              <w:bottom w:w="80" w:type="dxa"/>
              <w:end w:w="100" w:type="dxa"/>
            </w:tcMar>
          </w:tcPr>
          <w:p>
            <w:pPr>
              <w:spacing w:before="0" w:after="0" w:line="240" w:lineRule="auto"/>
            </w:pPr>
            <w:hyperlink w:anchor="h_2780" w:history="1">
              <w:r>
                <w:rPr>
                  <w:color w:val="2F75B5"/>
                  <w:u w:val="single"/>
                  <w:sz w:val="14"/>
                </w:rPr>
                <w:t>272. Path-space carrier и цилиндрическая согласованность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21_2" w:history="1">
              <w:r>
                <w:rPr>
                  <w:color w:val="2F75B5"/>
                  <w:u w:val="single"/>
                  <w:sz w:val="14"/>
                </w:rPr>
                <w:t>T2-COR-21.2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Одномоментные распределения {μ_t} не определяют совместный закон пути</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2780" w:history="1">
              <w:r>
                <w:rPr>
                  <w:color w:val="2F75B5"/>
                  <w:u w:val="single"/>
                  <w:sz w:val="14"/>
                </w:rPr>
                <w:t>272. Path-space carrier и цилиндрическая согласованность</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1_5" w:history="1">
              <w:r>
                <w:rPr>
                  <w:color w:val="2F75B5"/>
                  <w:u w:val="single"/>
                  <w:sz w:val="14"/>
                </w:rPr>
                <w:t>T2-DEF-21.5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Оператор F на пространстве путей не предвосхищает будущее, если для любых ω,ω′, совпадающих на [t₀,t], выполняется</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796" w:history="1">
              <w:r>
                <w:rPr>
                  <w:color w:val="2F75B5"/>
                  <w:u w:val="single"/>
                  <w:sz w:val="14"/>
                </w:rPr>
                <w:t>275. Non-anticipation как строгий причинный firewall</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1_4" w:history="1">
              <w:r>
                <w:rPr>
                  <w:color w:val="2F75B5"/>
                  <w:u w:val="single"/>
                  <w:sz w:val="14"/>
                </w:rPr>
                <w:t>T2-THM-21.4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kernel non-anticipation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796" w:history="1">
              <w:r>
                <w:rPr>
                  <w:color w:val="2F75B5"/>
                  <w:u w:val="single"/>
                  <w:sz w:val="14"/>
                </w:rPr>
                <w:t>275. Non-anticipation как строгий причинный firewall</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1_6" w:history="1">
              <w:r>
                <w:rPr>
                  <w:color w:val="2F75B5"/>
                  <w:u w:val="single"/>
                  <w:sz w:val="14"/>
                </w:rPr>
                <w:t>T2-DEF-21.6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Временной Reper в момент t имеет вид</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808" w:history="1">
              <w:r>
                <w:rPr>
                  <w:color w:val="2F75B5"/>
                  <w:u w:val="single"/>
                  <w:sz w:val="14"/>
                </w:rPr>
                <w:t>278. Реперная траектория и временной Reper</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1_5" w:history="1">
              <w:r>
                <w:rPr>
                  <w:color w:val="2F75B5"/>
                  <w:u w:val="single"/>
                  <w:sz w:val="14"/>
                </w:rPr>
                <w:t>T2-THM-21.5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Temporal-profile stability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2849" w:history="1">
              <w:r>
                <w:rPr>
                  <w:color w:val="2F75B5"/>
                  <w:u w:val="single"/>
                  <w:sz w:val="14"/>
                </w:rPr>
                <w:t>286. Теорема постоянства временного профиля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1_6" w:history="1">
              <w:r>
                <w:rPr>
                  <w:color w:val="2F75B5"/>
                  <w:u w:val="single"/>
                  <w:sz w:val="14"/>
                </w:rPr>
                <w:t>T2-THM-21.6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Snapshot no-go</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865" w:history="1">
              <w:r>
                <w:rPr>
                  <w:color w:val="2F75B5"/>
                  <w:u w:val="single"/>
                  <w:sz w:val="14"/>
                </w:rPr>
                <w:t>287. Отрицательная теорема о статических снимках</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2_1" w:history="1">
              <w:r>
                <w:rPr>
                  <w:color w:val="2F75B5"/>
                  <w:u w:val="single"/>
                  <w:sz w:val="14"/>
                </w:rPr>
                <w:t>T2-DEF-22.1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Стохастическим базисом называется пятёрка (Ω,𝔽,(𝔽_t)_{t∈T},P,N), где P — вероятностная мера, (𝔽_t) — возрастающая фильтрация, а N фиксирует класс P-нулевых множеств и convention за</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2914" w:history="1">
              <w:r>
                <w:rPr>
                  <w:color w:val="2F75B5"/>
                  <w:u w:val="single"/>
                  <w:sz w:val="14"/>
                </w:rPr>
                <w:t>293. Стохастический базис и usual conditions</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2_1" w:history="1">
              <w:r>
                <w:rPr>
                  <w:color w:val="2F75B5"/>
                  <w:u w:val="single"/>
                  <w:sz w:val="14"/>
                </w:rPr>
                <w:t>T2-THM-22.1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well-posed martingale problem, стандартный вывод</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THM/prior art</w:t>
            </w:r>
          </w:p>
        </w:tc>
        <w:tc>
          <w:tcPr>
            <w:tcW w:type="dxa" w:w="2551"/>
            <w:vAlign w:val="center"/>
            <w:tcMar>
              <w:top w:w="80" w:type="dxa"/>
              <w:start w:w="100" w:type="dxa"/>
              <w:bottom w:w="80" w:type="dxa"/>
              <w:end w:w="100" w:type="dxa"/>
            </w:tcMar>
          </w:tcPr>
          <w:p>
            <w:pPr>
              <w:spacing w:before="0" w:after="0" w:line="240" w:lineRule="auto"/>
            </w:pPr>
            <w:hyperlink w:anchor="h_2938" w:history="1">
              <w:r>
                <w:rPr>
                  <w:color w:val="2F75B5"/>
                  <w:u w:val="single"/>
                  <w:sz w:val="14"/>
                </w:rPr>
                <w:t>298. Existence, uniqueness и strong Markov firewall</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2_2" w:history="1">
              <w:r>
                <w:rPr>
                  <w:color w:val="2F75B5"/>
                  <w:u w:val="single"/>
                  <w:sz w:val="14"/>
                </w:rPr>
                <w:t>T2-THM-22.2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measure-change no-intervention</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950" w:history="1">
              <w:r>
                <w:rPr>
                  <w:color w:val="2F75B5"/>
                  <w:u w:val="single"/>
                  <w:sz w:val="14"/>
                </w:rPr>
                <w:t>301. Girsanov transform и запрет подмены вмешательства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2_3" w:history="1">
              <w:r>
                <w:rPr>
                  <w:color w:val="2F75B5"/>
                  <w:u w:val="single"/>
                  <w:sz w:val="14"/>
                </w:rPr>
                <w:t>T2-THM-22.3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finite-horizon barrier bound</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969" w:history="1">
              <w:r>
                <w:rPr>
                  <w:color w:val="2F75B5"/>
                  <w:u w:val="single"/>
                  <w:sz w:val="14"/>
                </w:rPr>
                <w:t>306. Стохастический барьерный сертификат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2_4" w:history="1">
              <w:r>
                <w:rPr>
                  <w:color w:val="2F75B5"/>
                  <w:u w:val="single"/>
                  <w:sz w:val="14"/>
                </w:rPr>
                <w:t>T2-THM-22.4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observational-interventional non-identifiability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2999" w:history="1">
              <w:r>
                <w:rPr>
                  <w:color w:val="2F75B5"/>
                  <w:u w:val="single"/>
                  <w:sz w:val="14"/>
                </w:rPr>
                <w:t>311. Наблюдательный Markov law не идентифицирует intervention law</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22_1" w:history="1">
              <w:r>
                <w:rPr>
                  <w:color w:val="2F75B5"/>
                  <w:u w:val="single"/>
                  <w:sz w:val="14"/>
                </w:rPr>
                <w:t>T2-COR-22.1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Если ||σᵀ∇φ||≥c&gt;0 на участке M, то q имеет положительный локальный drift; exact harmonic state не сохраняется в указанной diffusion model</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3026" w:history="1">
              <w:r>
                <w:rPr>
                  <w:color w:val="2F75B5"/>
                  <w:u w:val="single"/>
                  <w:sz w:val="14"/>
                </w:rPr>
                <w:t>317. Условия стохастической инвариантности гармонического локуса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2_5" w:history="1">
              <w:r>
                <w:rPr>
                  <w:color w:val="2F75B5"/>
                  <w:u w:val="single"/>
                  <w:sz w:val="14"/>
                </w:rPr>
                <w:t>T2-THM-22.5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stochastic prediction-control-causality safe theorem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3051" w:history="1">
              <w:r>
                <w:rPr>
                  <w:color w:val="2F75B5"/>
                  <w:u w:val="single"/>
                  <w:sz w:val="14"/>
                </w:rPr>
                <w:t>321. Главная условная теорема v0.19</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3_1" w:history="1">
              <w:r>
                <w:rPr>
                  <w:color w:val="2F75B5"/>
                  <w:u w:val="single"/>
                  <w:sz w:val="14"/>
                </w:rPr>
                <w:t>T2-THM-23.1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contraction principle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THM/prior art</w:t>
            </w:r>
          </w:p>
        </w:tc>
        <w:tc>
          <w:tcPr>
            <w:tcW w:type="dxa" w:w="2551"/>
            <w:vAlign w:val="center"/>
            <w:tcMar>
              <w:top w:w="80" w:type="dxa"/>
              <w:start w:w="100" w:type="dxa"/>
              <w:bottom w:w="80" w:type="dxa"/>
              <w:end w:w="100" w:type="dxa"/>
            </w:tcMar>
          </w:tcPr>
          <w:p>
            <w:pPr>
              <w:spacing w:before="0" w:after="0" w:line="240" w:lineRule="auto"/>
            </w:pPr>
            <w:hyperlink w:anchor="h_3126" w:history="1">
              <w:r>
                <w:rPr>
                  <w:color w:val="2F75B5"/>
                  <w:u w:val="single"/>
                  <w:sz w:val="14"/>
                </w:rPr>
                <w:t>332. Contraction principle</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3_2" w:history="1">
              <w:r>
                <w:rPr>
                  <w:color w:val="2F75B5"/>
                  <w:u w:val="single"/>
                  <w:sz w:val="14"/>
                </w:rPr>
                <w:t>T2-THM-23.2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asymptotic-probability firewall</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3211" w:history="1">
              <w:r>
                <w:rPr>
                  <w:color w:val="2F75B5"/>
                  <w:u w:val="single"/>
                  <w:sz w:val="14"/>
                </w:rPr>
                <w:t>348. Асимптотический exponent не является finite-n probability</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3_3" w:history="1">
              <w:r>
                <w:rPr>
                  <w:color w:val="2F75B5"/>
                  <w:u w:val="single"/>
                  <w:sz w:val="14"/>
                </w:rPr>
                <w:t>T2-THM-23.3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coverage-to-risk</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3244" w:history="1">
              <w:r>
                <w:rPr>
                  <w:color w:val="2F75B5"/>
                  <w:u w:val="single"/>
                  <w:sz w:val="14"/>
                </w:rPr>
                <w:t>356. Distributionally robust chance certificate</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3_4" w:history="1">
              <w:r>
                <w:rPr>
                  <w:color w:val="2F75B5"/>
                  <w:u w:val="single"/>
                  <w:sz w:val="14"/>
                </w:rPr>
                <w:t>T2-THM-23.4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finite-sample tail no-go</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THM</w:t>
            </w:r>
          </w:p>
        </w:tc>
        <w:tc>
          <w:tcPr>
            <w:tcW w:type="dxa" w:w="2551"/>
            <w:vAlign w:val="center"/>
            <w:tcMar>
              <w:top w:w="80" w:type="dxa"/>
              <w:start w:w="100" w:type="dxa"/>
              <w:bottom w:w="80" w:type="dxa"/>
              <w:end w:w="100" w:type="dxa"/>
            </w:tcMar>
          </w:tcPr>
          <w:p>
            <w:pPr>
              <w:spacing w:before="0" w:after="0" w:line="240" w:lineRule="auto"/>
            </w:pPr>
            <w:hyperlink w:anchor="h_3266" w:history="1">
              <w:r>
                <w:rPr>
                  <w:color w:val="2F75B5"/>
                  <w:u w:val="single"/>
                  <w:sz w:val="14"/>
                </w:rPr>
                <w:t>361. Неидентифицируемость хвоста по конечной выборке</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3_5" w:history="1">
              <w:r>
                <w:rPr>
                  <w:color w:val="2F75B5"/>
                  <w:u w:val="single"/>
                  <w:sz w:val="14"/>
                </w:rPr>
                <w:t>T2-THM-23.5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rare-event predictive safety theorem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3292" w:history="1">
              <w:r>
                <w:rPr>
                  <w:color w:val="2F75B5"/>
                  <w:u w:val="single"/>
                  <w:sz w:val="14"/>
                </w:rPr>
                <w:t>365. Главная условная теорема v0.20</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4_1" w:history="1">
              <w:r>
                <w:rPr>
                  <w:color w:val="2F75B5"/>
                  <w:u w:val="single"/>
                  <w:sz w:val="14"/>
                </w:rPr>
                <w:t>T2-DEF-24.1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predictive query</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3367" w:history="1">
              <w:r>
                <w:rPr>
                  <w:color w:val="2F75B5"/>
                  <w:u w:val="single"/>
                  <w:sz w:val="14"/>
                </w:rPr>
                <w:t>372. Предсказательный запрос как типизированный объект</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4_2" w:history="1">
              <w:r>
                <w:rPr>
                  <w:color w:val="2F75B5"/>
                  <w:u w:val="single"/>
                  <w:sz w:val="14"/>
                </w:rPr>
                <w:t>T2-DEF-24.2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Сертифицированное состояние на шаге j есть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3382" w:history="1">
              <w:r>
                <w:rPr>
                  <w:color w:val="2F75B5"/>
                  <w:u w:val="single"/>
                  <w:sz w:val="14"/>
                </w:rPr>
                <w:t>373. Сертифицированное состояние вычисления</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24_1" w:history="1">
              <w:r>
                <w:rPr>
                  <w:color w:val="2F75B5"/>
                  <w:u w:val="single"/>
                  <w:sz w:val="14"/>
                </w:rPr>
                <w:t>T2-LEM-24.1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Однородная координата Λ_Rep не требует деления на Q и потому сохраняет смысл на точках Q=0, кроме общей неопределённости N=Q=0</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3393" w:history="1">
              <w:r>
                <w:rPr>
                  <w:color w:val="2F75B5"/>
                  <w:u w:val="single"/>
                  <w:sz w:val="14"/>
                </w:rPr>
                <w:t>374. Однородная Reper-координата без искусственного полюса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4_3" w:history="1">
              <w:r>
                <w:rPr>
                  <w:color w:val="2F75B5"/>
                  <w:u w:val="single"/>
                  <w:sz w:val="14"/>
                </w:rPr>
                <w:t>T2-DEF-24.3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Объектами категории CertKLT являются типизированные носители (X,Inv_X)</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3406" w:history="1">
              <w:r>
                <w:rPr>
                  <w:color w:val="2F75B5"/>
                  <w:u w:val="single"/>
                  <w:sz w:val="14"/>
                </w:rPr>
                <w:t>376. Категория сертифицированных частичных операторов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4_1" w:history="1">
              <w:r>
                <w:rPr>
                  <w:color w:val="2F75B5"/>
                  <w:u w:val="single"/>
                  <w:sz w:val="14"/>
                </w:rPr>
                <w:t>T2-THM-24.1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Если для каждого типа бюджета операции переноса и локального сложения образуют ассоциативную систему, объединение blockers ассоциативно, а proof-chain concatenation сохраняет поряд</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3422" w:history="1">
              <w:r>
                <w:rPr>
                  <w:color w:val="2F75B5"/>
                  <w:u w:val="single"/>
                  <w:sz w:val="14"/>
                </w:rPr>
                <w:t>378. Теорема о корректности категории CertKLT</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4_4" w:history="1">
              <w:r>
                <w:rPr>
                  <w:color w:val="2F75B5"/>
                  <w:u w:val="single"/>
                  <w:sz w:val="14"/>
                </w:rPr>
                <w:t>T2-DEF-24.4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Полный бюджет имеет вид</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3428" w:history="1">
              <w:r>
                <w:rPr>
                  <w:color w:val="2F75B5"/>
                  <w:u w:val="single"/>
                  <w:sz w:val="14"/>
                </w:rPr>
                <w:t>379. Векторный бюджет неопределённости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24_1" w:history="1">
              <w:r>
                <w:rPr>
                  <w:color w:val="2F75B5"/>
                  <w:u w:val="single"/>
                  <w:sz w:val="14"/>
                </w:rPr>
                <w:t>T2-COR-24.1</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Для стабильной цепи с L_j≤1 имеем ε_out≤ε_in+Σ ε_j</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3431" w:history="1">
              <w:r>
                <w:rPr>
                  <w:color w:val="2F75B5"/>
                  <w:u w:val="single"/>
                  <w:sz w:val="14"/>
                </w:rPr>
                <w:t>380. Детерминированный перенос ошибки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LEM_24_2" w:history="1">
              <w:r>
                <w:rPr>
                  <w:color w:val="2F75B5"/>
                  <w:u w:val="single"/>
                  <w:sz w:val="14"/>
                </w:rPr>
                <w:t>T2-LEM-24.2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Лемма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weakest-link rule</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3454" w:history="1">
              <w:r>
                <w:rPr>
                  <w:color w:val="2F75B5"/>
                  <w:u w:val="single"/>
                  <w:sz w:val="14"/>
                </w:rPr>
                <w:t>385. Решётка доказательных статусов</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4_2" w:history="1">
              <w:r>
                <w:rPr>
                  <w:color w:val="2F75B5"/>
                  <w:u w:val="single"/>
                  <w:sz w:val="14"/>
                </w:rPr>
                <w:t>T2-THM-24.2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Пусть бюджет содержит по меньшей мере две независимые компоненты b_1,b_2 с покоординатным порядком</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3459" w:history="1">
              <w:r>
                <w:rPr>
                  <w:color w:val="2F75B5"/>
                  <w:u w:val="single"/>
                  <w:sz w:val="14"/>
                </w:rPr>
                <w:t>386. Теорема о невозможности канонической скаляризации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COR_24_2" w:history="1">
              <w:r>
                <w:rPr>
                  <w:color w:val="2F75B5"/>
                  <w:u w:val="single"/>
                  <w:sz w:val="14"/>
                </w:rPr>
                <w:t>T2-COR-24.2</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Следствие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Показатель «общая достоверность 87%» запрещён, если не задана формула агрегации, её единицы, калибровка и статус</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3459" w:history="1">
              <w:r>
                <w:rPr>
                  <w:color w:val="2F75B5"/>
                  <w:u w:val="single"/>
                  <w:sz w:val="14"/>
                </w:rPr>
                <w:t>386. Теорема о невозможности канонической скаляризации</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4_5" w:history="1">
              <w:r>
                <w:rPr>
                  <w:color w:val="2F75B5"/>
                  <w:u w:val="single"/>
                  <w:sz w:val="14"/>
                </w:rPr>
                <w:t>T2-DEF-24.5</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Release manifest есть</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3477" w:history="1">
              <w:r>
                <w:rPr>
                  <w:color w:val="2F75B5"/>
                  <w:u w:val="single"/>
                  <w:sz w:val="14"/>
                </w:rPr>
                <w:t>389. Глобальный контракт выпуска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DEF_24_6" w:history="1">
              <w:r>
                <w:rPr>
                  <w:color w:val="2F75B5"/>
                  <w:u w:val="single"/>
                  <w:sz w:val="14"/>
                </w:rPr>
                <w:t>T2-DEF-24.6</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Определение</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Итоговый вердикт есть кортеж</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DEF-A</w:t>
            </w:r>
          </w:p>
        </w:tc>
        <w:tc>
          <w:tcPr>
            <w:tcW w:type="dxa" w:w="2551"/>
            <w:vAlign w:val="center"/>
            <w:tcMar>
              <w:top w:w="80" w:type="dxa"/>
              <w:start w:w="100" w:type="dxa"/>
              <w:bottom w:w="80" w:type="dxa"/>
              <w:end w:w="100" w:type="dxa"/>
            </w:tcMar>
          </w:tcPr>
          <w:p>
            <w:pPr>
              <w:spacing w:before="0" w:after="0" w:line="240" w:lineRule="auto"/>
            </w:pPr>
            <w:hyperlink w:anchor="h_3523" w:history="1">
              <w:r>
                <w:rPr>
                  <w:color w:val="2F75B5"/>
                  <w:u w:val="single"/>
                  <w:sz w:val="14"/>
                </w:rPr>
                <w:t>401. Составной вердикт вместо одного ярлыка</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4_3" w:history="1">
              <w:r>
                <w:rPr>
                  <w:color w:val="2F75B5"/>
                  <w:u w:val="single"/>
                  <w:sz w:val="14"/>
                </w:rPr>
                <w:t>T2-THM-24.3</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Пусть Block(Q)⊆Block(Q′) и все остальные данные одинаковы</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UNMARKED</w:t>
            </w:r>
          </w:p>
        </w:tc>
        <w:tc>
          <w:tcPr>
            <w:tcW w:type="dxa" w:w="2551"/>
            <w:vAlign w:val="center"/>
            <w:tcMar>
              <w:top w:w="80" w:type="dxa"/>
              <w:start w:w="100" w:type="dxa"/>
              <w:bottom w:w="80" w:type="dxa"/>
              <w:end w:w="100" w:type="dxa"/>
            </w:tcMar>
          </w:tcPr>
          <w:p>
            <w:pPr>
              <w:spacing w:before="0" w:after="0" w:line="240" w:lineRule="auto"/>
            </w:pPr>
            <w:hyperlink w:anchor="h_3532" w:history="1">
              <w:r>
                <w:rPr>
                  <w:color w:val="2F75B5"/>
                  <w:u w:val="single"/>
                  <w:sz w:val="14"/>
                </w:rPr>
                <w:t>403. Теорема о монотонности ABSTAIN</w:t>
              </w:r>
            </w:hyperlink>
          </w:p>
        </w:tc>
      </w:tr>
      <w:tr>
        <w:trPr>
          <w:cantSplit/>
        </w:trPr>
        <w:tc>
          <w:tcPr>
            <w:tcW w:type="dxa" w:w="1587"/>
            <w:vAlign w:val="center"/>
            <w:tcMar>
              <w:top w:w="80" w:type="dxa"/>
              <w:start w:w="100" w:type="dxa"/>
              <w:bottom w:w="80" w:type="dxa"/>
              <w:end w:w="100" w:type="dxa"/>
            </w:tcMar>
          </w:tcPr>
          <w:p>
            <w:pPr>
              <w:spacing w:before="0" w:after="0" w:line="240" w:lineRule="auto"/>
            </w:pPr>
            <w:hyperlink w:anchor="s_THM_24_4" w:history="1">
              <w:r>
                <w:rPr>
                  <w:color w:val="2F75B5"/>
                  <w:u w:val="single"/>
                  <w:sz w:val="14"/>
                </w:rPr>
                <w:t>T2-THM-24.4</w:t>
              </w:r>
            </w:hyperlink>
          </w:p>
        </w:tc>
        <w:tc>
          <w:tcPr>
            <w:tcW w:type="dxa" w:w="113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Теорема</w:t>
            </w:r>
          </w:p>
        </w:tc>
        <w:tc>
          <w:tcPr>
            <w:tcW w:type="dxa" w:w="379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KLT-RBD end-to-end safety theorem</w:t>
            </w:r>
          </w:p>
        </w:tc>
        <w:tc>
          <w:tcPr>
            <w:tcW w:type="dxa" w:w="1814"/>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w:t>
            </w:r>
          </w:p>
        </w:tc>
        <w:tc>
          <w:tcPr>
            <w:tcW w:type="dxa" w:w="2551"/>
            <w:vAlign w:val="center"/>
            <w:tcMar>
              <w:top w:w="80" w:type="dxa"/>
              <w:start w:w="100" w:type="dxa"/>
              <w:bottom w:w="80" w:type="dxa"/>
              <w:end w:w="100" w:type="dxa"/>
            </w:tcMar>
          </w:tcPr>
          <w:p>
            <w:pPr>
              <w:spacing w:before="0" w:after="0" w:line="240" w:lineRule="auto"/>
            </w:pPr>
            <w:hyperlink w:anchor="h_3536" w:history="1">
              <w:r>
                <w:rPr>
                  <w:color w:val="2F75B5"/>
                  <w:u w:val="single"/>
                  <w:sz w:val="14"/>
                </w:rPr>
                <w:t>404. Общая условная теорема end-to-end безопасности</w:t>
              </w:r>
            </w:hyperlink>
          </w:p>
        </w:tc>
      </w:tr>
    </w:tbl>
    <w:p>
      <w:r>
        <w:br w:type="page"/>
      </w:r>
    </w:p>
    <w:p>
      <w:bookmarkStart w:id="2618" w:name="h_3708"/>
      <w:pPr>
        <w:pStyle w:val="Heading1"/>
      </w:pPr>
      <w:r>
        <w:t>Приложение T2-B. Полный реестр доказательных обязательств T2-PO-001–T2-PO-500</w:t>
      </w:r>
      <w:bookmarkEnd w:id="2618"/>
    </w:p>
    <w:p>
      <w:pPr>
        <w:pStyle w:val="Lead"/>
      </w:pPr>
      <w:r>
        <w:t>Исходный статус сохраняется; нормализованный класс предназначен для сводной аналитики и не заменяет текст обязательства.</w:t>
      </w:r>
    </w:p>
    <w:tbl>
      <w:tblPr>
        <w:tblStyle w:val="TableGrid"/>
        <w:tblW w:type="auto" w:w="0"/>
        <w:jc w:val="center"/>
        <w:tblLook w:firstColumn="1" w:firstRow="1" w:lastColumn="0" w:lastRow="0" w:noHBand="0" w:noVBand="1" w:val="04A0"/>
      </w:tblPr>
      <w:tblGrid>
        <w:gridCol w:w="1950"/>
        <w:gridCol w:w="1950"/>
        <w:gridCol w:w="1950"/>
        <w:gridCol w:w="1950"/>
        <w:gridCol w:w="1950"/>
      </w:tblGrid>
      <w:tr>
        <w:trPr>
          <w:tblHeader w:val="true"/>
          <w:cantSplit/>
        </w:trPr>
        <w:tc>
          <w:tcPr>
            <w:tcW w:type="dxa" w:w="1361"/>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3"/>
              </w:rPr>
              <w:t>PO</w:t>
            </w:r>
          </w:p>
        </w:tc>
        <w:tc>
          <w:tcPr>
            <w:tcW w:type="dxa" w:w="3742"/>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3"/>
              </w:rPr>
              <w:t>Описание</w:t>
            </w:r>
          </w:p>
        </w:tc>
        <w:tc>
          <w:tcPr>
            <w:tcW w:type="dxa" w:w="1701"/>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3"/>
              </w:rPr>
              <w:t>Исходный статус</w:t>
            </w:r>
          </w:p>
        </w:tc>
        <w:tc>
          <w:tcPr>
            <w:tcW w:type="dxa" w:w="1361"/>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3"/>
              </w:rPr>
              <w:t>Норм. класс</w:t>
            </w:r>
          </w:p>
        </w:tc>
        <w:tc>
          <w:tcPr>
            <w:tcW w:type="dxa" w:w="2835"/>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3"/>
              </w:rPr>
              <w:t>Evidence / следующий шаг</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01" w:history="1">
              <w:r>
                <w:rPr>
                  <w:color w:val="2F75B5"/>
                  <w:u w:val="single"/>
                  <w:sz w:val="14"/>
                </w:rPr>
                <w:t>T2-PO-001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Определения/объекты главы заданы типизированно и снабжены Dom/Cod.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Definition/typing dossier | Собрать канонические входы; проверить коллизии. | Гл. 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02" w:history="1">
              <w:r>
                <w:rPr>
                  <w:color w:val="2F75B5"/>
                  <w:u w:val="single"/>
                  <w:sz w:val="14"/>
                </w:rPr>
                <w:t>T2-PO-002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Главный переход главы доказан либо явно оставлен условным с контрпримером.</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Proof or countermodel dossier | Построить доказательство, отрицательную модель и критерий закрытия. | Гл. 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03" w:history="1">
              <w:r>
                <w:rPr>
                  <w:color w:val="2F75B5"/>
                  <w:u w:val="single"/>
                  <w:sz w:val="14"/>
                </w:rPr>
                <w:t>T2-PO-003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Полный NOTATION LEDGER, типы и резервирование символов.</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§10.1–10.3 | Поддерживать при каждой новой главе.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04" w:history="1">
              <w:r>
                <w:rPr>
                  <w:color w:val="2F75B5"/>
                  <w:u w:val="single"/>
                  <w:sz w:val="14"/>
                </w:rPr>
                <w:t>T2-PO-004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Коллизии ⊙/⋆/⋆_Hdg/δ/δ_min устранены.</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Лемма 2.1; контрпримеры 2.1–2.2 | Автоматический notation audit в приложении.</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05" w:history="1">
              <w:r>
                <w:rPr>
                  <w:color w:val="2F75B5"/>
                  <w:u w:val="single"/>
                  <w:sz w:val="14"/>
                </w:rPr>
                <w:t>T2-PO-005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Объекты, морфизмы, тождества и композиция NAPG_q определены.</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Def. 3.1–3.2; Thm. 3.1 | Расширить до топологических кадров.</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06" w:history="1">
              <w:r>
                <w:rPr>
                  <w:color w:val="2F75B5"/>
                  <w:u w:val="single"/>
                  <w:sz w:val="14"/>
                </w:rPr>
                <w:t>T2-PO-006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Построены контрмодели к M1–M4 и Dom.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Контрпримеры 3.1–3.6 | Добавить машинные тесты.</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07" w:history="1">
              <w:r>
                <w:rPr>
                  <w:color w:val="2F75B5"/>
                  <w:u w:val="single"/>
                  <w:sz w:val="14"/>
                </w:rPr>
                <w:t>T2-PO-007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Градуированная билинейная алгебра и формальный язык типизированы.</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 ALG</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§12.1–12.3 | Аналитические нормы отдельно.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08" w:history="1">
              <w:r>
                <w:rPr>
                  <w:color w:val="2F75B5"/>
                  <w:u w:val="single"/>
                  <w:sz w:val="14"/>
                </w:rPr>
                <w:t>T2-PO-008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Главный переход главы доказан либо явно оставлен условным с контрпримером.</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Proof or countermodel dossier | Построить доказательство, отрицательную модель и критерий закрытия. | Гл. 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09" w:history="1">
              <w:r>
                <w:rPr>
                  <w:color w:val="2F75B5"/>
                  <w:u w:val="single"/>
                  <w:sz w:val="14"/>
                </w:rPr>
                <w:t>T2-PO-009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Общий мост Ass_⊙ ↔ curvature/Hol_D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сначала задать геометрическую связность и типы обоих носителей</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10" w:history="1">
              <w:r>
                <w:rPr>
                  <w:color w:val="2F75B5"/>
                  <w:u w:val="single"/>
                  <w:sz w:val="14"/>
                </w:rPr>
                <w:t>T2-PO-010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Естественный ассоциаторный инвариант/β_Ass.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Контрпример 4.5 | tom2_v0_3; не смешивать с O_B.</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11" w:history="1">
              <w:r>
                <w:rPr>
                  <w:color w:val="2F75B5"/>
                  <w:u w:val="single"/>
                  <w:sz w:val="14"/>
                </w:rPr>
                <w:t>T2-PO-011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Типизированные ядра, центр и J_Ass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перенос в итоговую главу 5</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12" w:history="1">
              <w:r>
                <w:rPr>
                  <w:color w:val="2F75B5"/>
                  <w:u w:val="single"/>
                  <w:sz w:val="14"/>
                </w:rPr>
                <w:t>T2-PO-012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Универсальность ассоциативного фактора</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добавить категориальную формулировку как левый сопряжённый функтор</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13" w:history="1">
              <w:r>
                <w:rPr>
                  <w:color w:val="2F75B5"/>
                  <w:u w:val="single"/>
                  <w:sz w:val="14"/>
                </w:rPr>
                <w:t>T2-PO-013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No-go для диагонального кодирования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вычислительные тесты на октонионах</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14" w:history="1">
              <w:r>
                <w:rPr>
                  <w:color w:val="2F75B5"/>
                  <w:u w:val="single"/>
                  <w:sz w:val="14"/>
                </w:rPr>
                <w:t>T2-PO-014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Полный R⋆R-сертификат</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char≠2,3; исследовать характеристики 2 и 3</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15" w:history="1">
              <w:r>
                <w:rPr>
                  <w:color w:val="2F75B5"/>
                  <w:u w:val="single"/>
                  <w:sz w:val="14"/>
                </w:rPr>
                <w:t>T2-PO-015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Детерминантный горизонт переходов</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реализовать символьный сертификат</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16" w:history="1">
              <w:r>
                <w:rPr>
                  <w:color w:val="2F75B5"/>
                  <w:u w:val="single"/>
                  <w:sz w:val="14"/>
                </w:rPr>
                <w:t>T2-PO-016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Полная точность представимого NAPG-функтора</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Поддерживать типовую дисциплину при расширении категории.</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17" w:history="1">
              <w:r>
                <w:rPr>
                  <w:color w:val="2F75B5"/>
                  <w:u w:val="single"/>
                  <w:sz w:val="14"/>
                </w:rPr>
                <w:t>T2-PO-017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Натуральность Adm и Valid(D)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Формализовать классы допустимых тестовых морфизмов.</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18" w:history="1">
              <w:r>
                <w:rPr>
                  <w:color w:val="2F75B5"/>
                  <w:u w:val="single"/>
                  <w:sz w:val="14"/>
                </w:rPr>
                <w:t>T2-PO-018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Глобальное существование Spec_R/Gamma_R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Выбрать конкретный спектр и структурный пучок для целевой подкategории.</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19" w:history="1">
              <w:r>
                <w:rPr>
                  <w:color w:val="2F75B5"/>
                  <w:u w:val="single"/>
                  <w:sz w:val="14"/>
                </w:rPr>
                <w:t>T2-PO-019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Реконструкция unit/counit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eta, epsilon на явных моделях A2, M2 и octonion layer.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20" w:history="1">
              <w:r>
                <w:rPr>
                  <w:color w:val="2F75B5"/>
                  <w:u w:val="single"/>
                  <w:sz w:val="14"/>
                </w:rPr>
                <w:t>T2-PO-020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Faithfulness point-set spectrum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CLOSED-NEG</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Сохранять no-go как обязательный контртест.</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21" w:history="1">
              <w:r>
                <w:rPr>
                  <w:color w:val="2F75B5"/>
                  <w:u w:val="single"/>
                  <w:sz w:val="14"/>
                </w:rPr>
                <w:t>T2-PO-021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Projective Reper atlas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CLOSED-FORMAL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нетривиальный атлас с несколькими картами.</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22" w:history="1">
              <w:r>
                <w:rPr>
                  <w:color w:val="2F75B5"/>
                  <w:u w:val="single"/>
                  <w:sz w:val="14"/>
                </w:rPr>
                <w:t>T2-PO-022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Non-PGL chart counterexample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Включить в автоматический тест TEST-NONPGL-07.</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23" w:history="1">
              <w:r>
                <w:rPr>
                  <w:color w:val="2F75B5"/>
                  <w:u w:val="single"/>
                  <w:sz w:val="14"/>
                </w:rPr>
                <w:t>T2-PO-023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Conjugacy bridge algebra-geometry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Определить геометрические структурные карты главы 7-9.</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24" w:history="1">
              <w:r>
                <w:rPr>
                  <w:color w:val="2F75B5"/>
                  <w:u w:val="single"/>
                  <w:sz w:val="14"/>
                </w:rPr>
                <w:t>T2-PO-024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Dual horizon equality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после T2-PO-023 на явной семье.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25" w:history="1">
              <w:r>
                <w:rPr>
                  <w:color w:val="2F75B5"/>
                  <w:u w:val="single"/>
                  <w:sz w:val="14"/>
                </w:rPr>
                <w:t>T2-PO-025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Banach/Hilbert completion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Перенести в аналитический слой после главы 11.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26" w:history="1">
              <w:r>
                <w:rPr>
                  <w:color w:val="2F75B5"/>
                  <w:u w:val="single"/>
                  <w:sz w:val="14"/>
                </w:rPr>
                <w:t>T2-PO-026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predictive certificate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Предрегистрация вычислительного теста без физических утверждений.</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27" w:history="1">
              <w:r>
                <w:rPr>
                  <w:color w:val="2F75B5"/>
                  <w:u w:val="single"/>
                  <w:sz w:val="14"/>
                </w:rPr>
                <w:t>T2-PO-027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Топология/гладкость Aut_NAPG(F) для модельных волокон</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для A₂, M₂ и octonion layer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28" w:history="1">
              <w:r>
                <w:rPr>
                  <w:color w:val="2F75B5"/>
                  <w:u w:val="single"/>
                  <w:sz w:val="14"/>
                </w:rPr>
                <w:t>T2-PO-028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Effective descent категории NAPG_q</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задать stack/pseudofunctor и доказать effectiveness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29" w:history="1">
              <w:r>
                <w:rPr>
                  <w:color w:val="2F75B5"/>
                  <w:u w:val="single"/>
                  <w:sz w:val="14"/>
                </w:rPr>
                <w:t>T2-PO-029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Cocycle gluing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7.9</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30" w:history="1">
              <w:r>
                <w:rPr>
                  <w:color w:val="2F75B5"/>
                  <w:u w:val="single"/>
                  <w:sz w:val="14"/>
                </w:rPr>
                <w:t>T2-PO-030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No-go для неассоциативной композиции переходов</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7.4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31" w:history="1">
              <w:r>
                <w:rPr>
                  <w:color w:val="2F75B5"/>
                  <w:u w:val="single"/>
                  <w:sz w:val="14"/>
                </w:rPr>
                <w:t>T2-PO-031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Спуск операции и J_Ass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7.12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32" w:history="1">
              <w:r>
                <w:rPr>
                  <w:color w:val="2F75B5"/>
                  <w:u w:val="single"/>
                  <w:sz w:val="14"/>
                </w:rPr>
                <w:t>T2-PO-032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Глобальность λ</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7.6</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33" w:history="1">
              <w:r>
                <w:rPr>
                  <w:color w:val="2F75B5"/>
                  <w:u w:val="single"/>
                  <w:sz w:val="14"/>
                </w:rPr>
                <w:t>T2-PO-033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Спуск Evidence-D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формализовать provenance category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34" w:history="1">
              <w:r>
                <w:rPr>
                  <w:color w:val="2F75B5"/>
                  <w:u w:val="single"/>
                  <w:sz w:val="14"/>
                </w:rPr>
                <w:t>T2-PO-034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Спуск Hodge star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7.17</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35" w:history="1">
              <w:r>
                <w:rPr>
                  <w:color w:val="2F75B5"/>
                  <w:u w:val="single"/>
                  <w:sz w:val="14"/>
                </w:rPr>
                <w:t>T2-PO-035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Центральный lifting obstruction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CLOSED/LOCAL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7.19; выбрать конкретный Z</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36" w:history="1">
              <w:r>
                <w:rPr>
                  <w:color w:val="2F75B5"/>
                  <w:u w:val="single"/>
                  <w:sz w:val="14"/>
                </w:rPr>
                <w:t>T2-PO-036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Связь 𝒪_B с Čech obstruction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 отождествлять; построить natural transformation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37" w:history="1">
              <w:r>
                <w:rPr>
                  <w:color w:val="2F75B5"/>
                  <w:u w:val="single"/>
                  <w:sz w:val="14"/>
                </w:rPr>
                <w:t>T2-PO-037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Section obstruction tower для predictive bundle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задать волокно F и π_k(F)</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38" w:history="1">
              <w:r>
                <w:rPr>
                  <w:color w:val="2F75B5"/>
                  <w:u w:val="single"/>
                  <w:sz w:val="14"/>
                </w:rPr>
                <w:t>T2-PO-038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Homotopy constancy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7.23</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39" w:history="1">
              <w:r>
                <w:rPr>
                  <w:color w:val="2F75B5"/>
                  <w:u w:val="single"/>
                  <w:sz w:val="14"/>
                </w:rPr>
                <w:t>T2-PO-039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Вычислительный atlas/cocycle certificate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реализовать TEST-ATLAS-01 - TEST-HASH-14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40" w:history="1">
              <w:r>
                <w:rPr>
                  <w:color w:val="2F75B5"/>
                  <w:u w:val="single"/>
                  <w:sz w:val="14"/>
                </w:rPr>
                <w:t>T2-PO-040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global prediction 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после доменного адаптера; статус не повышать</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41" w:history="1">
              <w:r>
                <w:rPr>
                  <w:color w:val="2F75B5"/>
                  <w:u w:val="single"/>
                  <w:sz w:val="14"/>
                </w:rPr>
                <w:t>T2-PO-041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Сравнение curve/dual-number/derivation tangent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CLOSED/LOCAL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8.2; глобализовать по атласу</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42" w:history="1">
              <w:r>
                <w:rPr>
                  <w:color w:val="2F75B5"/>
                  <w:u w:val="single"/>
                  <w:sz w:val="14"/>
                </w:rPr>
                <w:t>T2-PO-042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Кокасательный модуль NAPG вне commutative envelope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задать универсальный bimodule differential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43" w:history="1">
              <w:r>
                <w:rPr>
                  <w:color w:val="2F75B5"/>
                  <w:u w:val="single"/>
                  <w:sz w:val="14"/>
                </w:rPr>
                <w:t>T2-PO-043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Формула линеаризации 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8.12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44" w:history="1">
              <w:r>
                <w:rPr>
                  <w:color w:val="2F75B5"/>
                  <w:u w:val="single"/>
                  <w:sz w:val="14"/>
                </w:rPr>
                <w:t>T2-PO-044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Gauge complex и Der-stabilizer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8.15</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45" w:history="1">
              <w:r>
                <w:rPr>
                  <w:color w:val="2F75B5"/>
                  <w:u w:val="single"/>
                  <w:sz w:val="14"/>
                </w:rPr>
                <w:t>T2-PO-045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Finite-projective tangent/cotangent duality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проверять на моделях</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46" w:history="1">
              <w:r>
                <w:rPr>
                  <w:color w:val="2F75B5"/>
                  <w:u w:val="single"/>
                  <w:sz w:val="14"/>
                </w:rPr>
                <w:t>T2-PO-046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Tangent cone для пространства NAPG-операций</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вычислить initial ideals A₂/M₂/octonions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47" w:history="1">
              <w:r>
                <w:rPr>
                  <w:color w:val="2F75B5"/>
                  <w:u w:val="single"/>
                  <w:sz w:val="14"/>
                </w:rPr>
                <w:t>T2-PO-047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Second-order obstruction map</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связать Q с Θ_min и O_B</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48" w:history="1">
              <w:r>
                <w:rPr>
                  <w:color w:val="2F75B5"/>
                  <w:u w:val="single"/>
                  <w:sz w:val="14"/>
                </w:rPr>
                <w:t>T2-PO-048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Интегрируемость H²_red классов</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formal arcs и versal model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49" w:history="1">
              <w:r>
                <w:rPr>
                  <w:color w:val="2F75B5"/>
                  <w:u w:val="single"/>
                  <w:sz w:val="14"/>
                </w:rPr>
                <w:t>T2-PO-049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Smooth locus quotient NAPG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free/proper или stacky replacement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50" w:history="1">
              <w:r>
                <w:rPr>
                  <w:color w:val="2F75B5"/>
                  <w:u w:val="single"/>
                  <w:sz w:val="14"/>
                </w:rPr>
                <w:t>T2-PO-050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Differential/Hessian λ</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CLOSED/LOCAL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теоремы 8.28 и 8.31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51" w:history="1">
              <w:r>
                <w:rPr>
                  <w:color w:val="2F75B5"/>
                  <w:u w:val="single"/>
                  <w:sz w:val="14"/>
                </w:rPr>
                <w:t>T2-PO-051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Linearization horizon Δ_lin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DEFINED/OPEN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вычислить на параметрических моделях</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52" w:history="1">
              <w:r>
                <w:rPr>
                  <w:color w:val="2F75B5"/>
                  <w:u w:val="single"/>
                  <w:sz w:val="14"/>
                </w:rPr>
                <w:t>T2-PO-052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Tangent-safe predictive certificate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реализовать TEST-TAN-01 - TEST-HASH-14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53" w:history="1">
              <w:r>
                <w:rPr>
                  <w:color w:val="2F75B5"/>
                  <w:u w:val="single"/>
                  <w:sz w:val="14"/>
                </w:rPr>
                <w:t>T2-PO-053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domain 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только после адаптера и preregistration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54" w:history="1">
              <w:r>
                <w:rPr>
                  <w:color w:val="2F75B5"/>
                  <w:u w:val="single"/>
                  <w:sz w:val="14"/>
                </w:rPr>
                <w:t>T2-PO-054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Строгая категория D-допустимых путей и существование transport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частично 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55" w:history="1">
              <w:r>
                <w:rPr>
                  <w:color w:val="2F75B5"/>
                  <w:u w:val="single"/>
                  <w:sz w:val="14"/>
                </w:rPr>
                <w:t>T2-PO-055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Ассоциативность transport composition и no-go Hol=Ass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56" w:history="1">
              <w:r>
                <w:rPr>
                  <w:color w:val="2F75B5"/>
                  <w:u w:val="single"/>
                  <w:sz w:val="14"/>
                </w:rPr>
                <w:t>T2-PO-056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D-Ambrose-Singer для ограниченной системы путей</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57" w:history="1">
              <w:r>
                <w:rPr>
                  <w:color w:val="2F75B5"/>
                  <w:u w:val="single"/>
                  <w:sz w:val="14"/>
                </w:rPr>
                <w:t>T2-PO-057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Эквивалентность C_∇=0 и сохранения μ транспортом</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58" w:history="1">
              <w:r>
                <w:rPr>
                  <w:color w:val="2F75B5"/>
                  <w:u w:val="single"/>
                  <w:sz w:val="14"/>
                </w:rPr>
                <w:t>T2-PO-058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Формула ∇Ass через C_∇</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59" w:history="1">
              <w:r>
                <w:rPr>
                  <w:color w:val="2F75B5"/>
                  <w:u w:val="single"/>
                  <w:sz w:val="14"/>
                </w:rPr>
                <w:t>T2-PO-059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Определение и естественность K_Ass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THM/DEF-A</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 в typed sector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60" w:history="1">
              <w:r>
                <w:rPr>
                  <w:color w:val="2F75B5"/>
                  <w:u w:val="single"/>
                  <w:sz w:val="14"/>
                </w:rPr>
                <w:t>T2-PO-060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Существование Akivis/Sabinin-моста β</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 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61" w:history="1">
              <w:r>
                <w:rPr>
                  <w:color w:val="2F75B5"/>
                  <w:u w:val="single"/>
                  <w:sz w:val="14"/>
                </w:rPr>
                <w:t>T2-PO-061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Независимость β от карт и калибровок</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 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62" w:history="1">
              <w:r>
                <w:rPr>
                  <w:color w:val="2F75B5"/>
                  <w:u w:val="single"/>
                  <w:sz w:val="14"/>
                </w:rPr>
                <w:t>T2-PO-062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Октонионная совместимая модель</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63" w:history="1">
              <w:r>
                <w:rPr>
                  <w:color w:val="2F75B5"/>
                  <w:u w:val="single"/>
                  <w:sz w:val="14"/>
                </w:rPr>
                <w:t>T2-PO-063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Universal-equality no-go</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64" w:history="1">
              <w:r>
                <w:rPr>
                  <w:color w:val="2F75B5"/>
                  <w:u w:val="single"/>
                  <w:sz w:val="14"/>
                </w:rPr>
                <w:t>T2-PO-064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Полнота конечного сертификата G_N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65" w:history="1">
              <w:r>
                <w:rPr>
                  <w:color w:val="2F75B5"/>
                  <w:u w:val="single"/>
                  <w:sz w:val="14"/>
                </w:rPr>
                <w:t>T2-PO-065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Локальная постоянность rank G_N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66" w:history="1">
              <w:r>
                <w:rPr>
                  <w:color w:val="2F75B5"/>
                  <w:u w:val="single"/>
                  <w:sz w:val="14"/>
                </w:rPr>
                <w:t>T2-PO-066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Common-PGL₂ invariance of λ</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67" w:history="1">
              <w:r>
                <w:rPr>
                  <w:color w:val="2F75B5"/>
                  <w:u w:val="single"/>
                  <w:sz w:val="14"/>
                </w:rPr>
                <w:t>T2-PO-067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Relative Reper connection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DEF-A/OPEN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определено, реализация открыта</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68" w:history="1">
              <w:r>
                <w:rPr>
                  <w:color w:val="2F75B5"/>
                  <w:u w:val="single"/>
                  <w:sz w:val="14"/>
                </w:rPr>
                <w:t>T2-PO-068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Holonomy-associator-safe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сформулировано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69" w:history="1">
              <w:r>
                <w:rPr>
                  <w:color w:val="2F75B5"/>
                  <w:u w:val="single"/>
                  <w:sz w:val="14"/>
                </w:rPr>
                <w:t>T2-PO-069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Независимый доменный запуск HOL-ASS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 исполнен</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70" w:history="1">
              <w:r>
                <w:rPr>
                  <w:color w:val="2F75B5"/>
                  <w:u w:val="single"/>
                  <w:sz w:val="14"/>
                </w:rPr>
                <w:t>T2-PO-070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Типизированный пучок Ω_N^• и partial product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DEF-A</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SPECIFIED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определено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71" w:history="1">
              <w:r>
                <w:rPr>
                  <w:color w:val="2F75B5"/>
                  <w:u w:val="single"/>
                  <w:sz w:val="14"/>
                </w:rPr>
                <w:t>T2-PO-071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Leibniz defect и graded derivation package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72" w:history="1">
              <w:r>
                <w:rPr>
                  <w:color w:val="2F75B5"/>
                  <w:u w:val="single"/>
                  <w:sz w:val="14"/>
                </w:rPr>
                <w:t>T2-PO-072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Замкнутость derivations и d² как even derivation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73" w:history="1">
              <w:r>
                <w:rPr>
                  <w:color w:val="2F75B5"/>
                  <w:u w:val="single"/>
                  <w:sz w:val="14"/>
                </w:rPr>
                <w:t>T2-PO-073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Associator differential identity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74" w:history="1">
              <w:r>
                <w:rPr>
                  <w:color w:val="2F75B5"/>
                  <w:u w:val="single"/>
                  <w:sz w:val="14"/>
                </w:rPr>
                <w:t>T2-PO-074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No-go: Leibniz не влечёт d²=0</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75" w:history="1">
              <w:r>
                <w:rPr>
                  <w:color w:val="2F75B5"/>
                  <w:u w:val="single"/>
                  <w:sz w:val="14"/>
                </w:rPr>
                <w:t>T2-PO-075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Sheaf-locality и support property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 в sheaf sector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76" w:history="1">
              <w:r>
                <w:rPr>
                  <w:color w:val="2F75B5"/>
                  <w:u w:val="single"/>
                  <w:sz w:val="14"/>
                </w:rPr>
                <w:t>T2-PO-076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Gluing theorem для локальных d_i</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77" w:history="1">
              <w:r>
                <w:rPr>
                  <w:color w:val="2F75B5"/>
                  <w:u w:val="single"/>
                  <w:sz w:val="14"/>
                </w:rPr>
                <w:t>T2-PO-077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Čech obstruction class из K_ij</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 coefficient sheaf</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78" w:history="1">
              <w:r>
                <w:rPr>
                  <w:color w:val="2F75B5"/>
                  <w:u w:val="single"/>
                  <w:sz w:val="14"/>
                </w:rPr>
                <w:t>T2-PO-078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Mixed internal/E compatibility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 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79" w:history="1">
              <w:r>
                <w:rPr>
                  <w:color w:val="2F75B5"/>
                  <w:u w:val="single"/>
                  <w:sz w:val="14"/>
                </w:rPr>
                <w:t>T2-PO-079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Cert_E и Π_E well-definedness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 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80" w:history="1">
              <w:r>
                <w:rPr>
                  <w:color w:val="2F75B5"/>
                  <w:u w:val="single"/>
                  <w:sz w:val="14"/>
                </w:rPr>
                <w:t>T2-PO-080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Hodge codifferential и sign convention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локально закрыто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81" w:history="1">
              <w:r>
                <w:rPr>
                  <w:color w:val="2F75B5"/>
                  <w:u w:val="single"/>
                  <w:sz w:val="14"/>
                </w:rPr>
                <w:t>T2-PO-081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Hodge decomposition на стратах</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аналитические blockers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82" w:history="1">
              <w:r>
                <w:rPr>
                  <w:color w:val="2F75B5"/>
                  <w:u w:val="single"/>
                  <w:sz w:val="14"/>
                </w:rPr>
                <w:t>T2-PO-082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Differential Reper certificate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DEF-A/COMP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специфицировано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83" w:history="1">
              <w:r>
                <w:rPr>
                  <w:color w:val="2F75B5"/>
                  <w:u w:val="single"/>
                  <w:sz w:val="14"/>
                </w:rPr>
                <w:t>T2-PO-083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Rank constancy и Δ_diff</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закрыто finite analytic sector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84" w:history="1">
              <w:r>
                <w:rPr>
                  <w:color w:val="2F75B5"/>
                  <w:u w:val="single"/>
                  <w:sz w:val="14"/>
                </w:rPr>
                <w:t>T2-PO-084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Differential-safe predictive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сформулировано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85" w:history="1">
              <w:r>
                <w:rPr>
                  <w:color w:val="2F75B5"/>
                  <w:u w:val="single"/>
                  <w:sz w:val="14"/>
                </w:rPr>
                <w:t>T2-PO-085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Banach/Hilbert extension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 построено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86" w:history="1">
              <w:r>
                <w:rPr>
                  <w:color w:val="2F75B5"/>
                  <w:u w:val="single"/>
                  <w:sz w:val="14"/>
                </w:rPr>
                <w:t>T2-PO-086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Независимый запуск DIFF-NAPG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 исполнен</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87" w:history="1">
              <w:r>
                <w:rPr>
                  <w:color w:val="2F75B5"/>
                  <w:u w:val="single"/>
                  <w:sz w:val="14"/>
                </w:rPr>
                <w:t>T2-PO-087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Типизированный C_min и nilpotency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§84; F077-F078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88" w:history="1">
              <w:r>
                <w:rPr>
                  <w:color w:val="2F75B5"/>
                  <w:u w:val="single"/>
                  <w:sz w:val="14"/>
                </w:rPr>
                <w:t>T2-PO-088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H²=ker Ψ и H³=coker Ψ</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89" w:history="1">
              <w:r>
                <w:rPr>
                  <w:color w:val="2F75B5"/>
                  <w:u w:val="single"/>
                  <w:sz w:val="14"/>
                </w:rPr>
                <w:t>T2-PO-089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Естественная точная последовательность</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12.3</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90" w:history="1">
              <w:r>
                <w:rPr>
                  <w:color w:val="2F75B5"/>
                  <w:u w:val="single"/>
                  <w:sz w:val="14"/>
                </w:rPr>
                <w:t>T2-PO-090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Функториальность C_min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91" w:history="1">
              <w:r>
                <w:rPr>
                  <w:color w:val="2F75B5"/>
                  <w:u w:val="single"/>
                  <w:sz w:val="14"/>
                </w:rPr>
                <w:t>T2-PO-091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Естественность κ:O_B≅H³</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12.5</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92" w:history="1">
              <w:r>
                <w:rPr>
                  <w:color w:val="2F75B5"/>
                  <w:u w:val="single"/>
                  <w:sz w:val="14"/>
                </w:rPr>
                <w:t>T2-PO-092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Критерий подъёма</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12.6</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93" w:history="1">
              <w:r>
                <w:rPr>
                  <w:color w:val="2F75B5"/>
                  <w:u w:val="single"/>
                  <w:sz w:val="14"/>
                </w:rPr>
                <w:t>T2-PO-093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H²-торсор подъёмов</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12.7</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94" w:history="1">
              <w:r>
                <w:rPr>
                  <w:color w:val="2F75B5"/>
                  <w:u w:val="single"/>
                  <w:sz w:val="14"/>
                </w:rPr>
                <w:t>T2-PO-094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Универсальное chain-map property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12.8 | существование внешних J²,J³ отдельно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95" w:history="1">
              <w:r>
                <w:rPr>
                  <w:color w:val="2F75B5"/>
                  <w:u w:val="single"/>
                  <w:sz w:val="14"/>
                </w:rPr>
                <w:t>T2-PO-095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Field base-change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12.9 | кольцевой non-flat base-change не охвачен</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96" w:history="1">
              <w:r>
                <w:rPr>
                  <w:color w:val="2F75B5"/>
                  <w:u w:val="single"/>
                  <w:sz w:val="14"/>
                </w:rPr>
                <w:t>T2-PO-096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Block-sum additivity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12.10 | смешанные блоки открыты</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97" w:history="1">
              <w:r>
                <w:rPr>
                  <w:color w:val="2F75B5"/>
                  <w:u w:val="single"/>
                  <w:sz w:val="14"/>
                </w:rPr>
                <w:t>T2-PO-097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Residual и minimal-norm lift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12.11 | нужны нормы/convention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98" w:history="1">
              <w:r>
                <w:rPr>
                  <w:color w:val="2F75B5"/>
                  <w:u w:val="single"/>
                  <w:sz w:val="14"/>
                </w:rPr>
                <w:t>T2-PO-098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Obstruction bundle постоянного ранга</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12.12 | бесконечномерный случай открыт</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099" w:history="1">
              <w:r>
                <w:rPr>
                  <w:color w:val="2F75B5"/>
                  <w:u w:val="single"/>
                  <w:sz w:val="14"/>
                </w:rPr>
                <w:t>T2-PO-099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Устойчивая зона NO-LIFT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12.14 | требует сертифицированных bounds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00" w:history="1">
              <w:r>
                <w:rPr>
                  <w:color w:val="2F75B5"/>
                  <w:u w:val="single"/>
                  <w:sz w:val="14"/>
                </w:rPr>
                <w:t>T2-PO-100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Главная predictive theorem v0.9</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12.15 | H1-H8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01" w:history="1">
              <w:r>
                <w:rPr>
                  <w:color w:val="2F75B5"/>
                  <w:u w:val="single"/>
                  <w:sz w:val="14"/>
                </w:rPr>
                <w:t>T2-PO-101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Высшие препятствия после C_min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Глава 16 | нужна obstruction tower / MC-package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02" w:history="1">
              <w:r>
                <w:rPr>
                  <w:color w:val="2F75B5"/>
                  <w:u w:val="single"/>
                  <w:sz w:val="14"/>
                </w:rPr>
                <w:t>T2-PO-102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Внешний E-мост Π_E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Следующая сборка | B1-B8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03" w:history="1">
              <w:r>
                <w:rPr>
                  <w:color w:val="2F75B5"/>
                  <w:u w:val="single"/>
                  <w:sz w:val="14"/>
                </w:rPr>
                <w:t>T2-PO-103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Banach/Hilbert Fredholm-версия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замкнутый образ, complemented kernels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04" w:history="1">
              <w:r>
                <w:rPr>
                  <w:color w:val="2F75B5"/>
                  <w:u w:val="single"/>
                  <w:sz w:val="14"/>
                </w:rPr>
                <w:t>T2-PO-104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Независимый доменный запуск</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данные и preregistration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05" w:history="1">
              <w:r>
                <w:rPr>
                  <w:color w:val="2F75B5"/>
                  <w:u w:val="single"/>
                  <w:sz w:val="14"/>
                </w:rPr>
                <w:t>T2-PO-105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Физическая интерпретация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PHY-HYP/OPEN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Том III | независимая проверка</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06" w:history="1">
              <w:r>
                <w:rPr>
                  <w:color w:val="2F75B5"/>
                  <w:u w:val="single"/>
                  <w:sz w:val="14"/>
                </w:rPr>
                <w:t>T2-PO-106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 является комплексом</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THM/INPUT</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§101.1 | B1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07" w:history="1">
              <w:r>
                <w:rPr>
                  <w:color w:val="2F75B5"/>
                  <w:u w:val="single"/>
                  <w:sz w:val="14"/>
                </w:rPr>
                <w:t>T2-PO-107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J является цепной картой</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THM/INPUT</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§101.2 | B2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08" w:history="1">
              <w:r>
                <w:rPr>
                  <w:color w:val="2F75B5"/>
                  <w:u w:val="single"/>
                  <w:sz w:val="14"/>
                </w:rPr>
                <w:t>T2-PO-108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Критерий well-definedness Π_E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13.1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09" w:history="1">
              <w:r>
                <w:rPr>
                  <w:color w:val="2F75B5"/>
                  <w:u w:val="single"/>
                  <w:sz w:val="14"/>
                </w:rPr>
                <w:t>T2-PO-109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Естественность Π_E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 при B3-B5</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13.2 | B3-B5</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10" w:history="1">
              <w:r>
                <w:rPr>
                  <w:color w:val="2F75B5"/>
                  <w:u w:val="single"/>
                  <w:sz w:val="14"/>
                </w:rPr>
                <w:t>T2-PO-110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Односторонняя детекция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13.3</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11" w:history="1">
              <w:r>
                <w:rPr>
                  <w:color w:val="2F75B5"/>
                  <w:u w:val="single"/>
                  <w:sz w:val="14"/>
                </w:rPr>
                <w:t>T2-PO-111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Обратная детекция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13.4 | injectivity B6</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12" w:history="1">
              <w:r>
                <w:rPr>
                  <w:color w:val="2F75B5"/>
                  <w:u w:val="single"/>
                  <w:sz w:val="14"/>
                </w:rPr>
                <w:t>T2-PO-112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Mapping cone и exact sequence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13.5</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13" w:history="1">
              <w:r>
                <w:rPr>
                  <w:color w:val="2F75B5"/>
                  <w:u w:val="single"/>
                  <w:sz w:val="14"/>
                </w:rPr>
                <w:t>T2-PO-113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Blind/Excess defects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§104.2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14" w:history="1">
              <w:r>
                <w:rPr>
                  <w:color w:val="2F75B5"/>
                  <w:u w:val="single"/>
                  <w:sz w:val="14"/>
                </w:rPr>
                <w:t>T2-PO-114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Chain-homotopy invariance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13.6</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15" w:history="1">
              <w:r>
                <w:rPr>
                  <w:color w:val="2F75B5"/>
                  <w:u w:val="single"/>
                  <w:sz w:val="14"/>
                </w:rPr>
                <w:t>T2-PO-115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Категория внешних реализаций</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THM/DEF-A</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13.7</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16" w:history="1">
              <w:r>
                <w:rPr>
                  <w:color w:val="2F75B5"/>
                  <w:u w:val="single"/>
                  <w:sz w:val="14"/>
                </w:rPr>
                <w:t>T2-PO-116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Canonical external class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§106 | quasi-isomorphic realization category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17" w:history="1">
              <w:r>
                <w:rPr>
                  <w:color w:val="2F75B5"/>
                  <w:u w:val="single"/>
                  <w:sz w:val="14"/>
                </w:rPr>
                <w:t>T2-PO-117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Stable reverse detection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13.8 | norm/basis ledger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18" w:history="1">
              <w:r>
                <w:rPr>
                  <w:color w:val="2F75B5"/>
                  <w:u w:val="single"/>
                  <w:sz w:val="14"/>
                </w:rPr>
                <w:t>T2-PO-118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Параметрический внешний горизонт</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§108 | constant ranks/bounds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19" w:history="1">
              <w:r>
                <w:rPr>
                  <w:color w:val="2F75B5"/>
                  <w:u w:val="single"/>
                  <w:sz w:val="14"/>
                </w:rPr>
                <w:t>T2-PO-119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Устойчивое внешнее препятствие</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13.10 | ε_E certificate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20" w:history="1">
              <w:r>
                <w:rPr>
                  <w:color w:val="2F75B5"/>
                  <w:u w:val="single"/>
                  <w:sz w:val="14"/>
                </w:rPr>
                <w:t>T2-PO-120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Главная predictive theorem v0.10</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13.11 | B1-B8 + previous blockers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21" w:history="1">
              <w:r>
                <w:rPr>
                  <w:color w:val="2F75B5"/>
                  <w:u w:val="single"/>
                  <w:sz w:val="14"/>
                </w:rPr>
                <w:t>T2-PO-121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Ассоциаторный β_Ass-мост</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§110 | B7</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22" w:history="1">
              <w:r>
                <w:rPr>
                  <w:color w:val="2F75B5"/>
                  <w:u w:val="single"/>
                  <w:sz w:val="14"/>
                </w:rPr>
                <w:t>T2-PO-122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Физическая редукция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PHY-HYP/OPEN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Том III | B8 + 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23" w:history="1">
              <w:r>
                <w:rPr>
                  <w:color w:val="2F75B5"/>
                  <w:u w:val="single"/>
                  <w:sz w:val="14"/>
                </w:rPr>
                <w:t>T2-PO-123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Banach/Hilbert external layer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 range/Fredholm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24" w:history="1">
              <w:r>
                <w:rPr>
                  <w:color w:val="2F75B5"/>
                  <w:u w:val="single"/>
                  <w:sz w:val="14"/>
                </w:rPr>
                <w:t>T2-PO-124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Независимый доменный запуск</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preregistration/data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25" w:history="1">
              <w:r>
                <w:rPr>
                  <w:color w:val="2F75B5"/>
                  <w:u w:val="single"/>
                  <w:sz w:val="14"/>
                </w:rPr>
                <w:t>T2-PO-125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Machine-verifiable EXT-E certificate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E-01-E-16 | implementation audit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26" w:history="1">
              <w:r>
                <w:rPr>
                  <w:color w:val="2F75B5"/>
                  <w:u w:val="single"/>
                  <w:sz w:val="14"/>
                </w:rPr>
                <w:t>T2-PO-126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корректность P(O_B) на O_B\{0}</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27" w:history="1">
              <w:r>
                <w:rPr>
                  <w:color w:val="2F75B5"/>
                  <w:u w:val="single"/>
                  <w:sz w:val="14"/>
                </w:rPr>
                <w:t>T2-PO-127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частичная функториальность P(f)</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28" w:history="1">
              <w:r>
                <w:rPr>
                  <w:color w:val="2F75B5"/>
                  <w:u w:val="single"/>
                  <w:sz w:val="14"/>
                </w:rPr>
                <w:t>T2-PO-128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no-go естественного выбора представителя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29" w:history="1">
              <w:r>
                <w:rPr>
                  <w:color w:val="2F75B5"/>
                  <w:u w:val="single"/>
                  <w:sz w:val="14"/>
                </w:rPr>
                <w:t>T2-PO-129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точный information-loss ledger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30" w:history="1">
              <w:r>
                <w:rPr>
                  <w:color w:val="2F75B5"/>
                  <w:u w:val="single"/>
                  <w:sz w:val="14"/>
                </w:rPr>
                <w:t>T2-PO-130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сферическая/ориентированная модель</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 finite-dim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31" w:history="1">
              <w:r>
                <w:rPr>
                  <w:color w:val="2F75B5"/>
                  <w:u w:val="single"/>
                  <w:sz w:val="14"/>
                </w:rPr>
                <w:t>T2-PO-131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projective metric stability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 local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32" w:history="1">
              <w:r>
                <w:rPr>
                  <w:color w:val="2F75B5"/>
                  <w:u w:val="single"/>
                  <w:sz w:val="14"/>
                </w:rPr>
                <w:t>T2-PO-132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homogeneity criterion для инвариантов</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33" w:history="1">
              <w:r>
                <w:rPr>
                  <w:color w:val="2F75B5"/>
                  <w:u w:val="single"/>
                  <w:sz w:val="14"/>
                </w:rPr>
                <w:t>T2-PO-133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Whitney (a) для rank strata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 model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34" w:history="1">
              <w:r>
                <w:rPr>
                  <w:color w:val="2F75B5"/>
                  <w:u w:val="single"/>
                  <w:sz w:val="14"/>
                </w:rPr>
                <w:t>T2-PO-134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Whitney (b) для orbit strata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 model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35" w:history="1">
              <w:r>
                <w:rPr>
                  <w:color w:val="2F75B5"/>
                  <w:u w:val="single"/>
                  <w:sz w:val="14"/>
                </w:rPr>
                <w:t>T2-PO-135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frontier/local finiteness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 model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36" w:history="1">
              <w:r>
                <w:rPr>
                  <w:color w:val="2F75B5"/>
                  <w:u w:val="single"/>
                  <w:sz w:val="14"/>
                </w:rPr>
                <w:t>T2-PO-136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positive projectivization order cone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37" w:history="1">
              <w:r>
                <w:rPr>
                  <w:color w:val="2F75B5"/>
                  <w:u w:val="single"/>
                  <w:sz w:val="14"/>
                </w:rPr>
                <w:t>T2-PO-137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Fano local-to-global no-go</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38" w:history="1">
              <w:r>
                <w:rPr>
                  <w:color w:val="2F75B5"/>
                  <w:u w:val="single"/>
                  <w:sz w:val="14"/>
                </w:rPr>
                <w:t>T2-PO-138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effective descent глобального carrier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39" w:history="1">
              <w:r>
                <w:rPr>
                  <w:color w:val="2F75B5"/>
                  <w:u w:val="single"/>
                  <w:sz w:val="14"/>
                </w:rPr>
                <w:t>T2-PO-139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projective horizon construction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 finite family</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40" w:history="1">
              <w:r>
                <w:rPr>
                  <w:color w:val="2F75B5"/>
                  <w:u w:val="single"/>
                  <w:sz w:val="14"/>
                </w:rPr>
                <w:t>T2-PO-140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profile constancy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 under H1-H8</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41" w:history="1">
              <w:r>
                <w:rPr>
                  <w:color w:val="2F75B5"/>
                  <w:u w:val="single"/>
                  <w:sz w:val="14"/>
                </w:rPr>
                <w:t>T2-PO-141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канонический χ_λ bridge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42" w:history="1">
              <w:r>
                <w:rPr>
                  <w:color w:val="2F75B5"/>
                  <w:u w:val="single"/>
                  <w:sz w:val="14"/>
                </w:rPr>
                <w:t>T2-PO-142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interval-certified distance to Δ_proj</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 computation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43" w:history="1">
              <w:r>
                <w:rPr>
                  <w:color w:val="2F75B5"/>
                  <w:u w:val="single"/>
                  <w:sz w:val="14"/>
                </w:rPr>
                <w:t>T2-PO-143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Banach projective carrier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44" w:history="1">
              <w:r>
                <w:rPr>
                  <w:color w:val="2F75B5"/>
                  <w:u w:val="single"/>
                  <w:sz w:val="14"/>
                </w:rPr>
                <w:t>T2-PO-144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domain 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45" w:history="1">
              <w:r>
                <w:rPr>
                  <w:color w:val="2F75B5"/>
                  <w:u w:val="single"/>
                  <w:sz w:val="14"/>
                </w:rPr>
                <w:t>T2-PO-145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physical reduction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 / Volume III</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r>
          </w:p>
        </w:tc>
      </w:tr>
      <w:tr>
        <w:trPr>
          <w:cantSplit/>
        </w:trPr>
        <w:tc>
          <w:tcPr>
            <w:tcW w:type="dxa" w:w="1361"/>
            <w:vAlign w:val="center"/>
            <w:tcMar>
              <w:top w:w="80" w:type="dxa"/>
              <w:start w:w="100" w:type="dxa"/>
              <w:bottom w:w="80" w:type="dxa"/>
              <w:end w:w="100" w:type="dxa"/>
            </w:tcMar>
          </w:tcPr>
          <w:p>
            <w:pPr>
              <w:spacing w:before="0" w:after="0" w:line="240" w:lineRule="auto"/>
            </w:pPr>
            <w:hyperlink w:anchor="po_146" w:history="1">
              <w:r>
                <w:rPr>
                  <w:color w:val="2F75B5"/>
                  <w:u w:val="single"/>
                  <w:sz w:val="14"/>
                </w:rPr>
                <w:t>T2-PO-146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Hilbert-complex domains and closedness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операторная спецификация (15.1)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47" w:history="1">
              <w:r>
                <w:rPr>
                  <w:color w:val="2F75B5"/>
                  <w:u w:val="single"/>
                  <w:sz w:val="14"/>
                </w:rPr>
                <w:t>T2-PO-147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weak Hodge decomposition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Hilbert-комплекса</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48" w:history="1">
              <w:r>
                <w:rPr>
                  <w:color w:val="2F75B5"/>
                  <w:u w:val="single"/>
                  <w:sz w:val="14"/>
                </w:rPr>
                <w:t>T2-PO-148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strong Hodge decomposition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closed-range hypothesis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49" w:history="1">
              <w:r>
                <w:rPr>
                  <w:color w:val="2F75B5"/>
                  <w:u w:val="single"/>
                  <w:sz w:val="14"/>
                </w:rPr>
                <w:t>T2-PO-149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harmonic = reduced cohomology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ортогональное разложение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50" w:history="1">
              <w:r>
                <w:rPr>
                  <w:color w:val="2F75B5"/>
                  <w:u w:val="single"/>
                  <w:sz w:val="14"/>
                </w:rPr>
                <w:t>T2-PO-150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ordinary cohomology = harmonic</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ran d closed</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51" w:history="1">
              <w:r>
                <w:rPr>
                  <w:color w:val="2F75B5"/>
                  <w:u w:val="single"/>
                  <w:sz w:val="14"/>
                </w:rPr>
                <w:t>T2-PO-151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Poincare estimate and spectral gap</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self-adjoint closed-range sector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52" w:history="1">
              <w:r>
                <w:rPr>
                  <w:color w:val="2F75B5"/>
                  <w:u w:val="single"/>
                  <w:sz w:val="14"/>
                </w:rPr>
                <w:t>T2-PO-152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Green operator and lift estimate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uniform gap</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53" w:history="1">
              <w:r>
                <w:rPr>
                  <w:color w:val="2F75B5"/>
                  <w:u w:val="single"/>
                  <w:sz w:val="14"/>
                </w:rPr>
                <w:t>T2-PO-153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elliptic symbol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exact symbol sequence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54" w:history="1">
              <w:r>
                <w:rPr>
                  <w:color w:val="2F75B5"/>
                  <w:u w:val="single"/>
                  <w:sz w:val="14"/>
                </w:rPr>
                <w:t>T2-PO-154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Laplace-type identification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model-specific principal symbol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55" w:history="1">
              <w:r>
                <w:rPr>
                  <w:color w:val="2F75B5"/>
                  <w:u w:val="single"/>
                  <w:sz w:val="14"/>
                </w:rPr>
                <w:t>T2-PO-155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absolute/relative boundary realization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smooth compact boundary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56" w:history="1">
              <w:r>
                <w:rPr>
                  <w:color w:val="2F75B5"/>
                  <w:u w:val="single"/>
                  <w:sz w:val="14"/>
                </w:rPr>
                <w:t>T2-PO-156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general NAPG boundary Fredholmness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Lopatinski-Shapiro / APS 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57" w:history="1">
              <w:r>
                <w:rPr>
                  <w:color w:val="2F75B5"/>
                  <w:u w:val="single"/>
                  <w:sz w:val="14"/>
                </w:rPr>
                <w:t>T2-PO-157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stratified interface domain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transmission maps required</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58" w:history="1">
              <w:r>
                <w:rPr>
                  <w:color w:val="2F75B5"/>
                  <w:u w:val="single"/>
                  <w:sz w:val="14"/>
                </w:rPr>
                <w:t>T2-PO-158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Fredholm index constancy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continuous Fredholm family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59" w:history="1">
              <w:r>
                <w:rPr>
                  <w:color w:val="2F75B5"/>
                  <w:u w:val="single"/>
                  <w:sz w:val="14"/>
                </w:rPr>
                <w:t>T2-PO-159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compact resolvent on NAPG strata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compactness and ideal BC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60" w:history="1">
              <w:r>
                <w:rPr>
                  <w:color w:val="2F75B5"/>
                  <w:u w:val="single"/>
                  <w:sz w:val="14"/>
                </w:rPr>
                <w:t>T2-PO-160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harmonic residual formula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 range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61" w:history="1">
              <w:r>
                <w:rPr>
                  <w:color w:val="2F75B5"/>
                  <w:u w:val="single"/>
                  <w:sz w:val="14"/>
                </w:rPr>
                <w:t>T2-PO-161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spectral projector stability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norm-resolvent continuity and gap</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62" w:history="1">
              <w:r>
                <w:rPr>
                  <w:color w:val="2F75B5"/>
                  <w:u w:val="single"/>
                  <w:sz w:val="14"/>
                </w:rPr>
                <w:t>T2-PO-162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analytic obstruction bundle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constant harmonic rank</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63" w:history="1">
              <w:r>
                <w:rPr>
                  <w:color w:val="2F75B5"/>
                  <w:u w:val="single"/>
                  <w:sz w:val="14"/>
                </w:rPr>
                <w:t>T2-PO-163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Hodge-Reper bridge chi_H</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homogeneous functionals and pole audit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64" w:history="1">
              <w:r>
                <w:rPr>
                  <w:color w:val="2F75B5"/>
                  <w:u w:val="single"/>
                  <w:sz w:val="14"/>
                </w:rPr>
                <w:t>T2-PO-164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Cheeger-type singular Hodge sector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stratified pseudomanifold hypotheses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65" w:history="1">
              <w:r>
                <w:rPr>
                  <w:color w:val="2F75B5"/>
                  <w:u w:val="single"/>
                  <w:sz w:val="14"/>
                </w:rPr>
                <w:t>T2-PO-165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mezzoperversity / ideal BC choice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 classification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66" w:history="1">
              <w:r>
                <w:rPr>
                  <w:color w:val="2F75B5"/>
                  <w:u w:val="single"/>
                  <w:sz w:val="14"/>
                </w:rPr>
                <w:t>T2-PO-166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uniform interval spectral certification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validated eigensolver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67" w:history="1">
              <w:r>
                <w:rPr>
                  <w:color w:val="2F75B5"/>
                  <w:u w:val="single"/>
                  <w:sz w:val="14"/>
                </w:rPr>
                <w:t>T2-PO-167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compatibility with Pi_E and Blind_E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B1-B6</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68" w:history="1">
              <w:r>
                <w:rPr>
                  <w:color w:val="2F75B5"/>
                  <w:u w:val="single"/>
                  <w:sz w:val="14"/>
                </w:rPr>
                <w:t>T2-PO-168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compatibility with beta_Ass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separate chain bridge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69" w:history="1">
              <w:r>
                <w:rPr>
                  <w:color w:val="2F75B5"/>
                  <w:u w:val="single"/>
                  <w:sz w:val="14"/>
                </w:rPr>
                <w:t>T2-PO-169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domain 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 EXT-RUN supplied</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70" w:history="1">
              <w:r>
                <w:rPr>
                  <w:color w:val="2F75B5"/>
                  <w:u w:val="single"/>
                  <w:sz w:val="14"/>
                </w:rPr>
                <w:t>T2-PO-170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Hodge-Fredholm predictive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H1-H12 and certificate HOD-AN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71" w:history="1">
              <w:r>
                <w:rPr>
                  <w:color w:val="2F75B5"/>
                  <w:u w:val="single"/>
                  <w:sz w:val="14"/>
                </w:rPr>
                <w:t>T2-PO-171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Определить Art_K и base-change для частичных NAPG-операций.</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CLOSED-FD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Конечномерный типизированный сектор.</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72" w:history="1">
              <w:r>
                <w:rPr>
                  <w:color w:val="2F75B5"/>
                  <w:u w:val="single"/>
                  <w:sz w:val="14"/>
                </w:rPr>
                <w:t>T2-PO-172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groupoid-valued Def_N, сохраняющий D/Dom.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Нужна полная morphism specification.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73" w:history="1">
              <w:r>
                <w:rPr>
                  <w:color w:val="2F75B5"/>
                  <w:u w:val="single"/>
                  <w:sz w:val="14"/>
                </w:rPr>
                <w:t>T2-PO-173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small-extension obstruction class.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Следует из CTRL-16.1.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74" w:history="1">
              <w:r>
                <w:rPr>
                  <w:color w:val="2F75B5"/>
                  <w:u w:val="single"/>
                  <w:sz w:val="14"/>
                </w:rPr>
                <w:t>T2-PO-174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lift torsor H_N^2⊗I.</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Полная obstruction theory.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75" w:history="1">
              <w:r>
                <w:rPr>
                  <w:color w:val="2F75B5"/>
                  <w:u w:val="single"/>
                  <w:sz w:val="14"/>
                </w:rPr>
                <w:t>T2-PO-175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Идентифицировать infinitesimal automorphisms с H_N^1.</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Gauge completeness.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76" w:history="1">
              <w:r>
                <w:rPr>
                  <w:color w:val="2F75B5"/>
                  <w:u w:val="single"/>
                  <w:sz w:val="14"/>
                </w:rPr>
                <w:t>T2-PO-176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controlling filtered L_infinity algebra NAPG.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Главный алгебраический blocker.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77" w:history="1">
              <w:r>
                <w:rPr>
                  <w:color w:val="2F75B5"/>
                  <w:u w:val="single"/>
                  <w:sz w:val="14"/>
                </w:rPr>
                <w:t>T2-PO-177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Schlessinger H1.</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Fiber-product lifting.</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78" w:history="1">
              <w:r>
                <w:rPr>
                  <w:color w:val="2F75B5"/>
                  <w:u w:val="single"/>
                  <w:sz w:val="14"/>
                </w:rPr>
                <w:t>T2-PO-178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Schlessinger H2.</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Dual-number compatibility.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79" w:history="1">
              <w:r>
                <w:rPr>
                  <w:color w:val="2F75B5"/>
                  <w:u w:val="single"/>
                  <w:sz w:val="14"/>
                </w:rPr>
                <w:t>T2-PO-179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H3 finite tangent.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COND-FD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Fredholm/finite sector.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80" w:history="1">
              <w:r>
                <w:rPr>
                  <w:color w:val="2F75B5"/>
                  <w:u w:val="single"/>
                  <w:sz w:val="14"/>
                </w:rPr>
                <w:t>T2-PO-180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H4 или явно отказаться от universality.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Automorphism-sensitive.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81" w:history="1">
              <w:r>
                <w:rPr>
                  <w:color w:val="2F75B5"/>
                  <w:u w:val="single"/>
                  <w:sz w:val="14"/>
                </w:rPr>
                <w:t>T2-PO-181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Согласовать shift g=C[1] и derived tangent degrees.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Фиксированная convention.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82" w:history="1">
              <w:r>
                <w:rPr>
                  <w:color w:val="2F75B5"/>
                  <w:u w:val="single"/>
                  <w:sz w:val="14"/>
                </w:rPr>
                <w:t>T2-PO-182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совместимость bracket maps с domains.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Unbounded/partial maps.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83" w:history="1">
              <w:r>
                <w:rPr>
                  <w:color w:val="2F75B5"/>
                  <w:u w:val="single"/>
                  <w:sz w:val="14"/>
                </w:rPr>
                <w:t>T2-PO-183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Hodge contraction p,i,h.</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COND-HF</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Опирается на v0.12.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84" w:history="1">
              <w:r>
                <w:rPr>
                  <w:color w:val="2F75B5"/>
                  <w:u w:val="single"/>
                  <w:sz w:val="14"/>
                </w:rPr>
                <w:t>T2-PO-184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homotopy-transfer convergence.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Uniform multilinear estimates.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85" w:history="1">
              <w:r>
                <w:rPr>
                  <w:color w:val="2F75B5"/>
                  <w:u w:val="single"/>
                  <w:sz w:val="14"/>
                </w:rPr>
                <w:t>T2-PO-185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Kuranishi recursion.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Contraction margin m_K&gt;0.</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86" w:history="1">
              <w:r>
                <w:rPr>
                  <w:color w:val="2F75B5"/>
                  <w:u w:val="single"/>
                  <w:sz w:val="14"/>
                </w:rPr>
                <w:t>T2-PO-186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MC iff K=0 в выбранной окрестности.</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Gauge and convergence.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87" w:history="1">
              <w:r>
                <w:rPr>
                  <w:color w:val="2F75B5"/>
                  <w:u w:val="single"/>
                  <w:sz w:val="14"/>
                </w:rPr>
                <w:t>T2-PO-187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Вычислить κ_2,κ_3 на модели A_2.</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Нужны structural constants.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88" w:history="1">
              <w:r>
                <w:rPr>
                  <w:color w:val="2F75B5"/>
                  <w:u w:val="single"/>
                  <w:sz w:val="14"/>
                </w:rPr>
                <w:t>T2-PO-188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miniversal local algebra.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После T2-PO-176/185.</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89" w:history="1">
              <w:r>
                <w:rPr>
                  <w:color w:val="2F75B5"/>
                  <w:u w:val="single"/>
                  <w:sz w:val="14"/>
                </w:rPr>
                <w:t>T2-PO-189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independence до right-equivalence.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Смена metric/splitting.</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90" w:history="1">
              <w:r>
                <w:rPr>
                  <w:color w:val="2F75B5"/>
                  <w:u w:val="single"/>
                  <w:sz w:val="14"/>
                </w:rPr>
                <w:t>T2-PO-190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Классифицировать stabilizer strata.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Stack-level 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91" w:history="1">
              <w:r>
                <w:rPr>
                  <w:color w:val="2F75B5"/>
                  <w:u w:val="single"/>
                  <w:sz w:val="14"/>
                </w:rPr>
                <w:t>T2-PO-191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Определить derived formal NAPG problem.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Nilcomplete/infinitesimal cohesive.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92" w:history="1">
              <w:r>
                <w:rPr>
                  <w:color w:val="2F75B5"/>
                  <w:u w:val="single"/>
                  <w:sz w:val="14"/>
                </w:rPr>
                <w:t>T2-PO-192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ModTriv(I) certificate.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Параметрическое family 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93" w:history="1">
              <w:r>
                <w:rPr>
                  <w:color w:val="2F75B5"/>
                  <w:u w:val="single"/>
                  <w:sz w:val="14"/>
                </w:rPr>
                <w:t>T2-PO-193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Сертифицировать interval bound для ||K(x)||.</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Validated numerics.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94" w:history="1">
              <w:r>
                <w:rPr>
                  <w:color w:val="2F75B5"/>
                  <w:u w:val="single"/>
                  <w:sz w:val="14"/>
                </w:rPr>
                <w:t>T2-PO-194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Согласовать Kuranishi carrier с Π_E и β_Ass.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Bridge theorem.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95" w:history="1">
              <w:r>
                <w:rPr>
                  <w:color w:val="2F75B5"/>
                  <w:u w:val="single"/>
                  <w:sz w:val="14"/>
                </w:rPr>
                <w:t>T2-PO-195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Провести независимый moduli 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OPEN-IND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Внешний код и данные.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96" w:history="1">
              <w:r>
                <w:rPr>
                  <w:color w:val="2F75B5"/>
                  <w:u w:val="single"/>
                  <w:sz w:val="14"/>
                </w:rPr>
                <w:t>T2-PO-196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Сохранить физический status lock.</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truth_layer_promotion=0.</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97" w:history="1">
              <w:r>
                <w:rPr>
                  <w:color w:val="2F75B5"/>
                  <w:u w:val="single"/>
                  <w:sz w:val="14"/>
                </w:rPr>
                <w:t>T2-PO-197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конечную допустимую стратификацию moduli carrier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98" w:history="1">
              <w:r>
                <w:rPr>
                  <w:color w:val="2F75B5"/>
                  <w:u w:val="single"/>
                  <w:sz w:val="14"/>
                </w:rPr>
                <w:t>T2-PO-198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frontier condition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199" w:history="1">
              <w:r>
                <w:rPr>
                  <w:color w:val="2F75B5"/>
                  <w:u w:val="single"/>
                  <w:sz w:val="14"/>
                </w:rPr>
                <w:t>T2-PO-199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Whitney (a)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00" w:history="1">
              <w:r>
                <w:rPr>
                  <w:color w:val="2F75B5"/>
                  <w:u w:val="single"/>
                  <w:sz w:val="14"/>
                </w:rPr>
                <w:t>T2-PO-200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Whitney (b) либо заменяющий control package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01" w:history="1">
              <w:r>
                <w:rPr>
                  <w:color w:val="2F75B5"/>
                  <w:u w:val="single"/>
                  <w:sz w:val="14"/>
                </w:rPr>
                <w:t>T2-PO-201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StratTriv вне discriminant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02" w:history="1">
              <w:r>
                <w:rPr>
                  <w:color w:val="2F75B5"/>
                  <w:u w:val="single"/>
                  <w:sz w:val="14"/>
                </w:rPr>
                <w:t>T2-PO-202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Определить wall equations и coorientation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03" w:history="1">
              <w:r>
                <w:rPr>
                  <w:color w:val="2F75B5"/>
                  <w:u w:val="single"/>
                  <w:sz w:val="14"/>
                </w:rPr>
                <w:t>T2-PO-203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chamber constancy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 при ModTriv</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04" w:history="1">
              <w:r>
                <w:rPr>
                  <w:color w:val="2F75B5"/>
                  <w:u w:val="single"/>
                  <w:sz w:val="14"/>
                </w:rPr>
                <w:t>T2-PO-204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Типизировать wall operator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05" w:history="1">
              <w:r>
                <w:rPr>
                  <w:color w:val="2F75B5"/>
                  <w:u w:val="single"/>
                  <w:sz w:val="14"/>
                </w:rPr>
                <w:t>T2-PO-205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branch normalization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06" w:history="1">
              <w:r>
                <w:rPr>
                  <w:color w:val="2F75B5"/>
                  <w:u w:val="single"/>
                  <w:sz w:val="14"/>
                </w:rPr>
                <w:t>T2-PO-206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Сертифицировать multiplicities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07" w:history="1">
              <w:r>
                <w:rPr>
                  <w:color w:val="2F75B5"/>
                  <w:u w:val="single"/>
                  <w:sz w:val="14"/>
                </w:rPr>
                <w:t>T2-PO-207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ramification locus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08" w:history="1">
              <w:r>
                <w:rPr>
                  <w:color w:val="2F75B5"/>
                  <w:u w:val="single"/>
                  <w:sz w:val="14"/>
                </w:rPr>
                <w:t>T2-PO-208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Вычислить branch monodromy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09" w:history="1">
              <w:r>
                <w:rPr>
                  <w:color w:val="2F75B5"/>
                  <w:u w:val="single"/>
                  <w:sz w:val="14"/>
                </w:rPr>
                <w:t>T2-PO-209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homotopy invariance продолжения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 при cover</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10" w:history="1">
              <w:r>
                <w:rPr>
                  <w:color w:val="2F75B5"/>
                  <w:u w:val="single"/>
                  <w:sz w:val="14"/>
                </w:rPr>
                <w:t>T2-PO-210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no-global-label criterion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11" w:history="1">
              <w:r>
                <w:rPr>
                  <w:color w:val="2F75B5"/>
                  <w:u w:val="single"/>
                  <w:sz w:val="14"/>
                </w:rPr>
                <w:t>T2-PO-211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Различить wall и bifurcation loci</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THM/EX</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12" w:history="1">
              <w:r>
                <w:rPr>
                  <w:color w:val="2F75B5"/>
                  <w:u w:val="single"/>
                  <w:sz w:val="14"/>
                </w:rPr>
                <w:t>T2-PO-212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reduced bifurcation normal form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13" w:history="1">
              <w:r>
                <w:rPr>
                  <w:color w:val="2F75B5"/>
                  <w:u w:val="single"/>
                  <w:sz w:val="14"/>
                </w:rPr>
                <w:t>T2-PO-213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path-independence либо braid relations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14" w:history="1">
              <w:r>
                <w:rPr>
                  <w:color w:val="2F75B5"/>
                  <w:u w:val="single"/>
                  <w:sz w:val="14"/>
                </w:rPr>
                <w:t>T2-PO-214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transport для переходного инварианта</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15" w:history="1">
              <w:r>
                <w:rPr>
                  <w:color w:val="2F75B5"/>
                  <w:u w:val="single"/>
                  <w:sz w:val="14"/>
                </w:rPr>
                <w:t>T2-PO-215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Сертифицировать уровень устойчивости S0-S3</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16" w:history="1">
              <w:r>
                <w:rPr>
                  <w:color w:val="2F75B5"/>
                  <w:u w:val="single"/>
                  <w:sz w:val="14"/>
                </w:rPr>
                <w:t>T2-PO-216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Согласовать λ с branch transport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17" w:history="1">
              <w:r>
                <w:rPr>
                  <w:color w:val="2F75B5"/>
                  <w:u w:val="single"/>
                  <w:sz w:val="14"/>
                </w:rPr>
                <w:t>T2-PO-217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Согласовать Δ_WB с Δ_mod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18" w:history="1">
              <w:r>
                <w:rPr>
                  <w:color w:val="2F75B5"/>
                  <w:u w:val="single"/>
                  <w:sz w:val="14"/>
                </w:rPr>
                <w:t>T2-PO-218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Интервально сертифицировать расстояние до wall</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19" w:history="1">
              <w:r>
                <w:rPr>
                  <w:color w:val="2F75B5"/>
                  <w:u w:val="single"/>
                  <w:sz w:val="14"/>
                </w:rPr>
                <w:t>T2-PO-219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Согласовать wall layer с Π_E и β_Ass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20" w:history="1">
              <w:r>
                <w:rPr>
                  <w:color w:val="2F75B5"/>
                  <w:u w:val="single"/>
                  <w:sz w:val="14"/>
                </w:rPr>
                <w:t>T2-PO-220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независимый domain wall-run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21" w:history="1">
              <w:r>
                <w:rPr>
                  <w:color w:val="2F75B5"/>
                  <w:u w:val="single"/>
                  <w:sz w:val="14"/>
                </w:rPr>
                <w:t>T2-PO-221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физическую редукцию отдельно</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PHY-HYP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PHY-HYP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22" w:history="1">
              <w:r>
                <w:rPr>
                  <w:color w:val="2F75B5"/>
                  <w:u w:val="single"/>
                  <w:sz w:val="14"/>
                </w:rPr>
                <w:t>T2-PO-222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Заморозить WC-MON certificate и хеши</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в v0.15 или специализированном сертификате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23" w:history="1">
              <w:r>
                <w:rPr>
                  <w:color w:val="2F75B5"/>
                  <w:u w:val="single"/>
                  <w:sz w:val="14"/>
                </w:rPr>
                <w:t>T2-PO-223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Определить 2-категорию локальных NAPG-Kuranishi charts.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Полная спецификация объектов, 1- и 2-морфизмов.</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24" w:history="1">
              <w:r>
                <w:rPr>
                  <w:color w:val="2F75B5"/>
                  <w:u w:val="single"/>
                  <w:sz w:val="14"/>
                </w:rPr>
                <w:t>T2-PO-224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покрытие footprints.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Конечный atlas certificate.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25" w:history="1">
              <w:r>
                <w:rPr>
                  <w:color w:val="2F75B5"/>
                  <w:u w:val="single"/>
                  <w:sz w:val="14"/>
                </w:rPr>
                <w:t>T2-PO-225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Типизировать coordinate changes.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Проверка (18.4) на каждой модели.</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26" w:history="1">
              <w:r>
                <w:rPr>
                  <w:color w:val="2F75B5"/>
                  <w:u w:val="single"/>
                  <w:sz w:val="14"/>
                </w:rPr>
                <w:t>T2-PO-226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triple 2-cocycle.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Явные αᵢⱼₖ.</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27" w:history="1">
              <w:r>
                <w:rPr>
                  <w:color w:val="2F75B5"/>
                  <w:u w:val="single"/>
                  <w:sz w:val="14"/>
                </w:rPr>
                <w:t>T2-PO-227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quadruple coherence.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Pentagon/higher homotopy certificate.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28" w:history="1">
              <w:r>
                <w:rPr>
                  <w:color w:val="2F75B5"/>
                  <w:u w:val="single"/>
                  <w:sz w:val="14"/>
                </w:rPr>
                <w:t>T2-PO-228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Классифицировать stabilizers.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Stacky local models.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29" w:history="1">
              <w:r>
                <w:rPr>
                  <w:color w:val="2F75B5"/>
                  <w:u w:val="single"/>
                  <w:sz w:val="14"/>
                </w:rPr>
                <w:t>T2-PO-229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Morita/presentation invariance.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Equivalence of atlases.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30" w:history="1">
              <w:r>
                <w:rPr>
                  <w:color w:val="2F75B5"/>
                  <w:u w:val="single"/>
                  <w:sz w:val="14"/>
                </w:rPr>
                <w:t>T2-PO-230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global derived enhancement.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Controlling ∞/L∞-model.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31" w:history="1">
              <w:r>
                <w:rPr>
                  <w:color w:val="2F75B5"/>
                  <w:u w:val="single"/>
                  <w:sz w:val="14"/>
                </w:rPr>
                <w:t>T2-PO-231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virtual tangent complex.</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Локальный трёхчленный сектор.</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32" w:history="1">
              <w:r>
                <w:rPr>
                  <w:color w:val="2F75B5"/>
                  <w:u w:val="single"/>
                  <w:sz w:val="14"/>
                </w:rPr>
                <w:t>T2-PO-232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существование perfect obstruction theory.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BF-type morphism E•→L_𝔐.</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33" w:history="1">
              <w:r>
                <w:rPr>
                  <w:color w:val="2F75B5"/>
                  <w:u w:val="single"/>
                  <w:sz w:val="14"/>
                </w:rPr>
                <w:t>T2-PO-233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Зафиксировать Tor-amplitude.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Проверка perfectness.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34" w:history="1">
              <w:r>
                <w:rPr>
                  <w:color w:val="2F75B5"/>
                  <w:u w:val="single"/>
                  <w:sz w:val="14"/>
                </w:rPr>
                <w:t>T2-PO-234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obstruction sheaf и cone.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Global POT/derived enhancement.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35" w:history="1">
              <w:r>
                <w:rPr>
                  <w:color w:val="2F75B5"/>
                  <w:u w:val="single"/>
                  <w:sz w:val="14"/>
                </w:rPr>
                <w:t>T2-PO-235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Склеить local obstruction theories.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Homotopy-coherent quasi-isomorphisms.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36" w:history="1">
              <w:r>
                <w:rPr>
                  <w:color w:val="2F75B5"/>
                  <w:u w:val="single"/>
                  <w:sz w:val="14"/>
                </w:rPr>
                <w:t>T2-PO-236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Вычислить descent obstruction.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Central band либо full totalization.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37" w:history="1">
              <w:r>
                <w:rPr>
                  <w:color w:val="2F75B5"/>
                  <w:u w:val="single"/>
                  <w:sz w:val="14"/>
                </w:rPr>
                <w:t>T2-PO-237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сохранение perfectness при descent.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Derived descent theorem в выбранной категории.</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38" w:history="1">
              <w:r>
                <w:rPr>
                  <w:color w:val="2F75B5"/>
                  <w:u w:val="single"/>
                  <w:sz w:val="14"/>
                </w:rPr>
                <w:t>T2-PO-238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determinant/orientation data.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Orientation line certificate.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39" w:history="1">
              <w:r>
                <w:rPr>
                  <w:color w:val="2F75B5"/>
                  <w:u w:val="single"/>
                  <w:sz w:val="14"/>
                </w:rPr>
                <w:t>T2-PO-239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branch stack.</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Normalization/étale sector.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40" w:history="1">
              <w:r>
                <w:rPr>
                  <w:color w:val="2F75B5"/>
                  <w:u w:val="single"/>
                  <w:sz w:val="14"/>
                </w:rPr>
                <w:t>T2-PO-240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Вычислить monodromy.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Конечный branch cover.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41" w:history="1">
              <w:r>
                <w:rPr>
                  <w:color w:val="2F75B5"/>
                  <w:u w:val="single"/>
                  <w:sz w:val="14"/>
                </w:rPr>
                <w:t>T2-PO-241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Reper descent.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Совместимость четырёх точек.</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42" w:history="1">
              <w:r>
                <w:rPr>
                  <w:color w:val="2F75B5"/>
                  <w:u w:val="single"/>
                  <w:sz w:val="14"/>
                </w:rPr>
                <w:t>T2-PO-242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Evidence-D descent.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Provenance functor и cocycle.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43" w:history="1">
              <w:r>
                <w:rPr>
                  <w:color w:val="2F75B5"/>
                  <w:u w:val="single"/>
                  <w:sz w:val="14"/>
                </w:rPr>
                <w:t>T2-PO-243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Dom descent.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Совместимость admissible domains.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44" w:history="1">
              <w:r>
                <w:rPr>
                  <w:color w:val="2F75B5"/>
                  <w:u w:val="single"/>
                  <w:sz w:val="14"/>
                </w:rPr>
                <w:t>T2-PO-244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глобальность λ.</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Projective transitions и pole exclusion.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45" w:history="1">
              <w:r>
                <w:rPr>
                  <w:color w:val="2F75B5"/>
                  <w:u w:val="single"/>
                  <w:sz w:val="14"/>
                </w:rPr>
                <w:t>T2-PO-245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Согласовать global carrier с Π_E.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Natural transformation on stack.</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46" w:history="1">
              <w:r>
                <w:rPr>
                  <w:color w:val="2F75B5"/>
                  <w:u w:val="single"/>
                  <w:sz w:val="14"/>
                </w:rPr>
                <w:t>T2-PO-246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существование PredCar_N.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PO-223-245.</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47" w:history="1">
              <w:r>
                <w:rPr>
                  <w:color w:val="2F75B5"/>
                  <w:u w:val="single"/>
                  <w:sz w:val="14"/>
                </w:rPr>
                <w:t>T2-PO-247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invariant profile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Local triviality + transport.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48" w:history="1">
              <w:r>
                <w:rPr>
                  <w:color w:val="2F75B5"/>
                  <w:u w:val="single"/>
                  <w:sz w:val="14"/>
                </w:rPr>
                <w:t>T2-PO-248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Зафиксировать local-to-global no-go.</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18.5.</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49" w:history="1">
              <w:r>
                <w:rPr>
                  <w:color w:val="2F75B5"/>
                  <w:u w:val="single"/>
                  <w:sz w:val="14"/>
                </w:rPr>
                <w:t>T2-PO-249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global horizon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Uniform family hypotheses.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50" w:history="1">
              <w:r>
                <w:rPr>
                  <w:color w:val="2F75B5"/>
                  <w:u w:val="single"/>
                  <w:sz w:val="14"/>
                </w:rPr>
                <w:t>T2-PO-250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interval/numerical descent certificate.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Validated numerics.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51" w:history="1">
              <w:r>
                <w:rPr>
                  <w:color w:val="2F75B5"/>
                  <w:u w:val="single"/>
                  <w:sz w:val="14"/>
                </w:rPr>
                <w:t>T2-PO-251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Выполнить независимый STACK-RUN.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Независимый код, данные и hashes.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52" w:history="1">
              <w:r>
                <w:rPr>
                  <w:color w:val="2F75B5"/>
                  <w:u w:val="single"/>
                  <w:sz w:val="14"/>
                </w:rPr>
                <w:t>T2-PO-252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Заблокировать автоматический физический экспорт.</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truth_layer_promotion=0; B8.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53" w:history="1">
              <w:r>
                <w:rPr>
                  <w:color w:val="2F75B5"/>
                  <w:u w:val="single"/>
                  <w:sz w:val="14"/>
                </w:rPr>
                <w:t>T2-PO-253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Зафиксировать cycle/homology carrier для virtual class.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Chow/homology specification.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54" w:history="1">
              <w:r>
                <w:rPr>
                  <w:color w:val="2F75B5"/>
                  <w:u w:val="single"/>
                  <w:sz w:val="14"/>
                </w:rPr>
                <w:t>T2-PO-254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global virtual fundamental class NAPG.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Global POT + intrinsic cone.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55" w:history="1">
              <w:r>
                <w:rPr>
                  <w:color w:val="2F75B5"/>
                  <w:u w:val="single"/>
                  <w:sz w:val="14"/>
                </w:rPr>
                <w:t>T2-PO-255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Определить virtual dimension и grading.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Rank/Euler characteristic.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56" w:history="1">
              <w:r>
                <w:rPr>
                  <w:color w:val="2F75B5"/>
                  <w:u w:val="single"/>
                  <w:sz w:val="14"/>
                </w:rPr>
                <w:t>T2-PO-256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properness либо compact-support substitute.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Domain-specific compactness theorem.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57" w:history="1">
              <w:r>
                <w:rPr>
                  <w:color w:val="2F75B5"/>
                  <w:u w:val="single"/>
                  <w:sz w:val="14"/>
                </w:rPr>
                <w:t>T2-PO-257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Типизировать insertions и degree matching.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CLOSED/CL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Формулы (19.5)-(19.6).</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58" w:history="1">
              <w:r>
                <w:rPr>
                  <w:color w:val="2F75B5"/>
                  <w:u w:val="single"/>
                  <w:sz w:val="14"/>
                </w:rPr>
                <w:t>T2-PO-258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base-change compatibility.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Relative POT and refined Gysin.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59" w:history="1">
              <w:r>
                <w:rPr>
                  <w:color w:val="2F75B5"/>
                  <w:u w:val="single"/>
                  <w:sz w:val="14"/>
                </w:rPr>
                <w:t>T2-PO-259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deformation invariance.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Theorem 19.3 hypotheses.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60" w:history="1">
              <w:r>
                <w:rPr>
                  <w:color w:val="2F75B5"/>
                  <w:u w:val="single"/>
                  <w:sz w:val="14"/>
                </w:rPr>
                <w:t>T2-PO-260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equivariant virtual localization.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T-action + equivariant POT.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61" w:history="1">
              <w:r>
                <w:rPr>
                  <w:color w:val="2F75B5"/>
                  <w:u w:val="single"/>
                  <w:sz w:val="14"/>
                </w:rPr>
                <w:t>T2-PO-261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Сертифицировать virtual normal Euler classes.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 zero denominators in localization.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62" w:history="1">
              <w:r>
                <w:rPr>
                  <w:color w:val="2F75B5"/>
                  <w:u w:val="single"/>
                  <w:sz w:val="14"/>
                </w:rPr>
                <w:t>T2-PO-262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Зафиксировать orientation/determinant data.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Global compatible orientation.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63" w:history="1">
              <w:r>
                <w:rPr>
                  <w:color w:val="2F75B5"/>
                  <w:u w:val="single"/>
                  <w:sz w:val="14"/>
                </w:rPr>
                <w:t>T2-PO-263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Учесть stabilizer weights.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Stack integration convention.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64" w:history="1">
              <w:r>
                <w:rPr>
                  <w:color w:val="2F75B5"/>
                  <w:u w:val="single"/>
                  <w:sz w:val="14"/>
                </w:rPr>
                <w:t>T2-PO-264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Согласовать VFC с PredCar v0.15.</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Compatibility diagram.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65" w:history="1">
              <w:r>
                <w:rPr>
                  <w:color w:val="2F75B5"/>
                  <w:u w:val="single"/>
                  <w:sz w:val="14"/>
                </w:rPr>
                <w:t>T2-PO-265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Определить VirtCert и Reper_vir.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Формулы (19.16)-(19.17).</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66" w:history="1">
              <w:r>
                <w:rPr>
                  <w:color w:val="2F75B5"/>
                  <w:u w:val="single"/>
                  <w:sz w:val="14"/>
                </w:rPr>
                <w:t>T2-PO-266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канонический λ-мост к virtual data.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Нужна χ_vir; автоматизма нет.</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67" w:history="1">
              <w:r>
                <w:rPr>
                  <w:color w:val="2F75B5"/>
                  <w:u w:val="single"/>
                  <w:sz w:val="14"/>
                </w:rPr>
                <w:t>T2-PO-267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additivity-probability no-go.</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Theorem 19.4.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68" w:history="1">
              <w:r>
                <w:rPr>
                  <w:color w:val="2F75B5"/>
                  <w:u w:val="single"/>
                  <w:sz w:val="14"/>
                </w:rPr>
                <w:t>T2-PO-268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Задать пространство исходов Ω и σ-алгебру.</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OPEN/EMP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Domain-specific event protocol.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69" w:history="1">
              <w:r>
                <w:rPr>
                  <w:color w:val="2F75B5"/>
                  <w:u w:val="single"/>
                  <w:sz w:val="14"/>
                </w:rPr>
                <w:t>T2-PO-269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Задать/оценить вероятностную меру P.</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OPEN/EMP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Sampling/model assumptions.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70" w:history="1">
              <w:r>
                <w:rPr>
                  <w:color w:val="2F75B5"/>
                  <w:u w:val="single"/>
                  <w:sz w:val="14"/>
                </w:rPr>
                <w:t>T2-PO-270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Зафиксировать link model g_θ.</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OPEN/EMP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Pre-registered functional form.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71" w:history="1">
              <w:r>
                <w:rPr>
                  <w:color w:val="2F75B5"/>
                  <w:u w:val="single"/>
                  <w:sz w:val="14"/>
                </w:rPr>
                <w:t>T2-PO-271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или проверить calibration.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OPEN/EMP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Frozen calibration protocol.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72" w:history="1">
              <w:r>
                <w:rPr>
                  <w:color w:val="2F75B5"/>
                  <w:u w:val="single"/>
                  <w:sz w:val="14"/>
                </w:rPr>
                <w:t>T2-PO-272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discrimination отдельно.</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OPEN/EMP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Pre-specified metric.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73" w:history="1">
              <w:r>
                <w:rPr>
                  <w:color w:val="2F75B5"/>
                  <w:u w:val="single"/>
                  <w:sz w:val="14"/>
                </w:rPr>
                <w:t>T2-PO-273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transportability/domain shift.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OPEN/EMP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External target domain.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74" w:history="1">
              <w:r>
                <w:rPr>
                  <w:color w:val="2F75B5"/>
                  <w:u w:val="single"/>
                  <w:sz w:val="14"/>
                </w:rPr>
                <w:t>T2-PO-274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Исполнить independent external 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OPEN/EMP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EXT-RUN with frozen code/data.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75" w:history="1">
              <w:r>
                <w:rPr>
                  <w:color w:val="2F75B5"/>
                  <w:u w:val="single"/>
                  <w:sz w:val="14"/>
                </w:rPr>
                <w:t>T2-PO-275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Δ_VFC.</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Horizon ledger (19.20).</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76" w:history="1">
              <w:r>
                <w:rPr>
                  <w:color w:val="2F75B5"/>
                  <w:u w:val="single"/>
                  <w:sz w:val="14"/>
                </w:rPr>
                <w:t>T2-PO-276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Δ_prob.</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Horizon ledger (19.21).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77" w:history="1">
              <w:r>
                <w:rPr>
                  <w:color w:val="2F75B5"/>
                  <w:u w:val="single"/>
                  <w:sz w:val="14"/>
                </w:rPr>
                <w:t>T2-PO-277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virtual-profile constancy.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Theorem 19.6 H1-H8.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78" w:history="1">
              <w:r>
                <w:rPr>
                  <w:color w:val="2F75B5"/>
                  <w:u w:val="single"/>
                  <w:sz w:val="14"/>
                </w:rPr>
                <w:t>T2-PO-278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wall-crossing jump formula.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Domain-specific comparison.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79" w:history="1">
              <w:r>
                <w:rPr>
                  <w:color w:val="2F75B5"/>
                  <w:u w:val="single"/>
                  <w:sz w:val="14"/>
                </w:rPr>
                <w:t>T2-PO-279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interval VFC computation.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Exact arithmetic or certified bounds.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80" w:history="1">
              <w:r>
                <w:rPr>
                  <w:color w:val="2F75B5"/>
                  <w:u w:val="single"/>
                  <w:sz w:val="14"/>
                </w:rPr>
                <w:t>T2-PO-280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Заморозить VFC-ENUM-PROB certificate.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VFC-01-VFC-30 and hashes.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81" w:history="1">
              <w:r>
                <w:rPr>
                  <w:color w:val="2F75B5"/>
                  <w:u w:val="single"/>
                  <w:sz w:val="14"/>
                </w:rPr>
                <w:t>T2-PO-281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Заблокировать автоматический physical/probability export.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Probability firewall; B8.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82" w:history="1">
              <w:r>
                <w:rPr>
                  <w:color w:val="2F75B5"/>
                  <w:u w:val="single"/>
                  <w:sz w:val="14"/>
                </w:rPr>
                <w:t>T2-PO-282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главную теорему v0.16.</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All mathematical and empirical bridges.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83" w:history="1">
              <w:r>
                <w:rPr>
                  <w:color w:val="2F75B5"/>
                  <w:u w:val="single"/>
                  <w:sz w:val="14"/>
                </w:rPr>
                <w:t>T2-PO-283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Определить категориальный carrier общей NAPG.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Concrete stable/dg/∞ category.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84" w:history="1">
              <w:r>
                <w:rPr>
                  <w:color w:val="2F75B5"/>
                  <w:u w:val="single"/>
                  <w:sz w:val="14"/>
                </w:rPr>
                <w:t>T2-PO-284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functorial K₀.</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Exact/triangulated structure and naturality.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85" w:history="1">
              <w:r>
                <w:rPr>
                  <w:color w:val="2F75B5"/>
                  <w:u w:val="single"/>
                  <w:sz w:val="14"/>
                </w:rPr>
                <w:t>T2-PO-285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tensor compatibility декатегорификации.</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Monoidal enhancement.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86" w:history="1">
              <w:r>
                <w:rPr>
                  <w:color w:val="2F75B5"/>
                  <w:u w:val="single"/>
                  <w:sz w:val="14"/>
                </w:rPr>
                <w:t>T2-PO-286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Зафиксировать motivic coefficient ring.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Ring/localization/completion passport.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87" w:history="1">
              <w:r>
                <w:rPr>
                  <w:color w:val="2F75B5"/>
                  <w:u w:val="single"/>
                  <w:sz w:val="14"/>
                </w:rPr>
                <w:t>T2-PO-287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motivic measure NAPG.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Scissors/product theorem.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88" w:history="1">
              <w:r>
                <w:rPr>
                  <w:color w:val="2F75B5"/>
                  <w:u w:val="single"/>
                  <w:sz w:val="14"/>
                </w:rPr>
                <w:t>T2-PO-288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𝕃^{1/2} convention.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Orientation and coefficient extension.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89" w:history="1">
              <w:r>
                <w:rPr>
                  <w:color w:val="2F75B5"/>
                  <w:u w:val="single"/>
                  <w:sz w:val="14"/>
                </w:rPr>
                <w:t>T2-PO-289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motivic vanishing cycles.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Critical charts + orientation 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90" w:history="1">
              <w:r>
                <w:rPr>
                  <w:color w:val="2F75B5"/>
                  <w:u w:val="single"/>
                  <w:sz w:val="14"/>
                </w:rPr>
                <w:t>T2-PO-290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chart independence.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d-critical/derived comparison theorem.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91" w:history="1">
              <w:r>
                <w:rPr>
                  <w:color w:val="2F75B5"/>
                  <w:u w:val="single"/>
                  <w:sz w:val="14"/>
                </w:rPr>
                <w:t>T2-PO-291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realization functors.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Hodge/weight/ℓ-adic realization.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92" w:history="1">
              <w:r>
                <w:rPr>
                  <w:color w:val="2F75B5"/>
                  <w:u w:val="single"/>
                  <w:sz w:val="14"/>
                </w:rPr>
                <w:t>T2-PO-292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Вести information-loss ledger.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CLOSED/PROTO</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MOT-15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93" w:history="1">
              <w:r>
                <w:rPr>
                  <w:color w:val="2F75B5"/>
                  <w:u w:val="single"/>
                  <w:sz w:val="14"/>
                </w:rPr>
                <w:t>T2-PO-293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Определить refined invariant.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Grading, sign, shift, duality.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94" w:history="1">
              <w:r>
                <w:rPr>
                  <w:color w:val="2F75B5"/>
                  <w:u w:val="single"/>
                  <w:sz w:val="14"/>
                </w:rPr>
                <w:t>T2-PO-294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CoHA_NAPG.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Extension stacks and pull-push.</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95" w:history="1">
              <w:r>
                <w:rPr>
                  <w:color w:val="2F75B5"/>
                  <w:u w:val="single"/>
                  <w:sz w:val="14"/>
                </w:rPr>
                <w:t>T2-PO-295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ассоциативность CoHA.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Correspondence composition.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96" w:history="1">
              <w:r>
                <w:rPr>
                  <w:color w:val="2F75B5"/>
                  <w:u w:val="single"/>
                  <w:sz w:val="14"/>
                </w:rPr>
                <w:t>T2-PO-296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BPS-cohomology carrier.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PBW/integrality package.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97" w:history="1">
              <w:r>
                <w:rPr>
                  <w:color w:val="2F75B5"/>
                  <w:u w:val="single"/>
                  <w:sz w:val="14"/>
                </w:rPr>
                <w:t>T2-PO-297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Зафиксировать grading monoid Γ.</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CLOSED/TYPE</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Positive cone and support.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98" w:history="1">
              <w:r>
                <w:rPr>
                  <w:color w:val="2F75B5"/>
                  <w:u w:val="single"/>
                  <w:sz w:val="14"/>
                </w:rPr>
                <w:t>T2-PO-298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Определить completed series ring.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CLOSED/TYPE</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Filtration and completeness.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299" w:history="1">
              <w:r>
                <w:rPr>
                  <w:color w:val="2F75B5"/>
                  <w:u w:val="single"/>
                  <w:sz w:val="14"/>
                </w:rPr>
                <w:t>T2-PO-299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PExp/PLog.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λ-ring/Adams hypotheses.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00" w:history="1">
              <w:r>
                <w:rPr>
                  <w:color w:val="2F75B5"/>
                  <w:u w:val="single"/>
                  <w:sz w:val="14"/>
                </w:rPr>
                <w:t>T2-PO-300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quantum-torus pairing.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Skew form and ordering.</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01" w:history="1">
              <w:r>
                <w:rPr>
                  <w:color w:val="2F75B5"/>
                  <w:u w:val="single"/>
                  <w:sz w:val="14"/>
                </w:rPr>
                <w:t>T2-PO-301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wall-crossing factorization.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Stability structure and transport.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02" w:history="1">
              <w:r>
                <w:rPr>
                  <w:color w:val="2F75B5"/>
                  <w:u w:val="single"/>
                  <w:sz w:val="14"/>
                </w:rPr>
                <w:t>T2-PO-302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Классифицировать формальный/аналитический статус ряда.</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Convergence ledger.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03" w:history="1">
              <w:r>
                <w:rPr>
                  <w:color w:val="2F75B5"/>
                  <w:u w:val="single"/>
                  <w:sz w:val="14"/>
                </w:rPr>
                <w:t>T2-PO-303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no-time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Theorem 20.4.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04" w:history="1">
              <w:r>
                <w:rPr>
                  <w:color w:val="2F75B5"/>
                  <w:u w:val="single"/>
                  <w:sz w:val="14"/>
                </w:rPr>
                <w:t>T2-PO-304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Задать time map τ.</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OPEN-DOMAIN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External temporal semantics.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05" w:history="1">
              <w:r>
                <w:rPr>
                  <w:color w:val="2F75B5"/>
                  <w:u w:val="single"/>
                  <w:sz w:val="14"/>
                </w:rPr>
                <w:t>T2-PO-305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Задать state space 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OPEN-DOMAIN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Domain-specific states.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06" w:history="1">
              <w:r>
                <w:rPr>
                  <w:color w:val="2F75B5"/>
                  <w:u w:val="single"/>
                  <w:sz w:val="14"/>
                </w:rPr>
                <w:t>T2-PO-306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evolution family U(t,s).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Cocycle and regularity.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07" w:history="1">
              <w:r>
                <w:rPr>
                  <w:color w:val="2F75B5"/>
                  <w:u w:val="single"/>
                  <w:sz w:val="14"/>
                </w:rPr>
                <w:t>T2-PO-307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Построить generator/path kernel.</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Semigroup or nonautonomous theorem.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08" w:history="1">
              <w:r>
                <w:rPr>
                  <w:color w:val="2F75B5"/>
                  <w:u w:val="single"/>
                  <w:sz w:val="14"/>
                </w:rPr>
                <w:t>T2-PO-308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Доказать NAPG-совместимость эволюции.</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Preservation of D/Dom/⊙.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09" w:history="1">
              <w:r>
                <w:rPr>
                  <w:color w:val="2F75B5"/>
                  <w:u w:val="single"/>
                  <w:sz w:val="14"/>
                </w:rPr>
                <w:t>T2-PO-309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Задать observation map.</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OPEN-DOMAIN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Operational measurement model.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10" w:history="1">
              <w:r>
                <w:rPr>
                  <w:color w:val="2F75B5"/>
                  <w:u w:val="single"/>
                  <w:sz w:val="14"/>
                </w:rPr>
                <w:t>T2-PO-310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Провести calibration/validation.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OPEN-EMP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Frozen protocol and 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11" w:history="1">
              <w:r>
                <w:rPr>
                  <w:color w:val="2F75B5"/>
                  <w:u w:val="single"/>
                  <w:sz w:val="14"/>
                </w:rPr>
                <w:t>T2-PO-311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Выполнить независимый EXT-RUN.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OPEN-EMP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External preregistered run.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12" w:history="1">
              <w:r>
                <w:rPr>
                  <w:color w:val="2F75B5"/>
                  <w:u w:val="single"/>
                  <w:sz w:val="14"/>
                </w:rPr>
                <w:t>T2-PO-312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Согласовать λ и CGI_ref.</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Weight/source sensitivity certificate.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13" w:history="1">
              <w:r>
                <w:rPr>
                  <w:color w:val="2F75B5"/>
                  <w:u w:val="single"/>
                  <w:sz w:val="14"/>
                </w:rPr>
                <w:t>T2-PO-313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Реализовать MOT-REF-SER-DYN код.</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Exact/interval executable package.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14" w:history="1">
              <w:r>
                <w:rPr>
                  <w:color w:val="2F75B5"/>
                  <w:u w:val="single"/>
                  <w:sz w:val="14"/>
                </w:rPr>
                <w:t>T2-PO-314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Закрыть главную теорему v0.17.</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All categorified, series, dynamic and empirical bridges.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15" w:history="1">
              <w:r>
                <w:rPr>
                  <w:color w:val="2F75B5"/>
                  <w:u w:val="single"/>
                  <w:sz w:val="14"/>
                </w:rPr>
                <w:t>T2-PO-315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Типизация временного носителя и порядка</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Определение 21.1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16" w:history="1">
              <w:r>
                <w:rPr>
                  <w:color w:val="2F75B5"/>
                  <w:u w:val="single"/>
                  <w:sz w:val="14"/>
                </w:rPr>
                <w:t>T2-PO-316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Типизация state bundle и evolution domains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(21.2)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17" w:history="1">
              <w:r>
                <w:rPr>
                  <w:color w:val="2F75B5"/>
                  <w:u w:val="single"/>
                  <w:sz w:val="14"/>
                </w:rPr>
                <w:t>T2-PO-317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Нелинейная semigroup axioms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(21.3)</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18" w:history="1">
              <w:r>
                <w:rPr>
                  <w:color w:val="2F75B5"/>
                  <w:u w:val="single"/>
                  <w:sz w:val="14"/>
                </w:rPr>
                <w:t>T2-PO-318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m-аккретивность конкретного NAPG-генератора</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Требуется модель</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19" w:history="1">
              <w:r>
                <w:rPr>
                  <w:color w:val="2F75B5"/>
                  <w:u w:val="single"/>
                  <w:sz w:val="14"/>
                </w:rPr>
                <w:t>T2-PO-319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Crandall–Liggett generation для выбранного A</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После PO-318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20" w:history="1">
              <w:r>
                <w:rPr>
                  <w:color w:val="2F75B5"/>
                  <w:u w:val="single"/>
                  <w:sz w:val="14"/>
                </w:rPr>
                <w:t>T2-PO-320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Инвариантность admissible sector под резольвентой</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NAPG-specific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21" w:history="1">
              <w:r>
                <w:rPr>
                  <w:color w:val="2F75B5"/>
                  <w:u w:val="single"/>
                  <w:sz w:val="14"/>
                </w:rPr>
                <w:t>T2-PO-321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Неавтономная Kato stability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Семейство A(t)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22" w:history="1">
              <w:r>
                <w:rPr>
                  <w:color w:val="2F75B5"/>
                  <w:u w:val="single"/>
                  <w:sz w:val="14"/>
                </w:rPr>
                <w:t>T2-PO-322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Transport-domain compatibility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Проверка композиций</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23" w:history="1">
              <w:r>
                <w:rPr>
                  <w:color w:val="2F75B5"/>
                  <w:u w:val="single"/>
                  <w:sz w:val="14"/>
                </w:rPr>
                <w:t>T2-PO-323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Koopman functoriality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(21.6)</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24" w:history="1">
              <w:r>
                <w:rPr>
                  <w:color w:val="2F75B5"/>
                  <w:u w:val="single"/>
                  <w:sz w:val="14"/>
                </w:rPr>
                <w:t>T2-PO-324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Perron–Frobenius pushforward и duality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(21.7)–(21.8)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25" w:history="1">
              <w:r>
                <w:rPr>
                  <w:color w:val="2F75B5"/>
                  <w:u w:val="single"/>
                  <w:sz w:val="14"/>
                </w:rPr>
                <w:t>T2-PO-325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Положительность и сохранение массы</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Зависит от режима</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26" w:history="1">
              <w:r>
                <w:rPr>
                  <w:color w:val="2F75B5"/>
                  <w:u w:val="single"/>
                  <w:sz w:val="14"/>
                </w:rPr>
                <w:t>T2-PO-326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Lasota–Yorke-type estimate для RBD/NAPG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Новая оценка</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27" w:history="1">
              <w:r>
                <w:rPr>
                  <w:color w:val="2F75B5"/>
                  <w:u w:val="single"/>
                  <w:sz w:val="14"/>
                </w:rPr>
                <w:t>T2-PO-327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Markov-kernel measurability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Доменная модель</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28" w:history="1">
              <w:r>
                <w:rPr>
                  <w:color w:val="2F75B5"/>
                  <w:u w:val="single"/>
                  <w:sz w:val="14"/>
                </w:rPr>
                <w:t>T2-PO-328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Chapman–Kolmogorov consistency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(21.9)</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29" w:history="1">
              <w:r>
                <w:rPr>
                  <w:color w:val="2F75B5"/>
                  <w:u w:val="single"/>
                  <w:sz w:val="14"/>
                </w:rPr>
                <w:t>T2-PO-329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Kolmogorov path-space extension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Стандартный Borel sector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30" w:history="1">
              <w:r>
                <w:rPr>
                  <w:color w:val="2F75B5"/>
                  <w:u w:val="single"/>
                  <w:sz w:val="14"/>
                </w:rPr>
                <w:t>T2-PO-330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Tightness/regularity path law</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Moment estimates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31" w:history="1">
              <w:r>
                <w:rPr>
                  <w:color w:val="2F75B5"/>
                  <w:u w:val="single"/>
                  <w:sz w:val="14"/>
                </w:rPr>
                <w:t>T2-PO-331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Детерминированный orbit carrier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(21.11)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32" w:history="1">
              <w:r>
                <w:rPr>
                  <w:color w:val="2F75B5"/>
                  <w:u w:val="single"/>
                  <w:sz w:val="14"/>
                </w:rPr>
                <w:t>T2-PO-332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Volterra-kernel existence/uniqueness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Kernel-specific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33" w:history="1">
              <w:r>
                <w:rPr>
                  <w:color w:val="2F75B5"/>
                  <w:u w:val="single"/>
                  <w:sz w:val="14"/>
                </w:rPr>
                <w:t>T2-PO-333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Resolvent memory kernel</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Analytic package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34" w:history="1">
              <w:r>
                <w:rPr>
                  <w:color w:val="2F75B5"/>
                  <w:u w:val="single"/>
                  <w:sz w:val="14"/>
                </w:rPr>
                <w:t>T2-PO-334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Non-anticipation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21.4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35" w:history="1">
              <w:r>
                <w:rPr>
                  <w:color w:val="2F75B5"/>
                  <w:u w:val="single"/>
                  <w:sz w:val="14"/>
                </w:rPr>
                <w:t>T2-PO-335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Filtration and adaptedness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Probability bridge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36" w:history="1">
              <w:r>
                <w:rPr>
                  <w:color w:val="2F75B5"/>
                  <w:u w:val="single"/>
                  <w:sz w:val="14"/>
                </w:rPr>
                <w:t>T2-PO-336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Observability of Reper state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Obs-specific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37" w:history="1">
              <w:r>
                <w:rPr>
                  <w:color w:val="2F75B5"/>
                  <w:u w:val="single"/>
                  <w:sz w:val="14"/>
                </w:rPr>
                <w:t>T2-PO-337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Parameter identifiability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Data-specific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38" w:history="1">
              <w:r>
                <w:rPr>
                  <w:color w:val="2F75B5"/>
                  <w:u w:val="single"/>
                  <w:sz w:val="14"/>
                </w:rPr>
                <w:t>T2-PO-338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Reper trajectory transport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NAPG-specific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39" w:history="1">
              <w:r>
                <w:rPr>
                  <w:color w:val="2F75B5"/>
                  <w:u w:val="single"/>
                  <w:sz w:val="14"/>
                </w:rPr>
                <w:t>T2-PO-339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Global definition of λ_t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Projective atlas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40" w:history="1">
              <w:r>
                <w:rPr>
                  <w:color w:val="2F75B5"/>
                  <w:u w:val="single"/>
                  <w:sz w:val="14"/>
                </w:rPr>
                <w:t>T2-PO-340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Hitting-time well-posedness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Path law required</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41" w:history="1">
              <w:r>
                <w:rPr>
                  <w:color w:val="2F75B5"/>
                  <w:u w:val="single"/>
                  <w:sz w:val="14"/>
                </w:rPr>
                <w:t>T2-PO-341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RBD transfer operator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Software/data model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42" w:history="1">
              <w:r>
                <w:rPr>
                  <w:color w:val="2F75B5"/>
                  <w:u w:val="single"/>
                  <w:sz w:val="14"/>
                </w:rPr>
                <w:t>T2-PO-342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Generator inference error bound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43" w:history="1">
              <w:r>
                <w:rPr>
                  <w:color w:val="2F75B5"/>
                  <w:u w:val="single"/>
                  <w:sz w:val="14"/>
                </w:rPr>
                <w:t>T2-PO-343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Perturbation/resolvent convergence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44" w:history="1">
              <w:r>
                <w:rPr>
                  <w:color w:val="2F75B5"/>
                  <w:u w:val="single"/>
                  <w:sz w:val="14"/>
                </w:rPr>
                <w:t>T2-PO-344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Dynamic residual weights W_time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Sensitivity analysis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45" w:history="1">
              <w:r>
                <w:rPr>
                  <w:color w:val="2F75B5"/>
                  <w:u w:val="single"/>
                  <w:sz w:val="14"/>
                </w:rPr>
                <w:t>T2-PO-345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Temporal-profile stability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H1–H9</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46" w:history="1">
              <w:r>
                <w:rPr>
                  <w:color w:val="2F75B5"/>
                  <w:u w:val="single"/>
                  <w:sz w:val="14"/>
                </w:rPr>
                <w:t>T2-PO-346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Snapshot no-go</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21.6</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47" w:history="1">
              <w:r>
                <w:rPr>
                  <w:color w:val="2F75B5"/>
                  <w:u w:val="single"/>
                  <w:sz w:val="14"/>
                </w:rPr>
                <w:t>T2-PO-347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Empirical calibration and EXT-RUN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Независимый запуск</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48" w:history="1">
              <w:r>
                <w:rPr>
                  <w:color w:val="2F75B5"/>
                  <w:u w:val="single"/>
                  <w:sz w:val="14"/>
                </w:rPr>
                <w:t>T2-PO-348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Physical/causal interpretation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Отдельный bridge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49" w:history="1">
              <w:r>
                <w:rPr>
                  <w:color w:val="2F75B5"/>
                  <w:u w:val="single"/>
                  <w:sz w:val="14"/>
                </w:rPr>
                <w:t>T2-PO-349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Стохастический базис и usual conditions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Определение 22.1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50" w:history="1">
              <w:r>
                <w:rPr>
                  <w:color w:val="2F75B5"/>
                  <w:u w:val="single"/>
                  <w:sz w:val="14"/>
                </w:rPr>
                <w:t>T2-PO-350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Markov kernel measurability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State/domain 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51" w:history="1">
              <w:r>
                <w:rPr>
                  <w:color w:val="2F75B5"/>
                  <w:u w:val="single"/>
                  <w:sz w:val="14"/>
                </w:rPr>
                <w:t>T2-PO-351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Semigroup and conservativity tests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STOCH-05–08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52" w:history="1">
              <w:r>
                <w:rPr>
                  <w:color w:val="2F75B5"/>
                  <w:u w:val="single"/>
                  <w:sz w:val="14"/>
                </w:rPr>
                <w:t>T2-PO-352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Feller strong continuity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Конкретная модель</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53" w:history="1">
              <w:r>
                <w:rPr>
                  <w:color w:val="2F75B5"/>
                  <w:u w:val="single"/>
                  <w:sz w:val="14"/>
                </w:rPr>
                <w:t>T2-PO-353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Generator domain and core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54" w:history="1">
              <w:r>
                <w:rPr>
                  <w:color w:val="2F75B5"/>
                  <w:u w:val="single"/>
                  <w:sz w:val="14"/>
                </w:rPr>
                <w:t>T2-PO-354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Positive maximum principle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55" w:history="1">
              <w:r>
                <w:rPr>
                  <w:color w:val="2F75B5"/>
                  <w:u w:val="single"/>
                  <w:sz w:val="14"/>
                </w:rPr>
                <w:t>T2-PO-355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Resolvent identities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После PO-353</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56" w:history="1">
              <w:r>
                <w:rPr>
                  <w:color w:val="2F75B5"/>
                  <w:u w:val="single"/>
                  <w:sz w:val="14"/>
                </w:rPr>
                <w:t>T2-PO-356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Martingale problem formulation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(22.5)</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57" w:history="1">
              <w:r>
                <w:rPr>
                  <w:color w:val="2F75B5"/>
                  <w:u w:val="single"/>
                  <w:sz w:val="14"/>
                </w:rPr>
                <w:t>T2-PO-357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Existence martingale problem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Concrete generator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58" w:history="1">
              <w:r>
                <w:rPr>
                  <w:color w:val="2F75B5"/>
                  <w:u w:val="single"/>
                  <w:sz w:val="14"/>
                </w:rPr>
                <w:t>T2-PO-358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Uniqueness/well-posedness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Concrete generator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59" w:history="1">
              <w:r>
                <w:rPr>
                  <w:color w:val="2F75B5"/>
                  <w:u w:val="single"/>
                  <w:sz w:val="14"/>
                </w:rPr>
                <w:t>T2-PO-359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Strong Markov consequence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После PO-357–358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60" w:history="1">
              <w:r>
                <w:rPr>
                  <w:color w:val="2F75B5"/>
                  <w:u w:val="single"/>
                  <w:sz w:val="14"/>
                </w:rPr>
                <w:t>T2-PO-360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SDE-to-generator identification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Regular diffusion sector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61" w:history="1">
              <w:r>
                <w:rPr>
                  <w:color w:val="2F75B5"/>
                  <w:u w:val="single"/>
                  <w:sz w:val="14"/>
                </w:rPr>
                <w:t>T2-PO-361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Weak/strong solution hierarchy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Типовая спецификация</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62" w:history="1">
              <w:r>
                <w:rPr>
                  <w:color w:val="2F75B5"/>
                  <w:u w:val="single"/>
                  <w:sz w:val="14"/>
                </w:rPr>
                <w:t>T2-PO-362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Girsanov integrability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63" w:history="1">
              <w:r>
                <w:rPr>
                  <w:color w:val="2F75B5"/>
                  <w:u w:val="single"/>
                  <w:sz w:val="14"/>
                </w:rPr>
                <w:t>T2-PO-363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Measure-change no-intervention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22.2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64" w:history="1">
              <w:r>
                <w:rPr>
                  <w:color w:val="2F75B5"/>
                  <w:u w:val="single"/>
                  <w:sz w:val="14"/>
                </w:rPr>
                <w:t>T2-PO-364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Stopping-time measurability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Target/path regularity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65" w:history="1">
              <w:r>
                <w:rPr>
                  <w:color w:val="2F75B5"/>
                  <w:u w:val="single"/>
                  <w:sz w:val="14"/>
                </w:rPr>
                <w:t>T2-PO-365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Optional sampling assumptions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Stopping rule 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66" w:history="1">
              <w:r>
                <w:rPr>
                  <w:color w:val="2F75B5"/>
                  <w:u w:val="single"/>
                  <w:sz w:val="14"/>
                </w:rPr>
                <w:t>T2-PO-366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Naive optional-stopping counterexample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Раздел 303</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67" w:history="1">
              <w:r>
                <w:rPr>
                  <w:color w:val="2F75B5"/>
                  <w:u w:val="single"/>
                  <w:sz w:val="14"/>
                </w:rPr>
                <w:t>T2-PO-367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Hitting probability well-posedness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Boundary problem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68" w:history="1">
              <w:r>
                <w:rPr>
                  <w:color w:val="2F75B5"/>
                  <w:u w:val="single"/>
                  <w:sz w:val="14"/>
                </w:rPr>
                <w:t>T2-PO-368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Barrier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22.3</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69" w:history="1">
              <w:r>
                <w:rPr>
                  <w:color w:val="2F75B5"/>
                  <w:u w:val="single"/>
                  <w:sz w:val="14"/>
                </w:rPr>
                <w:t>T2-PO-369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Computable barrier construction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SOS/PDE/interval method</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70" w:history="1">
              <w:r>
                <w:rPr>
                  <w:color w:val="2F75B5"/>
                  <w:u w:val="single"/>
                  <w:sz w:val="14"/>
                </w:rPr>
                <w:t>T2-PO-370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Robust controlled barrier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(22.13)</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71" w:history="1">
              <w:r>
                <w:rPr>
                  <w:color w:val="2F75B5"/>
                  <w:u w:val="single"/>
                  <w:sz w:val="14"/>
                </w:rPr>
                <w:t>T2-PO-371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Controlled Markov family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Control model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72" w:history="1">
              <w:r>
                <w:rPr>
                  <w:color w:val="2F75B5"/>
                  <w:u w:val="single"/>
                  <w:sz w:val="14"/>
                </w:rPr>
                <w:t>T2-PO-372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Dynamic programming principle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Policy/compactness package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73" w:history="1">
              <w:r>
                <w:rPr>
                  <w:color w:val="2F75B5"/>
                  <w:u w:val="single"/>
                  <w:sz w:val="14"/>
                </w:rPr>
                <w:t>T2-PO-373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HJB solution and verification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74" w:history="1">
              <w:r>
                <w:rPr>
                  <w:color w:val="2F75B5"/>
                  <w:u w:val="single"/>
                  <w:sz w:val="14"/>
                </w:rPr>
                <w:t>T2-PO-374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Forecast/control/intervention typing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Раздел 310</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75" w:history="1">
              <w:r>
                <w:rPr>
                  <w:color w:val="2F75B5"/>
                  <w:u w:val="single"/>
                  <w:sz w:val="14"/>
                </w:rPr>
                <w:t>T2-PO-375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Observational-interventional no-go</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Теорема 22.4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76" w:history="1">
              <w:r>
                <w:rPr>
                  <w:color w:val="2F75B5"/>
                  <w:u w:val="single"/>
                  <w:sz w:val="14"/>
                </w:rPr>
                <w:t>T2-PO-376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Structural intervention kernel</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SCM/domain 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77" w:history="1">
              <w:r>
                <w:rPr>
                  <w:color w:val="2F75B5"/>
                  <w:u w:val="single"/>
                  <w:sz w:val="14"/>
                </w:rPr>
                <w:t>T2-PO-377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Sequential exchangeability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Evidence-D required</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78" w:history="1">
              <w:r>
                <w:rPr>
                  <w:color w:val="2F75B5"/>
                  <w:u w:val="single"/>
                  <w:sz w:val="14"/>
                </w:rPr>
                <w:t>T2-PO-378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Positivity and consistency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Evidence-D required</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79" w:history="1">
              <w:r>
                <w:rPr>
                  <w:color w:val="2F75B5"/>
                  <w:u w:val="single"/>
                  <w:sz w:val="14"/>
                </w:rPr>
                <w:t>T2-PO-379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g-formula identification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После PO-377–378</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80" w:history="1">
              <w:r>
                <w:rPr>
                  <w:color w:val="2F75B5"/>
                  <w:u w:val="single"/>
                  <w:sz w:val="14"/>
                </w:rPr>
                <w:t>T2-PO-380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Counterfactual carrier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Structural model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81" w:history="1">
              <w:r>
                <w:rPr>
                  <w:color w:val="2F75B5"/>
                  <w:u w:val="single"/>
                  <w:sz w:val="14"/>
                </w:rPr>
                <w:t>T2-PO-381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Stochastic Reper adaptedness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NAPG-specific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82" w:history="1">
              <w:r>
                <w:rPr>
                  <w:color w:val="2F75B5"/>
                  <w:u w:val="single"/>
                  <w:sz w:val="14"/>
                </w:rPr>
                <w:t>T2-PO-382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λ Itô formula and pole control</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Smooth chart sector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83" w:history="1">
              <w:r>
                <w:rPr>
                  <w:color w:val="2F75B5"/>
                  <w:u w:val="single"/>
                  <w:sz w:val="14"/>
                </w:rPr>
                <w:t>T2-PO-383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Harmonic-locus stochastic invariance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(22.21)</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84" w:history="1">
              <w:r>
                <w:rPr>
                  <w:color w:val="2F75B5"/>
                  <w:u w:val="single"/>
                  <w:sz w:val="14"/>
                </w:rPr>
                <w:t>T2-PO-384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Martingale residual external test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85" w:history="1">
              <w:r>
                <w:rPr>
                  <w:color w:val="2F75B5"/>
                  <w:u w:val="single"/>
                  <w:sz w:val="14"/>
                </w:rPr>
                <w:t>T2-PO-385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Main safe theorem v0.19</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Все H1–H12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86" w:history="1">
              <w:r>
                <w:rPr>
                  <w:color w:val="2F75B5"/>
                  <w:u w:val="single"/>
                  <w:sz w:val="14"/>
                </w:rPr>
                <w:t>T2-PO-386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Physical/causal export and EXT-RUN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bridge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87" w:history="1">
              <w:r>
                <w:rPr>
                  <w:color w:val="2F75B5"/>
                  <w:u w:val="single"/>
                  <w:sz w:val="14"/>
                </w:rPr>
                <w:t>T2-PO-387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State/path carrier and topology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88" w:history="1">
              <w:r>
                <w:rPr>
                  <w:color w:val="2F75B5"/>
                  <w:u w:val="single"/>
                  <w:sz w:val="14"/>
                </w:rPr>
                <w:t>T2-PO-388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Speed a_n and law family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89" w:history="1">
              <w:r>
                <w:rPr>
                  <w:color w:val="2F75B5"/>
                  <w:u w:val="single"/>
                  <w:sz w:val="14"/>
                </w:rPr>
                <w:t>T2-PO-389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LDP lower bound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Concrete family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90" w:history="1">
              <w:r>
                <w:rPr>
                  <w:color w:val="2F75B5"/>
                  <w:u w:val="single"/>
                  <w:sz w:val="14"/>
                </w:rPr>
                <w:t>T2-PO-390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LDP upper bound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Concrete family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91" w:history="1">
              <w:r>
                <w:rPr>
                  <w:color w:val="2F75B5"/>
                  <w:u w:val="single"/>
                  <w:sz w:val="14"/>
                </w:rPr>
                <w:t>T2-PO-391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Exponential tightness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Path-space compactness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92" w:history="1">
              <w:r>
                <w:rPr>
                  <w:color w:val="2F75B5"/>
                  <w:u w:val="single"/>
                  <w:sz w:val="14"/>
                </w:rPr>
                <w:t>T2-PO-392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Good rate function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Level-set compactness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93" w:history="1">
              <w:r>
                <w:rPr>
                  <w:color w:val="2F75B5"/>
                  <w:u w:val="single"/>
                  <w:sz w:val="14"/>
                </w:rPr>
                <w:t>T2-PO-393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Contraction map continuity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Away from poles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94" w:history="1">
              <w:r>
                <w:rPr>
                  <w:color w:val="2F75B5"/>
                  <w:u w:val="single"/>
                  <w:sz w:val="14"/>
                </w:rPr>
                <w:t>T2-PO-394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λ pole-set repair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Projective graph/exponential negligibility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95" w:history="1">
              <w:r>
                <w:rPr>
                  <w:color w:val="2F75B5"/>
                  <w:u w:val="single"/>
                  <w:sz w:val="14"/>
                </w:rPr>
                <w:t>T2-PO-395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Laplace principle equivalence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Polish-space package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96" w:history="1">
              <w:r>
                <w:rPr>
                  <w:color w:val="2F75B5"/>
                  <w:u w:val="single"/>
                  <w:sz w:val="14"/>
                </w:rPr>
                <w:t>T2-PO-396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Gärtner-Ellis differentiability/steepness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SCGF-specific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97" w:history="1">
              <w:r>
                <w:rPr>
                  <w:color w:val="2F75B5"/>
                  <w:u w:val="single"/>
                  <w:sz w:val="14"/>
                </w:rPr>
                <w:t>T2-PO-397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Sanov empirical-measure layer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IID sector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98" w:history="1">
              <w:r>
                <w:rPr>
                  <w:color w:val="2F75B5"/>
                  <w:u w:val="single"/>
                  <w:sz w:val="14"/>
                </w:rPr>
                <w:t>T2-PO-398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Freidlin-Wentzell action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Concrete diffusion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399" w:history="1">
              <w:r>
                <w:rPr>
                  <w:color w:val="2F75B5"/>
                  <w:u w:val="single"/>
                  <w:sz w:val="14"/>
                </w:rPr>
                <w:t>T2-PO-399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Degenerate action/control representation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Controllability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00" w:history="1">
              <w:r>
                <w:rPr>
                  <w:color w:val="2F75B5"/>
                  <w:u w:val="single"/>
                  <w:sz w:val="14"/>
                </w:rPr>
                <w:t>T2-PO-400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Quasipotential existence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Compactness/minimizer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01" w:history="1">
              <w:r>
                <w:rPr>
                  <w:color w:val="2F75B5"/>
                  <w:u w:val="single"/>
                  <w:sz w:val="14"/>
                </w:rPr>
                <w:t>T2-PO-401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Instanton uniqueness or multiplicity ledger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Numerical/analytic</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02" w:history="1">
              <w:r>
                <w:rPr>
                  <w:color w:val="2F75B5"/>
                  <w:u w:val="single"/>
                  <w:sz w:val="14"/>
                </w:rPr>
                <w:t>T2-PO-402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Donsker-Varadhan functional</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Ergodic Markov model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03" w:history="1">
              <w:r>
                <w:rPr>
                  <w:color w:val="2F75B5"/>
                  <w:u w:val="single"/>
                  <w:sz w:val="14"/>
                </w:rPr>
                <w:t>T2-PO-403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Feynman-Kac semigroup realization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Exponential integrability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04" w:history="1">
              <w:r>
                <w:rPr>
                  <w:color w:val="2F75B5"/>
                  <w:u w:val="single"/>
                  <w:sz w:val="14"/>
                </w:rPr>
                <w:t>T2-PO-404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Risk-sensitive nonlinear generator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 of exponential transform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05" w:history="1">
              <w:r>
                <w:rPr>
                  <w:color w:val="2F75B5"/>
                  <w:u w:val="single"/>
                  <w:sz w:val="14"/>
                </w:rPr>
                <w:t>T2-PO-405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Principal eigenvalue limit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Spectral/ergodic package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06" w:history="1">
              <w:r>
                <w:rPr>
                  <w:color w:val="2F75B5"/>
                  <w:u w:val="single"/>
                  <w:sz w:val="14"/>
                </w:rPr>
                <w:t>T2-PO-406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Risk-sensitive HJB verification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Controlled model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07" w:history="1">
              <w:r>
                <w:rPr>
                  <w:color w:val="2F75B5"/>
                  <w:u w:val="single"/>
                  <w:sz w:val="14"/>
                </w:rPr>
                <w:t>T2-PO-407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Asymptotic-probability firewall</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Theorem 23.2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08" w:history="1">
              <w:r>
                <w:rPr>
                  <w:color w:val="2F75B5"/>
                  <w:u w:val="single"/>
                  <w:sz w:val="14"/>
                </w:rPr>
                <w:t>T2-PO-408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Importance-sampling unbiasedness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Proposal and likelihood ratio</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09" w:history="1">
              <w:r>
                <w:rPr>
                  <w:color w:val="2F75B5"/>
                  <w:u w:val="single"/>
                  <w:sz w:val="14"/>
                </w:rPr>
                <w:t>T2-PO-409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Importance-sampling efficiency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Second-moment bound</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10" w:history="1">
              <w:r>
                <w:rPr>
                  <w:color w:val="2F75B5"/>
                  <w:u w:val="single"/>
                  <w:sz w:val="14"/>
                </w:rPr>
                <w:t>T2-PO-410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Splitting estimator validity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Level/adaptation model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11" w:history="1">
              <w:r>
                <w:rPr>
                  <w:color w:val="2F75B5"/>
                  <w:u w:val="single"/>
                  <w:sz w:val="14"/>
                </w:rPr>
                <w:t>T2-PO-411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KL ambiguity duality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Orientation/support assumptions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12" w:history="1">
              <w:r>
                <w:rPr>
                  <w:color w:val="2F75B5"/>
                  <w:u w:val="single"/>
                  <w:sz w:val="14"/>
                </w:rPr>
                <w:t>T2-PO-412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Wasserstein ambiguity duality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Growth/duality assumptions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13" w:history="1">
              <w:r>
                <w:rPr>
                  <w:color w:val="2F75B5"/>
                  <w:u w:val="single"/>
                  <w:sz w:val="14"/>
                </w:rPr>
                <w:t>T2-PO-413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Finite-sample ambiguity coverage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Concentration theorem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14" w:history="1">
              <w:r>
                <w:rPr>
                  <w:color w:val="2F75B5"/>
                  <w:u w:val="single"/>
                  <w:sz w:val="14"/>
                </w:rPr>
                <w:t>T2-PO-414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Coverage-to-risk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Theorem 23.3</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15" w:history="1">
              <w:r>
                <w:rPr>
                  <w:color w:val="2F75B5"/>
                  <w:u w:val="single"/>
                  <w:sz w:val="14"/>
                </w:rPr>
                <w:t>T2-PO-415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Exact zero-count binomial bound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Formula (23.32)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16" w:history="1">
              <w:r>
                <w:rPr>
                  <w:color w:val="2F75B5"/>
                  <w:u w:val="single"/>
                  <w:sz w:val="14"/>
                </w:rPr>
                <w:t>T2-PO-416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Dependence correction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Cluster/mixing/effective sample size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17" w:history="1">
              <w:r>
                <w:rPr>
                  <w:color w:val="2F75B5"/>
                  <w:u w:val="single"/>
                  <w:sz w:val="14"/>
                </w:rPr>
                <w:t>T2-PO-417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Sequential rare-event validity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E-process/confidence sequence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18" w:history="1">
              <w:r>
                <w:rPr>
                  <w:color w:val="2F75B5"/>
                  <w:u w:val="single"/>
                  <w:sz w:val="14"/>
                </w:rPr>
                <w:t>T2-PO-418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Finite-n LDP remainder</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Model-specific sharp asymptotics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19" w:history="1">
              <w:r>
                <w:rPr>
                  <w:color w:val="2F75B5"/>
                  <w:u w:val="single"/>
                  <w:sz w:val="14"/>
                </w:rPr>
                <w:t>T2-PO-419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Tail non-identifiability theorem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Theorem 23.4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20" w:history="1">
              <w:r>
                <w:rPr>
                  <w:color w:val="2F75B5"/>
                  <w:u w:val="single"/>
                  <w:sz w:val="14"/>
                </w:rPr>
                <w:t>T2-PO-420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Rate-function numerical certificate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Interval/optimization solver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21" w:history="1">
              <w:r>
                <w:rPr>
                  <w:color w:val="2F75B5"/>
                  <w:u w:val="single"/>
                  <w:sz w:val="14"/>
                </w:rPr>
                <w:t>T2-PO-421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Robust rare-event Reper certificate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Cert_LD schema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22" w:history="1">
              <w:r>
                <w:rPr>
                  <w:color w:val="2F75B5"/>
                  <w:u w:val="single"/>
                  <w:sz w:val="14"/>
                </w:rPr>
                <w:t>T2-PO-422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Large-deviation horizons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Definitions (23.37)-(23.40)</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23" w:history="1">
              <w:r>
                <w:rPr>
                  <w:color w:val="2F75B5"/>
                  <w:u w:val="single"/>
                  <w:sz w:val="14"/>
                </w:rPr>
                <w:t>T2-PO-423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Main safety theorem v0.20</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H1-H14</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24" w:history="1">
              <w:r>
                <w:rPr>
                  <w:color w:val="2F75B5"/>
                  <w:u w:val="single"/>
                  <w:sz w:val="14"/>
                </w:rPr>
                <w:t>T2-PO-424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Physical interpretation bridge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Separate reduction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25" w:history="1">
              <w:r>
                <w:rPr>
                  <w:color w:val="2F75B5"/>
                  <w:u w:val="single"/>
                  <w:sz w:val="14"/>
                </w:rPr>
                <w:t>T2-PO-425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rare-event EXT-RUN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Preregistered external data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26" w:history="1">
              <w:r>
                <w:rPr>
                  <w:color w:val="2F75B5"/>
                  <w:u w:val="single"/>
                  <w:sz w:val="14"/>
                </w:rPr>
                <w:t>T2-PO-426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Cross-domain transportability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 adapters and evidence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27" w:history="1">
              <w:r>
                <w:rPr>
                  <w:color w:val="2F75B5"/>
                  <w:u w:val="single"/>
                  <w:sz w:val="14"/>
                </w:rPr>
                <w:t>T2-PO-427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Категория CertKLT формализована в выбранной foundational system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дать машинно-проверяемое определение</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28" w:history="1">
              <w:r>
                <w:rPr>
                  <w:color w:val="2F75B5"/>
                  <w:u w:val="single"/>
                  <w:sz w:val="14"/>
                </w:rPr>
                <w:t>T2-PO-428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Result semantics согласована с частичными картами</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THM-text</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formalize cases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29" w:history="1">
              <w:r>
                <w:rPr>
                  <w:color w:val="2F75B5"/>
                  <w:u w:val="single"/>
                  <w:sz w:val="14"/>
                </w:rPr>
                <w:t>T2-PO-429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Budget transformers образуют ассоциативную систему</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проверить каждый тип бюджета</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30" w:history="1">
              <w:r>
                <w:rPr>
                  <w:color w:val="2F75B5"/>
                  <w:u w:val="single"/>
                  <w:sz w:val="14"/>
                </w:rPr>
                <w:t>T2-PO-430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Однородная Λ совместима со всеми Reper-морфизмами</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naturality proof</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31" w:history="1">
              <w:r>
                <w:rPr>
                  <w:color w:val="2F75B5"/>
                  <w:u w:val="single"/>
                  <w:sz w:val="14"/>
                </w:rPr>
                <w:t>T2-PO-431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Harmonic locus N+Q=0 инвариантен</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THM-local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global carrier proof</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32" w:history="1">
              <w:r>
                <w:rPr>
                  <w:color w:val="2F75B5"/>
                  <w:u w:val="single"/>
                  <w:sz w:val="14"/>
                </w:rPr>
                <w:t>T2-PO-432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Degenerate locus [0:0] корректно блокируется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property-based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33" w:history="1">
              <w:r>
                <w:rPr>
                  <w:color w:val="2F75B5"/>
                  <w:u w:val="single"/>
                  <w:sz w:val="14"/>
                </w:rPr>
                <w:t>T2-PO-433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Unit/type adapters сертифицированы</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adapter library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34" w:history="1">
              <w:r>
                <w:rPr>
                  <w:color w:val="2F75B5"/>
                  <w:u w:val="single"/>
                  <w:sz w:val="14"/>
                </w:rPr>
                <w:t>T2-PO-434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Affine deterministic bound реализован interval arithmetic</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exact test suite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35" w:history="1">
              <w:r>
                <w:rPr>
                  <w:color w:val="2F75B5"/>
                  <w:u w:val="single"/>
                  <w:sz w:val="14"/>
                </w:rPr>
                <w:t>T2-PO-435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Condition numbers вычисляются/ограничиваются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domain-specific bounds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36" w:history="1">
              <w:r>
                <w:rPr>
                  <w:color w:val="2F75B5"/>
                  <w:u w:val="single"/>
                  <w:sz w:val="14"/>
                </w:rPr>
                <w:t>T2-PO-436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α-ledger защищён от постселекции</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pre-registration mechanism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37" w:history="1">
              <w:r>
                <w:rPr>
                  <w:color w:val="2F75B5"/>
                  <w:u w:val="single"/>
                  <w:sz w:val="14"/>
                </w:rPr>
                <w:t>T2-PO-437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e-process merge использует общую нулевую модель</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filtration audit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38" w:history="1">
              <w:r>
                <w:rPr>
                  <w:color w:val="2F75B5"/>
                  <w:u w:val="single"/>
                  <w:sz w:val="14"/>
                </w:rPr>
                <w:t>T2-PO-438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Robust set pushforward корректен</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metric-specific proof</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39" w:history="1">
              <w:r>
                <w:rPr>
                  <w:color w:val="2F75B5"/>
                  <w:u w:val="single"/>
                  <w:sz w:val="14"/>
                </w:rPr>
                <w:t>T2-PO-439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Shift radius имеет coverage status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external calibration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40" w:history="1">
              <w:r>
                <w:rPr>
                  <w:color w:val="2F75B5"/>
                  <w:u w:val="single"/>
                  <w:sz w:val="14"/>
                </w:rPr>
                <w:t>T2-PO-440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Status lattice и meet machine-readable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schema +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41" w:history="1">
              <w:r>
                <w:rPr>
                  <w:color w:val="2F75B5"/>
                  <w:u w:val="single"/>
                  <w:sz w:val="14"/>
                </w:rPr>
                <w:t>T2-PO-441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PHY-HYP отделён от mathematical status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release policy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42" w:history="1">
              <w:r>
                <w:rPr>
                  <w:color w:val="2F75B5"/>
                  <w:u w:val="single"/>
                  <w:sz w:val="14"/>
                </w:rPr>
                <w:t>T2-PO-442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Ingest различает копии и версии</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hash/content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43" w:history="1">
              <w:r>
                <w:rPr>
                  <w:color w:val="2F75B5"/>
                  <w:u w:val="single"/>
                  <w:sz w:val="14"/>
                </w:rPr>
                <w:t>T2-PO-443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D/Dom blockers не скаляризуются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negative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44" w:history="1">
              <w:r>
                <w:rPr>
                  <w:color w:val="2F75B5"/>
                  <w:u w:val="single"/>
                  <w:sz w:val="14"/>
                </w:rPr>
                <w:t>T2-PO-444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NAPG module exports complete invariants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canonical invariant set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45" w:history="1">
              <w:r>
                <w:rPr>
                  <w:color w:val="2F75B5"/>
                  <w:u w:val="single"/>
                  <w:sz w:val="14"/>
                </w:rPr>
                <w:t>T2-PO-445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Geometry module handles higher coherence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2-categorical implementation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46" w:history="1">
              <w:r>
                <w:rPr>
                  <w:color w:val="2F75B5"/>
                  <w:u w:val="single"/>
                  <w:sz w:val="14"/>
                </w:rPr>
                <w:t>T2-PO-446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Obstruction quotient independent of representative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general proof/finite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47" w:history="1">
              <w:r>
                <w:rPr>
                  <w:color w:val="2F75B5"/>
                  <w:u w:val="single"/>
                  <w:sz w:val="14"/>
                </w:rPr>
                <w:t>T2-PO-447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Π_E ledger enforces B1-B8</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gate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48" w:history="1">
              <w:r>
                <w:rPr>
                  <w:color w:val="2F75B5"/>
                  <w:u w:val="single"/>
                  <w:sz w:val="14"/>
                </w:rPr>
                <w:t>T2-PO-448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Global descent certificate compositional</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Čech/stack proof</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49" w:history="1">
              <w:r>
                <w:rPr>
                  <w:color w:val="2F75B5"/>
                  <w:u w:val="single"/>
                  <w:sz w:val="14"/>
                </w:rPr>
                <w:t>T2-PO-449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Kuranishi charts version-compatible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coordinate-change validator</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50" w:history="1">
              <w:r>
                <w:rPr>
                  <w:color w:val="2F75B5"/>
                  <w:u w:val="single"/>
                  <w:sz w:val="14"/>
                </w:rPr>
                <w:t>T2-PO-450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Virtual orientation data audited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orientation package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51" w:history="1">
              <w:r>
                <w:rPr>
                  <w:color w:val="2F75B5"/>
                  <w:u w:val="single"/>
                  <w:sz w:val="14"/>
                </w:rPr>
                <w:t>T2-PO-451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Refined invariant never auto-cast to probability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type firewall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52" w:history="1">
              <w:r>
                <w:rPr>
                  <w:color w:val="2F75B5"/>
                  <w:u w:val="single"/>
                  <w:sz w:val="14"/>
                </w:rPr>
                <w:t>T2-PO-452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Evolution module proves existence domain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generator-specific proof</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53" w:history="1">
              <w:r>
                <w:rPr>
                  <w:color w:val="2F75B5"/>
                  <w:u w:val="single"/>
                  <w:sz w:val="14"/>
                </w:rPr>
                <w:t>T2-PO-453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Path laws preserve nonanticipation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filtration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54" w:history="1">
              <w:r>
                <w:rPr>
                  <w:color w:val="2F75B5"/>
                  <w:u w:val="single"/>
                  <w:sz w:val="14"/>
                </w:rPr>
                <w:t>T2-PO-454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Martingale core/uniqueness status exported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solver/theorem integration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55" w:history="1">
              <w:r>
                <w:rPr>
                  <w:color w:val="2F75B5"/>
                  <w:u w:val="single"/>
                  <w:sz w:val="14"/>
                </w:rPr>
                <w:t>T2-PO-455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Optional stopping assumptions explicit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ledger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56" w:history="1">
              <w:r>
                <w:rPr>
                  <w:color w:val="2F75B5"/>
                  <w:u w:val="single"/>
                  <w:sz w:val="14"/>
                </w:rPr>
                <w:t>T2-PO-456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Causal module stores SCM equivalence class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schema + identification engine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57" w:history="1">
              <w:r>
                <w:rPr>
                  <w:color w:val="2F75B5"/>
                  <w:u w:val="single"/>
                  <w:sz w:val="14"/>
                </w:rPr>
                <w:t>T2-PO-457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Observational and interventional laws separated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type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58" w:history="1">
              <w:r>
                <w:rPr>
                  <w:color w:val="2F75B5"/>
                  <w:u w:val="single"/>
                  <w:sz w:val="14"/>
                </w:rPr>
                <w:t>T2-PO-458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LDP result stores topology/speed/rate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certificate schema</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59" w:history="1">
              <w:r>
                <w:rPr>
                  <w:color w:val="2F75B5"/>
                  <w:u w:val="single"/>
                  <w:sz w:val="14"/>
                </w:rPr>
                <w:t>T2-PO-459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Finite-n remainder required for finite-n claim</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release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60" w:history="1">
              <w:r>
                <w:rPr>
                  <w:color w:val="2F75B5"/>
                  <w:u w:val="single"/>
                  <w:sz w:val="14"/>
                </w:rPr>
                <w:t>T2-PO-460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Ambiguity coverage externally validated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calibration run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61" w:history="1">
              <w:r>
                <w:rPr>
                  <w:color w:val="2F75B5"/>
                  <w:u w:val="single"/>
                  <w:sz w:val="14"/>
                </w:rPr>
                <w:t>T2-PO-461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Importance weights audited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absolute-continuity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62" w:history="1">
              <w:r>
                <w:rPr>
                  <w:color w:val="2F75B5"/>
                  <w:u w:val="single"/>
                  <w:sz w:val="14"/>
                </w:rPr>
                <w:t>T2-PO-462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Tail assumptions machine-readable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 ontology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63" w:history="1">
              <w:r>
                <w:rPr>
                  <w:color w:val="2F75B5"/>
                  <w:u w:val="single"/>
                  <w:sz w:val="14"/>
                </w:rPr>
                <w:t>T2-PO-463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External split immutable before tuning</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sealed split protocol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64" w:history="1">
              <w:r>
                <w:rPr>
                  <w:color w:val="2F75B5"/>
                  <w:u w:val="single"/>
                  <w:sz w:val="14"/>
                </w:rPr>
                <w:t>T2-PO-464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Leakage detector has known sensitivity</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benchmark</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65" w:history="1">
              <w:r>
                <w:rPr>
                  <w:color w:val="2F75B5"/>
                  <w:u w:val="single"/>
                  <w:sz w:val="14"/>
                </w:rPr>
                <w:t>T2-PO-465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Release policy matches requested Mode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cross-mode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66" w:history="1">
              <w:r>
                <w:rPr>
                  <w:color w:val="2F75B5"/>
                  <w:u w:val="single"/>
                  <w:sz w:val="14"/>
                </w:rPr>
                <w:t>T2-PO-466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Verdict vector schema stable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serialization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67" w:history="1">
              <w:r>
                <w:rPr>
                  <w:color w:val="2F75B5"/>
                  <w:u w:val="single"/>
                  <w:sz w:val="14"/>
                </w:rPr>
                <w:t>T2-PO-467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Set-valued forecast supports Pareto output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algorithm +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68" w:history="1">
              <w:r>
                <w:rPr>
                  <w:color w:val="2F75B5"/>
                  <w:u w:val="single"/>
                  <w:sz w:val="14"/>
                </w:rPr>
                <w:t>T2-PO-468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 canonical scalarization enforced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forbidden-field audit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69" w:history="1">
              <w:r>
                <w:rPr>
                  <w:color w:val="2F75B5"/>
                  <w:u w:val="single"/>
                  <w:sz w:val="14"/>
                </w:rPr>
                <w:t>T2-PO-469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ABSTAIN monotonicity implementation verified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metamorphic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70" w:history="1">
              <w:r>
                <w:rPr>
                  <w:color w:val="2F75B5"/>
                  <w:u w:val="single"/>
                  <w:sz w:val="14"/>
                </w:rPr>
                <w:t>T2-PO-470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FAIL witness preserved to final report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trace tests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71" w:history="1">
              <w:r>
                <w:rPr>
                  <w:color w:val="2F75B5"/>
                  <w:u w:val="single"/>
                  <w:sz w:val="14"/>
                </w:rPr>
                <w:t>T2-PO-471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Proof chain links stable IDs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reference integrity</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72" w:history="1">
              <w:r>
                <w:rPr>
                  <w:color w:val="2F75B5"/>
                  <w:u w:val="single"/>
                  <w:sz w:val="14"/>
                </w:rPr>
                <w:t>T2-PO-472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Hash chain canonical serialization fixed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canonical encoding</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73" w:history="1">
              <w:r>
                <w:rPr>
                  <w:color w:val="2F75B5"/>
                  <w:u w:val="single"/>
                  <w:sz w:val="14"/>
                </w:rPr>
                <w:t>T2-PO-473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Nondeterministic parallel runs reproducible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deterministic reduction or interval</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74" w:history="1">
              <w:r>
                <w:rPr>
                  <w:color w:val="2F75B5"/>
                  <w:u w:val="single"/>
                  <w:sz w:val="14"/>
                </w:rPr>
                <w:t>T2-PO-474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Environment capture sufficient</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container lockfile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75" w:history="1">
              <w:r>
                <w:rPr>
                  <w:color w:val="2F75B5"/>
                  <w:u w:val="single"/>
                  <w:sz w:val="14"/>
                </w:rPr>
                <w:t>T2-PO-475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verifier implemented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separate codebase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76" w:history="1">
              <w:r>
                <w:rPr>
                  <w:color w:val="2F75B5"/>
                  <w:u w:val="single"/>
                  <w:sz w:val="14"/>
                </w:rPr>
                <w:t>T2-PO-476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Adversarial integrated test suite complete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red-team corpus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77" w:history="1">
              <w:r>
                <w:rPr>
                  <w:color w:val="2F75B5"/>
                  <w:u w:val="single"/>
                  <w:sz w:val="14"/>
                </w:rPr>
                <w:t>T2-PO-477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Theorem 24.4 formally proved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Lean/Coq/Isabelle target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78" w:history="1">
              <w:r>
                <w:rPr>
                  <w:color w:val="2F75B5"/>
                  <w:u w:val="single"/>
                  <w:sz w:val="14"/>
                </w:rPr>
                <w:t>T2-PO-478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Completeness limits documented per domain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domain dossiers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79" w:history="1">
              <w:r>
                <w:rPr>
                  <w:color w:val="2F75B5"/>
                  <w:u w:val="single"/>
                  <w:sz w:val="14"/>
                </w:rPr>
                <w:t>T2-PO-479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Falsifiability matrix linked to all theorem IDs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COMP</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cross-reference audit</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80" w:history="1">
              <w:r>
                <w:rPr>
                  <w:color w:val="2F75B5"/>
                  <w:u w:val="single"/>
                  <w:sz w:val="14"/>
                </w:rPr>
                <w:t>T2-PO-480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EXT-RUN for F-1-F-14 executed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OPEN/PHY-HYP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independent preregistered run</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81" w:history="1">
              <w:r>
                <w:rPr>
                  <w:color w:val="2F75B5"/>
                  <w:u w:val="single"/>
                  <w:sz w:val="14"/>
                </w:rPr>
                <w:t>T2-PO-481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Полнота реестра формальных утверждений</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339 нумерованных утверждений извлечены; typed IDs назначены.</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82" w:history="1">
              <w:r>
                <w:rPr>
                  <w:color w:val="2F75B5"/>
                  <w:u w:val="single"/>
                  <w:sz w:val="14"/>
                </w:rPr>
                <w:t>T2-PO-482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Устранение неоднозначности голых номеров утверждений</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44 межтиповых коллизии нейтрализованы ID вида T2-THM/DEF/LEM-…</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83" w:history="1">
              <w:r>
                <w:rPr>
                  <w:color w:val="2F75B5"/>
                  <w:u w:val="single"/>
                  <w:sz w:val="14"/>
                </w:rPr>
                <w:t>T2-PO-483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Уникальность формульных ID</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404 формульных метки уникальны внутри Тома II.</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84" w:history="1">
              <w:r>
                <w:rPr>
                  <w:color w:val="2F75B5"/>
                  <w:u w:val="single"/>
                  <w:sz w:val="14"/>
                </w:rPr>
                <w:t>T2-PO-484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Непрерывность реестра T2-PO</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T2-PO-001–T2-PO-500 образуют непрерывный диапазон.</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85" w:history="1">
              <w:r>
                <w:rPr>
                  <w:color w:val="2F75B5"/>
                  <w:u w:val="single"/>
                  <w:sz w:val="14"/>
                </w:rPr>
                <w:t>T2-PO-485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Внутренние ссылки theorem/formula/PO registers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В DOCX установлены bookmark/anchor links; PDF-проверка выполняется при конверсии.</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86" w:history="1">
              <w:r>
                <w:rPr>
                  <w:color w:val="2F75B5"/>
                  <w:u w:val="single"/>
                  <w:sz w:val="14"/>
                </w:rPr>
                <w:t>T2-PO-486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Полная библиографическая верификация всех внешних URI/DOI</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Требуется отдельный сетевой link-check перед публичной выкладкой.</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87" w:history="1">
              <w:r>
                <w:rPr>
                  <w:color w:val="2F75B5"/>
                  <w:u w:val="single"/>
                  <w:sz w:val="14"/>
                </w:rPr>
                <w:t>T2-PO-487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Alt text для всех рисунков</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Alt text формируется из ближайшей подписи; портрет автора описан отдельно.</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88" w:history="1">
              <w:r>
                <w:rPr>
                  <w:color w:val="2F75B5"/>
                  <w:u w:val="single"/>
                  <w:sz w:val="14"/>
                </w:rPr>
                <w:t>T2-PO-488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Заголовочные строки таблиц</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Первые строки таблиц размечены как повторяемые header rows.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89" w:history="1">
              <w:r>
                <w:rPr>
                  <w:color w:val="2F75B5"/>
                  <w:u w:val="single"/>
                  <w:sz w:val="14"/>
                </w:rPr>
                <w:t>T2-PO-489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Логическая иерархия заголовков</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CLOSED/LOCAL</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Heading 1/2 аудит выполнен; историческая прямая разметка титула сохранена как дизайн.</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90" w:history="1">
              <w:r>
                <w:rPr>
                  <w:color w:val="2F75B5"/>
                  <w:u w:val="single"/>
                  <w:sz w:val="14"/>
                </w:rPr>
                <w:t>T2-PO-490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Поисковый текстовый слой PDF</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Закрывается после финальной конверсии и pdftotext-проверки.</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91" w:history="1">
              <w:r>
                <w:rPr>
                  <w:color w:val="2F75B5"/>
                  <w:u w:val="single"/>
                  <w:sz w:val="14"/>
                </w:rPr>
                <w:t>T2-PO-491</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PDF outline и внутренняя навигация</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Закрывается после финальной конверсии и проверки outline/annotations.</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92" w:history="1">
              <w:r>
                <w:rPr>
                  <w:color w:val="2F75B5"/>
                  <w:u w:val="single"/>
                  <w:sz w:val="14"/>
                </w:rPr>
                <w:t>T2-PO-492</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Отсутствие битых внешних ссылок</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Нужен отдельный онлайн-аудит на дату публикации.</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93" w:history="1">
              <w:r>
                <w:rPr>
                  <w:color w:val="2F75B5"/>
                  <w:u w:val="single"/>
                  <w:sz w:val="14"/>
                </w:rPr>
                <w:t>T2-PO-493</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Метаданные автора, названия и версии</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Core properties и колонтитулы синхронизированы с v0.22.</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94" w:history="1">
              <w:r>
                <w:rPr>
                  <w:color w:val="2F75B5"/>
                  <w:u w:val="single"/>
                  <w:sz w:val="14"/>
                </w:rPr>
                <w:t>T2-PO-494</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Юридический status lock регистрационных документов</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Регистрация не трактуется как подтверждение теорем или физических гипотез.</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95" w:history="1">
              <w:r>
                <w:rPr>
                  <w:color w:val="2F75B5"/>
                  <w:u w:val="single"/>
                  <w:sz w:val="14"/>
                </w:rPr>
                <w:t>T2-PO-495</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Математический/физический truth-layer firewall</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truth_layer_promotion=0; F-1–F-14 и EXT-RUN не повышены.</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96" w:history="1">
              <w:r>
                <w:rPr>
                  <w:color w:val="2F75B5"/>
                  <w:u w:val="single"/>
                  <w:sz w:val="14"/>
                </w:rPr>
                <w:t>T2-PO-496</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Реестр freeze-blockers</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Открытые и условные обязательства сохраняются в publication gate.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97" w:history="1">
              <w:r>
                <w:rPr>
                  <w:color w:val="2F75B5"/>
                  <w:u w:val="single"/>
                  <w:sz w:val="14"/>
                </w:rPr>
                <w:t>T2-PO-497</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Release manifest и rollback lineage</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source=T2-RP-v0.21; checkpoint=T2-RP-v0.22; next conditional freeze.</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98" w:history="1">
              <w:r>
                <w:rPr>
                  <w:color w:val="2F75B5"/>
                  <w:u w:val="single"/>
                  <w:sz w:val="14"/>
                </w:rPr>
                <w:t>T2-PO-498</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Независимый внешний EXT-RUN</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OPEN/PHY-HYP</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OPEN</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Не исполнен; эмпирико-физический gate не пройден.</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499" w:history="1">
              <w:r>
                <w:rPr>
                  <w:color w:val="2F75B5"/>
                  <w:u w:val="single"/>
                  <w:sz w:val="14"/>
                </w:rPr>
                <w:t>T2-PO-499</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Сохранность точки отката v0.21</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CLOSED/THM</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v0.21 сохранён отдельной парой DOCX/PDF.</w:t>
            </w:r>
          </w:p>
        </w:tc>
      </w:tr>
      <w:tr>
        <w:trPr>
          <w:cantSplit/>
        </w:trPr>
        <w:tc>
          <w:tcPr>
            <w:tcW w:type="dxa" w:w="1361"/>
            <w:vAlign w:val="center"/>
            <w:tcMar>
              <w:top w:w="80" w:type="dxa"/>
              <w:start w:w="100" w:type="dxa"/>
              <w:bottom w:w="80" w:type="dxa"/>
              <w:end w:w="100" w:type="dxa"/>
            </w:tcMar>
          </w:tcPr>
          <w:p>
            <w:pPr>
              <w:spacing w:before="0" w:after="0" w:line="240" w:lineRule="auto"/>
            </w:pPr>
            <w:hyperlink w:anchor="po_500" w:history="1">
              <w:r>
                <w:rPr>
                  <w:color w:val="2F75B5"/>
                  <w:u w:val="single"/>
                  <w:sz w:val="14"/>
                </w:rPr>
                <w:t>T2-PO-500</w:t>
              </w:r>
            </w:hyperlink>
          </w:p>
        </w:tc>
        <w:tc>
          <w:tcPr>
            <w:tcW w:type="dxa" w:w="374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Решение о замораживании Тома II</w:t>
            </w:r>
          </w:p>
        </w:tc>
        <w:tc>
          <w:tcPr>
            <w:tcW w:type="dxa" w:w="170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13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COND</w:t>
            </w:r>
          </w:p>
        </w:tc>
        <w:tc>
          <w:tcPr>
            <w:tcW w:type="dxa" w:w="2835"/>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3"/>
              </w:rPr>
              <w:t>Редакционная заморозка допустима; научно-эмпирическая полнота не заявляется.</w:t>
            </w:r>
          </w:p>
        </w:tc>
      </w:tr>
    </w:tbl>
    <w:p>
      <w:r>
        <w:br w:type="page"/>
      </w:r>
    </w:p>
    <w:p>
      <w:bookmarkStart w:id="2619" w:name="h_3711"/>
      <w:pPr>
        <w:pStyle w:val="Heading1"/>
      </w:pPr>
      <w:r>
        <w:t>Приложение T2-C. Формульный указатель</w:t>
      </w:r>
      <w:bookmarkEnd w:id="2619"/>
    </w:p>
    <w:p>
      <w:pPr>
        <w:pStyle w:val="Lead"/>
      </w:pPr>
      <w:r>
        <w:t>Определяющих формульных ID: 404. Каждый ID уникален и связан с исходным абзацем.</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587"/>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Formula ID</w:t>
            </w:r>
          </w:p>
        </w:tc>
        <w:tc>
          <w:tcPr>
            <w:tcW w:type="dxa" w:w="5102"/>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Формула/объект</w:t>
            </w:r>
          </w:p>
        </w:tc>
        <w:tc>
          <w:tcPr>
            <w:tcW w:type="dxa" w:w="3061"/>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Раздел</w:t>
            </w:r>
          </w:p>
        </w:tc>
        <w:tc>
          <w:tcPr>
            <w:tcW w:type="dxa" w:w="907"/>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Ссылка</w:t>
            </w:r>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Ω_N^• = ⊕_{p≥0} Ω_N^p, |α|=p для α∈Ω_N^p.</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71. Замороженная нотация и четыре типа операторов</w:t>
            </w:r>
          </w:p>
        </w:tc>
        <w:tc>
          <w:tcPr>
            <w:tcW w:type="dxa" w:w="907"/>
            <w:vAlign w:val="center"/>
            <w:tcMar>
              <w:top w:w="80" w:type="dxa"/>
              <w:start w:w="100" w:type="dxa"/>
              <w:bottom w:w="80" w:type="dxa"/>
              <w:end w:w="100" w:type="dxa"/>
            </w:tcMar>
          </w:tcPr>
          <w:p>
            <w:pPr>
              <w:spacing w:before="0" w:after="0" w:line="240" w:lineRule="auto"/>
            </w:pPr>
            <w:hyperlink w:anchor="f_10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d_N^p : Dom(d_N^p) ⊂ Ω_N^p → Ω_N^{p+1}.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71. Замороженная нотация и четыре типа операторов</w:t>
            </w:r>
          </w:p>
        </w:tc>
        <w:tc>
          <w:tcPr>
            <w:tcW w:type="dxa" w:w="907"/>
            <w:vAlign w:val="center"/>
            <w:tcMar>
              <w:top w:w="80" w:type="dxa"/>
              <w:start w:w="100" w:type="dxa"/>
              <w:bottom w:w="80" w:type="dxa"/>
              <w:end w:w="100" w:type="dxa"/>
            </w:tcMar>
          </w:tcPr>
          <w:p>
            <w:pPr>
              <w:spacing w:before="0" w:after="0" w:line="240" w:lineRule="auto"/>
            </w:pPr>
            <w:hyperlink w:anchor="f_10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δ_E : E^q → E^{q+1}, δ_E²=0 only after certificate.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71. Замороженная нотация и четыре типа операторов</w:t>
            </w:r>
          </w:p>
        </w:tc>
        <w:tc>
          <w:tcPr>
            <w:tcW w:type="dxa" w:w="907"/>
            <w:vAlign w:val="center"/>
            <w:tcMar>
              <w:top w:w="80" w:type="dxa"/>
              <w:start w:w="100" w:type="dxa"/>
              <w:bottom w:w="80" w:type="dxa"/>
              <w:end w:w="100" w:type="dxa"/>
            </w:tcMar>
          </w:tcPr>
          <w:p>
            <w:pPr>
              <w:spacing w:before="0" w:after="0" w:line="240" w:lineRule="auto"/>
            </w:pPr>
            <w:hyperlink w:anchor="f_10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L_d(α,β)=d_N(α⊙β)-d_Nα⊙β-(-1)^{|α|}α⊙d_Nβ.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72. Graded Leibniz calculus и дефект дифференцирования</w:t>
            </w:r>
          </w:p>
        </w:tc>
        <w:tc>
          <w:tcPr>
            <w:tcW w:type="dxa" w:w="907"/>
            <w:vAlign w:val="center"/>
            <w:tcMar>
              <w:top w:w="80" w:type="dxa"/>
              <w:start w:w="100" w:type="dxa"/>
              <w:bottom w:w="80" w:type="dxa"/>
              <w:end w:w="100" w:type="dxa"/>
            </w:tcMar>
          </w:tcPr>
          <w:p>
            <w:pPr>
              <w:spacing w:before="0" w:after="0" w:line="240" w:lineRule="auto"/>
            </w:pPr>
            <w:hyperlink w:anchor="f_10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[D,E]=D∘E-(-1)^{|D||E|}E∘D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72. Graded Leibniz calculus и дефект дифференцирования</w:t>
            </w:r>
          </w:p>
        </w:tc>
        <w:tc>
          <w:tcPr>
            <w:tcW w:type="dxa" w:w="907"/>
            <w:vAlign w:val="center"/>
            <w:tcMar>
              <w:top w:w="80" w:type="dxa"/>
              <w:start w:w="100" w:type="dxa"/>
              <w:bottom w:w="80" w:type="dxa"/>
              <w:end w:w="100" w:type="dxa"/>
            </w:tcMar>
          </w:tcPr>
          <w:p>
            <w:pPr>
              <w:spacing w:before="0" w:after="0" w:line="240" w:lineRule="auto"/>
            </w:pPr>
            <w:hyperlink w:anchor="f_10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d_N²(α⊙β)=d_N²α⊙β+α⊙d_N²β.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72. Graded Leibniz calculus и дефект дифференцирования</w:t>
            </w:r>
          </w:p>
        </w:tc>
        <w:tc>
          <w:tcPr>
            <w:tcW w:type="dxa" w:w="907"/>
            <w:vAlign w:val="center"/>
            <w:tcMar>
              <w:top w:w="80" w:type="dxa"/>
              <w:start w:w="100" w:type="dxa"/>
              <w:bottom w:w="80" w:type="dxa"/>
              <w:end w:w="100" w:type="dxa"/>
            </w:tcMar>
          </w:tcPr>
          <w:p>
            <w:pPr>
              <w:spacing w:before="0" w:after="0" w:line="240" w:lineRule="auto"/>
            </w:pPr>
            <w:hyperlink w:anchor="f_10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d_N Ass(α,β,γ)=Ass(d_Nα,β,γ)+(-1)^{|α|}Ass(α,d_Nβ,γ)+(-1)^{|α|+|β|}Ass(α,β,d_Nγ).</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72. Graded Leibniz calculus и дефект дифференцирования</w:t>
            </w:r>
          </w:p>
        </w:tc>
        <w:tc>
          <w:tcPr>
            <w:tcW w:type="dxa" w:w="907"/>
            <w:vAlign w:val="center"/>
            <w:tcMar>
              <w:top w:w="80" w:type="dxa"/>
              <w:start w:w="100" w:type="dxa"/>
              <w:bottom w:w="80" w:type="dxa"/>
              <w:end w:w="100" w:type="dxa"/>
            </w:tcMar>
          </w:tcPr>
          <w:p>
            <w:pPr>
              <w:spacing w:before="0" w:after="0" w:line="240" w:lineRule="auto"/>
            </w:pPr>
            <w:hyperlink w:anchor="f_10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Ω_d := d_N² : Ω_N^p → Ω_N^{p+2}.</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73. Почему d²=0 не является автоматическим</w:t>
            </w:r>
          </w:p>
        </w:tc>
        <w:tc>
          <w:tcPr>
            <w:tcW w:type="dxa" w:w="907"/>
            <w:vAlign w:val="center"/>
            <w:tcMar>
              <w:top w:w="80" w:type="dxa"/>
              <w:start w:w="100" w:type="dxa"/>
              <w:bottom w:w="80" w:type="dxa"/>
              <w:end w:w="100" w:type="dxa"/>
            </w:tcMar>
          </w:tcPr>
          <w:p>
            <w:pPr>
              <w:spacing w:before="0" w:after="0" w:line="240" w:lineRule="auto"/>
            </w:pPr>
            <w:hyperlink w:anchor="f_10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[d_N,Ω_d]=0.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73. Почему d²=0 не является автоматическим</w:t>
            </w:r>
          </w:p>
        </w:tc>
        <w:tc>
          <w:tcPr>
            <w:tcW w:type="dxa" w:w="907"/>
            <w:vAlign w:val="center"/>
            <w:tcMar>
              <w:top w:w="80" w:type="dxa"/>
              <w:start w:w="100" w:type="dxa"/>
              <w:bottom w:w="80" w:type="dxa"/>
              <w:end w:w="100" w:type="dxa"/>
            </w:tcMar>
          </w:tcPr>
          <w:p>
            <w:pPr>
              <w:spacing w:before="0" w:after="0" w:line="240" w:lineRule="auto"/>
            </w:pPr>
            <w:hyperlink w:anchor="f_10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d²(a)=c≠0.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73. Почему d²=0 не является автоматическим</w:t>
            </w:r>
          </w:p>
        </w:tc>
        <w:tc>
          <w:tcPr>
            <w:tcW w:type="dxa" w:w="907"/>
            <w:vAlign w:val="center"/>
            <w:tcMar>
              <w:top w:w="80" w:type="dxa"/>
              <w:start w:w="100" w:type="dxa"/>
              <w:bottom w:w="80" w:type="dxa"/>
              <w:end w:w="100" w:type="dxa"/>
            </w:tcMar>
          </w:tcPr>
          <w:p>
            <w:pPr>
              <w:spacing w:before="0" w:after="0" w:line="240" w:lineRule="auto"/>
            </w:pPr>
            <w:hyperlink w:anchor="f_10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d_∇² α = R_∇ ∧ α.</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73. Почему d²=0 не является автоматическим</w:t>
            </w:r>
          </w:p>
        </w:tc>
        <w:tc>
          <w:tcPr>
            <w:tcW w:type="dxa" w:w="907"/>
            <w:vAlign w:val="center"/>
            <w:tcMar>
              <w:top w:w="80" w:type="dxa"/>
              <w:start w:w="100" w:type="dxa"/>
              <w:bottom w:w="80" w:type="dxa"/>
              <w:end w:w="100" w:type="dxa"/>
            </w:tcMar>
          </w:tcPr>
          <w:p>
            <w:pPr>
              <w:spacing w:before="0" w:after="0" w:line="240" w:lineRule="auto"/>
            </w:pPr>
            <w:hyperlink w:anchor="f_10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A² = dω + ω∧ω.</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73. Почему d²=0 не является автоматическим</w:t>
            </w:r>
          </w:p>
        </w:tc>
        <w:tc>
          <w:tcPr>
            <w:tcW w:type="dxa" w:w="907"/>
            <w:vAlign w:val="center"/>
            <w:tcMar>
              <w:top w:w="80" w:type="dxa"/>
              <w:start w:w="100" w:type="dxa"/>
              <w:bottom w:w="80" w:type="dxa"/>
              <w:end w:w="100" w:type="dxa"/>
            </w:tcMar>
          </w:tcPr>
          <w:p>
            <w:pPr>
              <w:spacing w:before="0" w:after="0" w:line="240" w:lineRule="auto"/>
            </w:pPr>
            <w:hyperlink w:anchor="f_10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(d_U α)|_V = d_V(α|_V).</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74. Локальность, ограничения и склейка дифференциалов</w:t>
            </w:r>
          </w:p>
        </w:tc>
        <w:tc>
          <w:tcPr>
            <w:tcW w:type="dxa" w:w="907"/>
            <w:vAlign w:val="center"/>
            <w:tcMar>
              <w:top w:w="80" w:type="dxa"/>
              <w:start w:w="100" w:type="dxa"/>
              <w:bottom w:w="80" w:type="dxa"/>
              <w:end w:w="100" w:type="dxa"/>
            </w:tcMar>
          </w:tcPr>
          <w:p>
            <w:pPr>
              <w:spacing w:before="0" w:after="0" w:line="240" w:lineRule="auto"/>
            </w:pPr>
            <w:hyperlink w:anchor="f_10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g_ij ∘ d_j = d_i ∘ g_ij,</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74. Локальность, ограничения и склейка дифференциалов</w:t>
            </w:r>
          </w:p>
        </w:tc>
        <w:tc>
          <w:tcPr>
            <w:tcW w:type="dxa" w:w="907"/>
            <w:vAlign w:val="center"/>
            <w:tcMar>
              <w:top w:w="80" w:type="dxa"/>
              <w:start w:w="100" w:type="dxa"/>
              <w:bottom w:w="80" w:type="dxa"/>
              <w:end w:w="100" w:type="dxa"/>
            </w:tcMar>
          </w:tcPr>
          <w:p>
            <w:pPr>
              <w:spacing w:before="0" w:after="0" w:line="240" w:lineRule="auto"/>
            </w:pPr>
            <w:hyperlink w:anchor="f_10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K_ij := g_ij d_j - d_i g_ij.</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74. Локальность, ограничения и склейка дифференциалов</w:t>
            </w:r>
          </w:p>
        </w:tc>
        <w:tc>
          <w:tcPr>
            <w:tcW w:type="dxa" w:w="907"/>
            <w:vAlign w:val="center"/>
            <w:tcMar>
              <w:top w:w="80" w:type="dxa"/>
              <w:start w:w="100" w:type="dxa"/>
              <w:bottom w:w="80" w:type="dxa"/>
              <w:end w:w="100" w:type="dxa"/>
            </w:tcMar>
          </w:tcPr>
          <w:p>
            <w:pPr>
              <w:spacing w:before="0" w:after="0" w:line="240" w:lineRule="auto"/>
            </w:pPr>
            <w:hyperlink w:anchor="f_10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D_tot = d_N + (-1)^p δ_E.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75. Внутренний и внешний слои: total operator и mixed defect</w:t>
            </w:r>
          </w:p>
        </w:tc>
        <w:tc>
          <w:tcPr>
            <w:tcW w:type="dxa" w:w="907"/>
            <w:vAlign w:val="center"/>
            <w:tcMar>
              <w:top w:w="80" w:type="dxa"/>
              <w:start w:w="100" w:type="dxa"/>
              <w:bottom w:w="80" w:type="dxa"/>
              <w:end w:w="100" w:type="dxa"/>
            </w:tcMar>
          </w:tcPr>
          <w:p>
            <w:pPr>
              <w:spacing w:before="0" w:after="0" w:line="240" w:lineRule="auto"/>
            </w:pPr>
            <w:hyperlink w:anchor="f_10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D_tot² = Ω_int + Ω_E + (-1)^p M_mix,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75. Внутренний и внешний слои: total operator и mixed defect</w:t>
            </w:r>
          </w:p>
        </w:tc>
        <w:tc>
          <w:tcPr>
            <w:tcW w:type="dxa" w:w="907"/>
            <w:vAlign w:val="center"/>
            <w:tcMar>
              <w:top w:w="80" w:type="dxa"/>
              <w:start w:w="100" w:type="dxa"/>
              <w:bottom w:w="80" w:type="dxa"/>
              <w:end w:w="100" w:type="dxa"/>
            </w:tcMar>
          </w:tcPr>
          <w:p>
            <w:pPr>
              <w:spacing w:before="0" w:after="0" w:line="240" w:lineRule="auto"/>
            </w:pPr>
            <w:hyperlink w:anchor="f_10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Cert_E=(δ_E²=0, well-defined Π_E, representative independence, naturality, mixed compatibility).</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75. Внутренний и внешний слои: total operator и mixed defect</w:t>
            </w:r>
          </w:p>
        </w:tc>
        <w:tc>
          <w:tcPr>
            <w:tcW w:type="dxa" w:w="907"/>
            <w:vAlign w:val="center"/>
            <w:tcMar>
              <w:top w:w="80" w:type="dxa"/>
              <w:start w:w="100" w:type="dxa"/>
              <w:bottom w:w="80" w:type="dxa"/>
              <w:end w:w="100" w:type="dxa"/>
            </w:tcMar>
          </w:tcPr>
          <w:p>
            <w:pPr>
              <w:spacing w:before="0" w:after="0" w:line="240" w:lineRule="auto"/>
            </w:pPr>
            <w:hyperlink w:anchor="f_10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⋆_Hdg : Ω^p(U) → Ω^{n-p}(U).</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76. Hodge-слой: кодифференциал и лапласиан без подмены обозначений</w:t>
            </w:r>
          </w:p>
        </w:tc>
        <w:tc>
          <w:tcPr>
            <w:tcW w:type="dxa" w:w="907"/>
            <w:vAlign w:val="center"/>
            <w:tcMar>
              <w:top w:w="80" w:type="dxa"/>
              <w:start w:w="100" w:type="dxa"/>
              <w:bottom w:w="80" w:type="dxa"/>
              <w:end w:w="100" w:type="dxa"/>
            </w:tcMar>
          </w:tcPr>
          <w:p>
            <w:pPr>
              <w:spacing w:before="0" w:after="0" w:line="240" w:lineRule="auto"/>
            </w:pPr>
            <w:hyperlink w:anchor="f_10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δ_Hdg = (-1)^{n(p+1)+1} ⋆_Hdg d_N ⋆_Hdg.</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76. Hodge-слой: кодифференциал и лапласиан без подмены обозначений</w:t>
            </w:r>
          </w:p>
        </w:tc>
        <w:tc>
          <w:tcPr>
            <w:tcW w:type="dxa" w:w="907"/>
            <w:vAlign w:val="center"/>
            <w:tcMar>
              <w:top w:w="80" w:type="dxa"/>
              <w:start w:w="100" w:type="dxa"/>
              <w:bottom w:w="80" w:type="dxa"/>
              <w:end w:w="100" w:type="dxa"/>
            </w:tcMar>
          </w:tcPr>
          <w:p>
            <w:pPr>
              <w:spacing w:before="0" w:after="0" w:line="240" w:lineRule="auto"/>
            </w:pPr>
            <w:hyperlink w:anchor="f_10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Δ_Hdg = d_N δ_Hdg + δ_Hdg d_N.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76. Hodge-слой: кодифференциал и лапласиан без подмены обозначений</w:t>
            </w:r>
          </w:p>
        </w:tc>
        <w:tc>
          <w:tcPr>
            <w:tcW w:type="dxa" w:w="907"/>
            <w:vAlign w:val="center"/>
            <w:tcMar>
              <w:top w:w="80" w:type="dxa"/>
              <w:start w:w="100" w:type="dxa"/>
              <w:bottom w:w="80" w:type="dxa"/>
              <w:end w:w="100" w:type="dxa"/>
            </w:tcMar>
          </w:tcPr>
          <w:p>
            <w:pPr>
              <w:spacing w:before="0" w:after="0" w:line="240" w:lineRule="auto"/>
            </w:pPr>
            <w:hyperlink w:anchor="f_10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H_ij = g_ij ⋆_j - ⋆_i g_ij.</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76. Hodge-слой: кодифференциал и лапласиан без подмены обозначений</w:t>
            </w:r>
          </w:p>
        </w:tc>
        <w:tc>
          <w:tcPr>
            <w:tcW w:type="dxa" w:w="907"/>
            <w:vAlign w:val="center"/>
            <w:tcMar>
              <w:top w:w="80" w:type="dxa"/>
              <w:start w:w="100" w:type="dxa"/>
              <w:bottom w:w="80" w:type="dxa"/>
              <w:end w:w="100" w:type="dxa"/>
            </w:tcMar>
          </w:tcPr>
          <w:p>
            <w:pPr>
              <w:spacing w:before="0" w:after="0" w:line="240" w:lineRule="auto"/>
            </w:pPr>
            <w:hyperlink w:anchor="f_10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A_Hdg = δ_Hdg - d_N^*.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76. Hodge-слой: кодифференциал и лапласиан без подмены обозначений</w:t>
            </w:r>
          </w:p>
        </w:tc>
        <w:tc>
          <w:tcPr>
            <w:tcW w:type="dxa" w:w="907"/>
            <w:vAlign w:val="center"/>
            <w:tcMar>
              <w:top w:w="80" w:type="dxa"/>
              <w:start w:w="100" w:type="dxa"/>
              <w:bottom w:w="80" w:type="dxa"/>
              <w:end w:w="100" w:type="dxa"/>
            </w:tcMar>
          </w:tcPr>
          <w:p>
            <w:pPr>
              <w:spacing w:before="0" w:after="0" w:line="240" w:lineRule="auto"/>
            </w:pPr>
            <w:hyperlink w:anchor="f_10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Rep_diff(d_N)=(R_d,I_d,U_d;D_d),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77. Differential Reper и λ-гармония</w:t>
            </w:r>
          </w:p>
        </w:tc>
        <w:tc>
          <w:tcPr>
            <w:tcW w:type="dxa" w:w="907"/>
            <w:vAlign w:val="center"/>
            <w:tcMar>
              <w:top w:w="80" w:type="dxa"/>
              <w:start w:w="100" w:type="dxa"/>
              <w:bottom w:w="80" w:type="dxa"/>
              <w:end w:w="100" w:type="dxa"/>
            </w:tcMar>
          </w:tcPr>
          <w:p>
            <w:pPr>
              <w:spacing w:before="0" w:after="0" w:line="240" w:lineRule="auto"/>
            </w:pPr>
            <w:hyperlink w:anchor="f_10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Def_diff=(||L_d||,||Ω_d||,||K_glue||,||M_mix||,||H||,pole_λ,Block_Dom).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77. Differential Reper и λ-гармония</w:t>
            </w:r>
          </w:p>
        </w:tc>
        <w:tc>
          <w:tcPr>
            <w:tcW w:type="dxa" w:w="907"/>
            <w:vAlign w:val="center"/>
            <w:tcMar>
              <w:top w:w="80" w:type="dxa"/>
              <w:start w:w="100" w:type="dxa"/>
              <w:bottom w:w="80" w:type="dxa"/>
              <w:end w:w="100" w:type="dxa"/>
            </w:tcMar>
          </w:tcPr>
          <w:p>
            <w:pPr>
              <w:spacing w:before="0" w:after="0" w:line="240" w:lineRule="auto"/>
            </w:pPr>
            <w:hyperlink w:anchor="f_10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C_diff(τ,η)={x: δ_truth(x)≤τ, ||Def_diff(x)||≤η, Valid(D)=1, Dom=1}.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77. Differential Reper и λ-гармония</w:t>
            </w:r>
          </w:p>
        </w:tc>
        <w:tc>
          <w:tcPr>
            <w:tcW w:type="dxa" w:w="907"/>
            <w:vAlign w:val="center"/>
            <w:tcMar>
              <w:top w:w="80" w:type="dxa"/>
              <w:start w:w="100" w:type="dxa"/>
              <w:bottom w:w="80" w:type="dxa"/>
              <w:end w:w="100" w:type="dxa"/>
            </w:tcMar>
          </w:tcPr>
          <w:p>
            <w:pPr>
              <w:spacing w:before="0" w:after="0" w:line="240" w:lineRule="auto"/>
            </w:pPr>
            <w:hyperlink w:anchor="f_10_2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Σ_diff(t)=(rank d_t^p, rank(d_t^{p+1}d_t^p), rank L_{d_t}, rank K_t, rank M_t, rank H_t, dim H_t^p when defined).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78. Дифференциальный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10_2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Δ_safe^{++} = Δ_safe^+ ∪ Δ_diff.</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78. Дифференциальный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10_2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T2-F-10.29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dim H_t^p = dim Ω^p - rank d_t^p - rank d_t^{p-1}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78. Дифференциальный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10_2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N=(K,A^•,⊙,G,R; F²_N, X²_N, Ψ²_N).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84. Definition Core: квадратичный кадр и минимальный комплекс</w:t>
            </w:r>
          </w:p>
        </w:tc>
        <w:tc>
          <w:tcPr>
            <w:tcW w:type="dxa" w:w="907"/>
            <w:vAlign w:val="center"/>
            <w:tcMar>
              <w:top w:w="80" w:type="dxa"/>
              <w:start w:w="100" w:type="dxa"/>
              <w:bottom w:w="80" w:type="dxa"/>
              <w:end w:w="100" w:type="dxa"/>
            </w:tcMar>
          </w:tcPr>
          <w:p>
            <w:pPr>
              <w:spacing w:before="0" w:after="0" w:line="240" w:lineRule="auto"/>
            </w:pPr>
            <w:hyperlink w:anchor="f_12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φ_X ∘ Ψ²_N = Ψ²_N′ ∘ φ_F.</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84. Definition Core: квадратичный кадр и минимальный комплекс</w:t>
            </w:r>
          </w:p>
        </w:tc>
        <w:tc>
          <w:tcPr>
            <w:tcW w:type="dxa" w:w="907"/>
            <w:vAlign w:val="center"/>
            <w:tcMar>
              <w:top w:w="80" w:type="dxa"/>
              <w:start w:w="100" w:type="dxa"/>
              <w:bottom w:w="80" w:type="dxa"/>
              <w:end w:w="100" w:type="dxa"/>
            </w:tcMar>
          </w:tcPr>
          <w:p>
            <w:pPr>
              <w:spacing w:before="0" w:after="0" w:line="240" w:lineRule="auto"/>
            </w:pPr>
            <w:hyperlink w:anchor="f_12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C_min^n(N)=F²_N при n=2; C_min^n(N)=X²_N при n=3; C_min^n(N)=0 при n≠2,3.</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84. Definition Core: квадратичный кадр и минимальный комплекс</w:t>
            </w:r>
          </w:p>
        </w:tc>
        <w:tc>
          <w:tcPr>
            <w:tcW w:type="dxa" w:w="907"/>
            <w:vAlign w:val="center"/>
            <w:tcMar>
              <w:top w:w="80" w:type="dxa"/>
              <w:start w:w="100" w:type="dxa"/>
              <w:bottom w:w="80" w:type="dxa"/>
              <w:end w:w="100" w:type="dxa"/>
            </w:tcMar>
          </w:tcPr>
          <w:p>
            <w:pPr>
              <w:spacing w:before="0" w:after="0" w:line="240" w:lineRule="auto"/>
            </w:pPr>
            <w:hyperlink w:anchor="f_12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δ_min²(N)=Ψ²_N; δ_min^n(N)=0 при n≠2.</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84. Definition Core: квадратичный кадр и минимальный комплекс</w:t>
            </w:r>
          </w:p>
        </w:tc>
        <w:tc>
          <w:tcPr>
            <w:tcW w:type="dxa" w:w="907"/>
            <w:vAlign w:val="center"/>
            <w:tcMar>
              <w:top w:w="80" w:type="dxa"/>
              <w:start w:w="100" w:type="dxa"/>
              <w:bottom w:w="80" w:type="dxa"/>
              <w:end w:w="100" w:type="dxa"/>
            </w:tcMar>
          </w:tcPr>
          <w:p>
            <w:pPr>
              <w:spacing w:before="0" w:after="0" w:line="240" w:lineRule="auto"/>
            </w:pPr>
            <w:hyperlink w:anchor="f_12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Θ_min,N:X²_N→C_min³(N), Θ_min,N=id_{X²_N}.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84. Definition Core: квадратичный кадр и минимальный комплекс</w:t>
            </w:r>
          </w:p>
        </w:tc>
        <w:tc>
          <w:tcPr>
            <w:tcW w:type="dxa" w:w="907"/>
            <w:vAlign w:val="center"/>
            <w:tcMar>
              <w:top w:w="80" w:type="dxa"/>
              <w:start w:w="100" w:type="dxa"/>
              <w:bottom w:w="80" w:type="dxa"/>
              <w:end w:w="100" w:type="dxa"/>
            </w:tcMar>
          </w:tcPr>
          <w:p>
            <w:pPr>
              <w:spacing w:before="0" w:after="0" w:line="240" w:lineRule="auto"/>
            </w:pPr>
            <w:hyperlink w:anchor="f_12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o_min,N(q)=π_N(Θ_min,N(q))=[q] ∈ H³(C_min^•(N)).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84. Definition Core: квадратичный кадр и минимальный комплекс</w:t>
            </w:r>
          </w:p>
        </w:tc>
        <w:tc>
          <w:tcPr>
            <w:tcW w:type="dxa" w:w="907"/>
            <w:vAlign w:val="center"/>
            <w:tcMar>
              <w:top w:w="80" w:type="dxa"/>
              <w:start w:w="100" w:type="dxa"/>
              <w:bottom w:w="80" w:type="dxa"/>
              <w:end w:w="100" w:type="dxa"/>
            </w:tcMar>
          </w:tcPr>
          <w:p>
            <w:pPr>
              <w:spacing w:before="0" w:after="0" w:line="240" w:lineRule="auto"/>
            </w:pPr>
            <w:hyperlink w:anchor="f_12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H²(C_min(N))=Ker Ψ²_N, H³(C_min(N))=Coker Ψ²_N=O_B(N).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85. Когомологии, точная последовательность и эйлеров инвариант</w:t>
            </w:r>
          </w:p>
        </w:tc>
        <w:tc>
          <w:tcPr>
            <w:tcW w:type="dxa" w:w="907"/>
            <w:vAlign w:val="center"/>
            <w:tcMar>
              <w:top w:w="80" w:type="dxa"/>
              <w:start w:w="100" w:type="dxa"/>
              <w:bottom w:w="80" w:type="dxa"/>
              <w:end w:w="100" w:type="dxa"/>
            </w:tcMar>
          </w:tcPr>
          <w:p>
            <w:pPr>
              <w:spacing w:before="0" w:after="0" w:line="240" w:lineRule="auto"/>
            </w:pPr>
            <w:hyperlink w:anchor="f_12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0→H²(C_min)→F²_N —Ψ²_N→ X²_N —π_N→ H³(C_min)→0.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85. Когомологии, точная последовательность и эйлеров инвариант</w:t>
            </w:r>
          </w:p>
        </w:tc>
        <w:tc>
          <w:tcPr>
            <w:tcW w:type="dxa" w:w="907"/>
            <w:vAlign w:val="center"/>
            <w:tcMar>
              <w:top w:w="80" w:type="dxa"/>
              <w:start w:w="100" w:type="dxa"/>
              <w:bottom w:w="80" w:type="dxa"/>
              <w:end w:w="100" w:type="dxa"/>
            </w:tcMar>
          </w:tcPr>
          <w:p>
            <w:pPr>
              <w:spacing w:before="0" w:after="0" w:line="240" w:lineRule="auto"/>
            </w:pPr>
            <w:hyperlink w:anchor="f_12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dim H²=f-r, dim H³=x-r, dim H²-dim H³=f-x.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85. Когомологии, точная последовательность и эйлеров инвариант</w:t>
            </w:r>
          </w:p>
        </w:tc>
        <w:tc>
          <w:tcPr>
            <w:tcW w:type="dxa" w:w="907"/>
            <w:vAlign w:val="center"/>
            <w:tcMar>
              <w:top w:w="80" w:type="dxa"/>
              <w:start w:w="100" w:type="dxa"/>
              <w:bottom w:w="80" w:type="dxa"/>
              <w:end w:w="100" w:type="dxa"/>
            </w:tcMar>
          </w:tcPr>
          <w:p>
            <w:pPr>
              <w:spacing w:before="0" w:after="0" w:line="240" w:lineRule="auto"/>
            </w:pPr>
            <w:hyperlink w:anchor="f_12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C_min^•:NAPG_q→CoCh_K.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86. Функториальность и естественная каноничность</w:t>
            </w:r>
          </w:p>
        </w:tc>
        <w:tc>
          <w:tcPr>
            <w:tcW w:type="dxa" w:w="907"/>
            <w:vAlign w:val="center"/>
            <w:tcMar>
              <w:top w:w="80" w:type="dxa"/>
              <w:start w:w="100" w:type="dxa"/>
              <w:bottom w:w="80" w:type="dxa"/>
              <w:end w:w="100" w:type="dxa"/>
            </w:tcMar>
          </w:tcPr>
          <w:p>
            <w:pPr>
              <w:spacing w:before="0" w:after="0" w:line="240" w:lineRule="auto"/>
            </w:pPr>
            <w:hyperlink w:anchor="f_12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κ_N:O_B(N)→H³(C_min(N)), κ_N([x])=[x],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86. Функториальность и естественная каноничность</w:t>
            </w:r>
          </w:p>
        </w:tc>
        <w:tc>
          <w:tcPr>
            <w:tcW w:type="dxa" w:w="907"/>
            <w:vAlign w:val="center"/>
            <w:tcMar>
              <w:top w:w="80" w:type="dxa"/>
              <w:start w:w="100" w:type="dxa"/>
              <w:bottom w:w="80" w:type="dxa"/>
              <w:end w:w="100" w:type="dxa"/>
            </w:tcMar>
          </w:tcPr>
          <w:p>
            <w:pPr>
              <w:spacing w:before="0" w:after="0" w:line="240" w:lineRule="auto"/>
            </w:pPr>
            <w:hyperlink w:anchor="f_12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Lift_N(q)=f₀+Ker Ψ²_N=f₀+H²(C_min(N)).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87. Критерий подъёма и H²-торсор решений</w:t>
            </w:r>
          </w:p>
        </w:tc>
        <w:tc>
          <w:tcPr>
            <w:tcW w:type="dxa" w:w="907"/>
            <w:vAlign w:val="center"/>
            <w:tcMar>
              <w:top w:w="80" w:type="dxa"/>
              <w:start w:w="100" w:type="dxa"/>
              <w:bottom w:w="80" w:type="dxa"/>
              <w:end w:w="100" w:type="dxa"/>
            </w:tcMar>
          </w:tcPr>
          <w:p>
            <w:pPr>
              <w:spacing w:before="0" w:after="0" w:line="240" w:lineRule="auto"/>
            </w:pPr>
            <w:hyperlink w:anchor="f_12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δ_E²∘J² = J³∘Ψ²_N.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88. Универсальное свойство двухчленного ядра</w:t>
            </w:r>
          </w:p>
        </w:tc>
        <w:tc>
          <w:tcPr>
            <w:tcW w:type="dxa" w:w="907"/>
            <w:vAlign w:val="center"/>
            <w:tcMar>
              <w:top w:w="80" w:type="dxa"/>
              <w:start w:w="100" w:type="dxa"/>
              <w:bottom w:w="80" w:type="dxa"/>
              <w:end w:w="100" w:type="dxa"/>
            </w:tcMar>
          </w:tcPr>
          <w:p>
            <w:pPr>
              <w:spacing w:before="0" w:after="0" w:line="240" w:lineRule="auto"/>
            </w:pPr>
            <w:hyperlink w:anchor="f_12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H^i(C_min(N)⊗_K L) ≅ H^i(C_min(N))⊗_K L, i=2,3.</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89. Base-change, прямые суммы и предел каноничности</w:t>
            </w:r>
          </w:p>
        </w:tc>
        <w:tc>
          <w:tcPr>
            <w:tcW w:type="dxa" w:w="907"/>
            <w:vAlign w:val="center"/>
            <w:tcMar>
              <w:top w:w="80" w:type="dxa"/>
              <w:start w:w="100" w:type="dxa"/>
              <w:bottom w:w="80" w:type="dxa"/>
              <w:end w:w="100" w:type="dxa"/>
            </w:tcMar>
          </w:tcPr>
          <w:p>
            <w:pPr>
              <w:spacing w:before="0" w:after="0" w:line="240" w:lineRule="auto"/>
            </w:pPr>
            <w:hyperlink w:anchor="f_12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H^i(C_min(N⊕M)) ≅ H^i(C_min(N))⊕H^i(C_min(M)), i=2,3.</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89. Base-change, прямые суммы и предел каноничности</w:t>
            </w:r>
          </w:p>
        </w:tc>
        <w:tc>
          <w:tcPr>
            <w:tcW w:type="dxa" w:w="907"/>
            <w:vAlign w:val="center"/>
            <w:tcMar>
              <w:top w:w="80" w:type="dxa"/>
              <w:start w:w="100" w:type="dxa"/>
              <w:bottom w:w="80" w:type="dxa"/>
              <w:end w:w="100" w:type="dxa"/>
            </w:tcMar>
          </w:tcPr>
          <w:p>
            <w:pPr>
              <w:spacing w:before="0" w:after="0" w:line="240" w:lineRule="auto"/>
            </w:pPr>
            <w:hyperlink w:anchor="f_12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r_min(q)=(I-Ψ²_N(Ψ²_N)†)q.</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90. Канонический класс и неканонический численный остаток</w:t>
            </w:r>
          </w:p>
        </w:tc>
        <w:tc>
          <w:tcPr>
            <w:tcW w:type="dxa" w:w="907"/>
            <w:vAlign w:val="center"/>
            <w:tcMar>
              <w:top w:w="80" w:type="dxa"/>
              <w:start w:w="100" w:type="dxa"/>
              <w:bottom w:w="80" w:type="dxa"/>
              <w:end w:w="100" w:type="dxa"/>
            </w:tcMar>
          </w:tcPr>
          <w:p>
            <w:pPr>
              <w:spacing w:before="0" w:after="0" w:line="240" w:lineRule="auto"/>
            </w:pPr>
            <w:hyperlink w:anchor="f_12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 ≤ ||q||/σ⁺(Ψ²_N),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90. Канонический класс и неканонический численный остаток</w:t>
            </w:r>
          </w:p>
        </w:tc>
        <w:tc>
          <w:tcPr>
            <w:tcW w:type="dxa" w:w="907"/>
            <w:vAlign w:val="center"/>
            <w:tcMar>
              <w:top w:w="80" w:type="dxa"/>
              <w:start w:w="100" w:type="dxa"/>
              <w:bottom w:w="80" w:type="dxa"/>
              <w:end w:w="100" w:type="dxa"/>
            </w:tcMar>
          </w:tcPr>
          <w:p>
            <w:pPr>
              <w:spacing w:before="0" w:after="0" w:line="240" w:lineRule="auto"/>
            </w:pPr>
            <w:hyperlink w:anchor="f_12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OCI_min(q)=||r_min(q)||/(||q||+ε), ε&gt;0.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90. Канонический класс и неканонический численный остаток</w:t>
            </w:r>
          </w:p>
        </w:tc>
        <w:tc>
          <w:tcPr>
            <w:tcW w:type="dxa" w:w="907"/>
            <w:vAlign w:val="center"/>
            <w:tcMar>
              <w:top w:w="80" w:type="dxa"/>
              <w:start w:w="100" w:type="dxa"/>
              <w:bottom w:w="80" w:type="dxa"/>
              <w:end w:w="100" w:type="dxa"/>
            </w:tcMar>
          </w:tcPr>
          <w:p>
            <w:pPr>
              <w:spacing w:before="0" w:after="0" w:line="240" w:lineRule="auto"/>
            </w:pPr>
            <w:hyperlink w:anchor="f_12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H²_t=Ker Ψ_t, H³_t=X_t/Im Ψ_t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91. Аналитические семейства и obstruction section</w:t>
            </w:r>
          </w:p>
        </w:tc>
        <w:tc>
          <w:tcPr>
            <w:tcW w:type="dxa" w:w="907"/>
            <w:vAlign w:val="center"/>
            <w:tcMar>
              <w:top w:w="80" w:type="dxa"/>
              <w:start w:w="100" w:type="dxa"/>
              <w:bottom w:w="80" w:type="dxa"/>
              <w:end w:w="100" w:type="dxa"/>
            </w:tcMar>
          </w:tcPr>
          <w:p>
            <w:pPr>
              <w:spacing w:before="0" w:after="0" w:line="240" w:lineRule="auto"/>
            </w:pPr>
            <w:hyperlink w:anchor="f_12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Δ_min = Δ_rank ∪ Δ_cond ∪ Δ_Dom ∪ Δ_D ∪ Pole(λ),</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91. Аналитические семейства и obstruction section</w:t>
            </w:r>
          </w:p>
        </w:tc>
        <w:tc>
          <w:tcPr>
            <w:tcW w:type="dxa" w:w="907"/>
            <w:vAlign w:val="center"/>
            <w:tcMar>
              <w:top w:w="80" w:type="dxa"/>
              <w:start w:w="100" w:type="dxa"/>
              <w:bottom w:w="80" w:type="dxa"/>
              <w:end w:w="100" w:type="dxa"/>
            </w:tcMar>
          </w:tcPr>
          <w:p>
            <w:pPr>
              <w:spacing w:before="0" w:after="0" w:line="240" w:lineRule="auto"/>
            </w:pPr>
            <w:hyperlink w:anchor="f_12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||r_t-r_s|| ≤ ||q_t-q_s|| + ||P_t-P_s||·||q_s||.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92. Устойчивый отрицательный прогноз</w:t>
            </w:r>
          </w:p>
        </w:tc>
        <w:tc>
          <w:tcPr>
            <w:tcW w:type="dxa" w:w="907"/>
            <w:vAlign w:val="center"/>
            <w:tcMar>
              <w:top w:w="80" w:type="dxa"/>
              <w:start w:w="100" w:type="dxa"/>
              <w:bottom w:w="80" w:type="dxa"/>
              <w:end w:w="100" w:type="dxa"/>
            </w:tcMar>
          </w:tcPr>
          <w:p>
            <w:pPr>
              <w:spacing w:before="0" w:after="0" w:line="240" w:lineRule="auto"/>
            </w:pPr>
            <w:hyperlink w:anchor="f_12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||q_t-q_{t₀}|| + ||P_t-P_{t₀}||·||q_{t₀}|| &lt; ρ,</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92. Устойчивый отрицательный прогноз</w:t>
            </w:r>
          </w:p>
        </w:tc>
        <w:tc>
          <w:tcPr>
            <w:tcW w:type="dxa" w:w="907"/>
            <w:vAlign w:val="center"/>
            <w:tcMar>
              <w:top w:w="80" w:type="dxa"/>
              <w:start w:w="100" w:type="dxa"/>
              <w:bottom w:w="80" w:type="dxa"/>
              <w:end w:w="100" w:type="dxa"/>
            </w:tcMar>
          </w:tcPr>
          <w:p>
            <w:pPr>
              <w:spacing w:before="0" w:after="0" w:line="240" w:lineRule="auto"/>
            </w:pPr>
            <w:hyperlink w:anchor="f_12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F_t=(N_t,Ψ_t,q_t,ρ_t,D_t,Dom_t), t∈I,</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93. Главная условная теорема предсказательного метода v0.9</w:t>
            </w:r>
          </w:p>
        </w:tc>
        <w:tc>
          <w:tcPr>
            <w:tcW w:type="dxa" w:w="907"/>
            <w:vAlign w:val="center"/>
            <w:tcMar>
              <w:top w:w="80" w:type="dxa"/>
              <w:start w:w="100" w:type="dxa"/>
              <w:bottom w:w="80" w:type="dxa"/>
              <w:end w:w="100" w:type="dxa"/>
            </w:tcMar>
          </w:tcPr>
          <w:p>
            <w:pPr>
              <w:spacing w:before="0" w:after="0" w:line="240" w:lineRule="auto"/>
            </w:pPr>
            <w:hyperlink w:anchor="f_12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Cert_min(t)=(type_ok, [q_t], ||r_t||, σ⁺_t, Valid(D_t), Dom_t, δ_truth(t), Block_t).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94. Проективно-гармонический Reper-шлюз</w:t>
            </w:r>
          </w:p>
        </w:tc>
        <w:tc>
          <w:tcPr>
            <w:tcW w:type="dxa" w:w="907"/>
            <w:vAlign w:val="center"/>
            <w:tcMar>
              <w:top w:w="80" w:type="dxa"/>
              <w:start w:w="100" w:type="dxa"/>
              <w:bottom w:w="80" w:type="dxa"/>
              <w:end w:w="100" w:type="dxa"/>
            </w:tcMar>
          </w:tcPr>
          <w:p>
            <w:pPr>
              <w:spacing w:before="0" w:after="0" w:line="240" w:lineRule="auto"/>
            </w:pPr>
            <w:hyperlink w:anchor="f_12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[q_t]=0, ||r_t||≤ε_num, σ⁺_t≥s₀, Valid(D_t)=1, Dom_t=1, Block_t=∅.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94. Проективно-гармонический Reper-шлюз</w:t>
            </w:r>
          </w:p>
        </w:tc>
        <w:tc>
          <w:tcPr>
            <w:tcW w:type="dxa" w:w="907"/>
            <w:vAlign w:val="center"/>
            <w:tcMar>
              <w:top w:w="80" w:type="dxa"/>
              <w:start w:w="100" w:type="dxa"/>
              <w:bottom w:w="80" w:type="dxa"/>
              <w:end w:w="100" w:type="dxa"/>
            </w:tcMar>
          </w:tcPr>
          <w:p>
            <w:pPr>
              <w:spacing w:before="0" w:after="0" w:line="240" w:lineRule="auto"/>
            </w:pPr>
            <w:hyperlink w:anchor="f_12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λ=-1 ⇏ [q]=0, [q]=0 ⇏ λ=-1.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94. Проективно-гармонический Reper-шлюз</w:t>
            </w:r>
          </w:p>
        </w:tc>
        <w:tc>
          <w:tcPr>
            <w:tcW w:type="dxa" w:w="907"/>
            <w:vAlign w:val="center"/>
            <w:tcMar>
              <w:top w:w="80" w:type="dxa"/>
              <w:start w:w="100" w:type="dxa"/>
              <w:bottom w:w="80" w:type="dxa"/>
              <w:end w:w="100" w:type="dxa"/>
            </w:tcMar>
          </w:tcPr>
          <w:p>
            <w:pPr>
              <w:spacing w:before="0" w:after="0" w:line="240" w:lineRule="auto"/>
            </w:pPr>
            <w:hyperlink w:anchor="f_12_2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T2-F-12.27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checkpoint=T2-RP-v0.9; next=T2-RP-v0.10.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99. Итог главы и контрольная точка T2-RP-v0.9</w:t>
            </w:r>
          </w:p>
        </w:tc>
        <w:tc>
          <w:tcPr>
            <w:tcW w:type="dxa" w:w="907"/>
            <w:vAlign w:val="center"/>
            <w:tcMar>
              <w:top w:w="80" w:type="dxa"/>
              <w:start w:w="100" w:type="dxa"/>
              <w:bottom w:w="80" w:type="dxa"/>
              <w:end w:w="100" w:type="dxa"/>
            </w:tcMar>
          </w:tcPr>
          <w:p>
            <w:pPr>
              <w:spacing w:before="0" w:after="0" w:line="240" w:lineRule="auto"/>
            </w:pPr>
            <w:hyperlink w:anchor="f_12_2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E(N)=(E^•(N), d_E, Dom_E, G_E),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101. Definition Core внешней реализации</w:t>
            </w:r>
          </w:p>
        </w:tc>
        <w:tc>
          <w:tcPr>
            <w:tcW w:type="dxa" w:w="907"/>
            <w:vAlign w:val="center"/>
            <w:tcMar>
              <w:top w:w="80" w:type="dxa"/>
              <w:start w:w="100" w:type="dxa"/>
              <w:bottom w:w="80" w:type="dxa"/>
              <w:end w:w="100" w:type="dxa"/>
            </w:tcMar>
          </w:tcPr>
          <w:p>
            <w:pPr>
              <w:spacing w:before="0" w:after="0" w:line="240" w:lineRule="auto"/>
            </w:pPr>
            <w:hyperlink w:anchor="f_13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d_E^{n+1} ∘ d_E^n = 0 для всех 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101. Definition Core внешней реализации</w:t>
            </w:r>
          </w:p>
        </w:tc>
        <w:tc>
          <w:tcPr>
            <w:tcW w:type="dxa" w:w="907"/>
            <w:vAlign w:val="center"/>
            <w:tcMar>
              <w:top w:w="80" w:type="dxa"/>
              <w:start w:w="100" w:type="dxa"/>
              <w:bottom w:w="80" w:type="dxa"/>
              <w:end w:w="100" w:type="dxa"/>
            </w:tcMar>
          </w:tcPr>
          <w:p>
            <w:pPr>
              <w:spacing w:before="0" w:after="0" w:line="240" w:lineRule="auto"/>
            </w:pPr>
            <w:hyperlink w:anchor="f_13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J²_N:F²_N-&gt;E²(N), J³_N:X²_N-&gt;E³(N),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101. Definition Core внешней реализации</w:t>
            </w:r>
          </w:p>
        </w:tc>
        <w:tc>
          <w:tcPr>
            <w:tcW w:type="dxa" w:w="907"/>
            <w:vAlign w:val="center"/>
            <w:tcMar>
              <w:top w:w="80" w:type="dxa"/>
              <w:start w:w="100" w:type="dxa"/>
              <w:bottom w:w="80" w:type="dxa"/>
              <w:end w:w="100" w:type="dxa"/>
            </w:tcMar>
          </w:tcPr>
          <w:p>
            <w:pPr>
              <w:spacing w:before="0" w:after="0" w:line="240" w:lineRule="auto"/>
            </w:pPr>
            <w:hyperlink w:anchor="f_13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d_E² J²_N = J³_N Ψ²_N, d_E³ J³_N = 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101. Definition Core внешней реализации</w:t>
            </w:r>
          </w:p>
        </w:tc>
        <w:tc>
          <w:tcPr>
            <w:tcW w:type="dxa" w:w="907"/>
            <w:vAlign w:val="center"/>
            <w:tcMar>
              <w:top w:w="80" w:type="dxa"/>
              <w:start w:w="100" w:type="dxa"/>
              <w:bottom w:w="80" w:type="dxa"/>
              <w:end w:w="100" w:type="dxa"/>
            </w:tcMar>
          </w:tcPr>
          <w:p>
            <w:pPr>
              <w:spacing w:before="0" w:after="0" w:line="240" w:lineRule="auto"/>
            </w:pPr>
            <w:hyperlink w:anchor="f_13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[x] ↦ [J³_N 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102. Существование и корректность индуцированной карты</w:t>
            </w:r>
          </w:p>
        </w:tc>
        <w:tc>
          <w:tcPr>
            <w:tcW w:type="dxa" w:w="907"/>
            <w:vAlign w:val="center"/>
            <w:tcMar>
              <w:top w:w="80" w:type="dxa"/>
              <w:start w:w="100" w:type="dxa"/>
              <w:bottom w:w="80" w:type="dxa"/>
              <w:end w:w="100" w:type="dxa"/>
            </w:tcMar>
          </w:tcPr>
          <w:p>
            <w:pPr>
              <w:spacing w:before="0" w:after="0" w:line="240" w:lineRule="auto"/>
            </w:pPr>
            <w:hyperlink w:anchor="f_13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J³_N(Im Ψ²_N) ⊆ Im d_E².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102. Существование и корректность индуцированной карты</w:t>
            </w:r>
          </w:p>
        </w:tc>
        <w:tc>
          <w:tcPr>
            <w:tcW w:type="dxa" w:w="907"/>
            <w:vAlign w:val="center"/>
            <w:tcMar>
              <w:top w:w="80" w:type="dxa"/>
              <w:start w:w="100" w:type="dxa"/>
              <w:bottom w:w="80" w:type="dxa"/>
              <w:end w:w="100" w:type="dxa"/>
            </w:tcMar>
          </w:tcPr>
          <w:p>
            <w:pPr>
              <w:spacing w:before="0" w:after="0" w:line="240" w:lineRule="auto"/>
            </w:pPr>
            <w:hyperlink w:anchor="f_13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Π_E,N := H³(J_N) ∘ κ_N : O_B(N) -&gt; H³(E^•(N)),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102. Существование и корректность индуцированной карты</w:t>
            </w:r>
          </w:p>
        </w:tc>
        <w:tc>
          <w:tcPr>
            <w:tcW w:type="dxa" w:w="907"/>
            <w:vAlign w:val="center"/>
            <w:tcMar>
              <w:top w:w="80" w:type="dxa"/>
              <w:start w:w="100" w:type="dxa"/>
              <w:bottom w:w="80" w:type="dxa"/>
              <w:end w:w="100" w:type="dxa"/>
            </w:tcMar>
          </w:tcPr>
          <w:p>
            <w:pPr>
              <w:spacing w:before="0" w:after="0" w:line="240" w:lineRule="auto"/>
            </w:pPr>
            <w:hyperlink w:anchor="f_13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Π_E,N([x]) = [J³_N 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102. Существование и корректность индуцированной карты</w:t>
            </w:r>
          </w:p>
        </w:tc>
        <w:tc>
          <w:tcPr>
            <w:tcW w:type="dxa" w:w="907"/>
            <w:vAlign w:val="center"/>
            <w:tcMar>
              <w:top w:w="80" w:type="dxa"/>
              <w:start w:w="100" w:type="dxa"/>
              <w:bottom w:w="80" w:type="dxa"/>
              <w:end w:w="100" w:type="dxa"/>
            </w:tcMar>
          </w:tcPr>
          <w:p>
            <w:pPr>
              <w:spacing w:before="0" w:after="0" w:line="240" w:lineRule="auto"/>
            </w:pPr>
            <w:hyperlink w:anchor="f_13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H³(E(f)) Π_E,N = Π_E,N′ O_B(f).</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102. Существование и корректность индуцированной карты</w:t>
            </w:r>
          </w:p>
        </w:tc>
        <w:tc>
          <w:tcPr>
            <w:tcW w:type="dxa" w:w="907"/>
            <w:vAlign w:val="center"/>
            <w:tcMar>
              <w:top w:w="80" w:type="dxa"/>
              <w:start w:w="100" w:type="dxa"/>
              <w:bottom w:w="80" w:type="dxa"/>
              <w:end w:w="100" w:type="dxa"/>
            </w:tcMar>
          </w:tcPr>
          <w:p>
            <w:pPr>
              <w:spacing w:before="0" w:after="0" w:line="240" w:lineRule="auto"/>
            </w:pPr>
            <w:hyperlink w:anchor="f_13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Π_E(o) ≠ 0 =&gt; o ≠ 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103. Односторонняя, обратная и полная детекция</w:t>
            </w:r>
          </w:p>
        </w:tc>
        <w:tc>
          <w:tcPr>
            <w:tcW w:type="dxa" w:w="907"/>
            <w:vAlign w:val="center"/>
            <w:tcMar>
              <w:top w:w="80" w:type="dxa"/>
              <w:start w:w="100" w:type="dxa"/>
              <w:bottom w:w="80" w:type="dxa"/>
              <w:end w:w="100" w:type="dxa"/>
            </w:tcMar>
          </w:tcPr>
          <w:p>
            <w:pPr>
              <w:spacing w:before="0" w:after="0" w:line="240" w:lineRule="auto"/>
            </w:pPr>
            <w:hyperlink w:anchor="f_13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Cone(J)^n = E^n ⊕ C_min^{n+1},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104. Mapping cone и измерение потери информации</w:t>
            </w:r>
          </w:p>
        </w:tc>
        <w:tc>
          <w:tcPr>
            <w:tcW w:type="dxa" w:w="907"/>
            <w:vAlign w:val="center"/>
            <w:tcMar>
              <w:top w:w="80" w:type="dxa"/>
              <w:start w:w="100" w:type="dxa"/>
              <w:bottom w:w="80" w:type="dxa"/>
              <w:end w:w="100" w:type="dxa"/>
            </w:tcMar>
          </w:tcPr>
          <w:p>
            <w:pPr>
              <w:spacing w:before="0" w:after="0" w:line="240" w:lineRule="auto"/>
            </w:pPr>
            <w:hyperlink w:anchor="f_13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D_J(e,c) = (d_E e + Jc, -δ_min c).</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104. Mapping cone и измерение потери информации</w:t>
            </w:r>
          </w:p>
        </w:tc>
        <w:tc>
          <w:tcPr>
            <w:tcW w:type="dxa" w:w="907"/>
            <w:vAlign w:val="center"/>
            <w:tcMar>
              <w:top w:w="80" w:type="dxa"/>
              <w:start w:w="100" w:type="dxa"/>
              <w:bottom w:w="80" w:type="dxa"/>
              <w:end w:w="100" w:type="dxa"/>
            </w:tcMar>
          </w:tcPr>
          <w:p>
            <w:pPr>
              <w:spacing w:before="0" w:after="0" w:line="240" w:lineRule="auto"/>
            </w:pPr>
            <w:hyperlink w:anchor="f_13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H²(C_min)-&gt;H²(E)-&gt;H²(Cone J)-&gt;O_B --Π_E--&gt; H³(E)-&gt;H³(Cone J)-&gt;0.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104. Mapping cone и измерение потери информации</w:t>
            </w:r>
          </w:p>
        </w:tc>
        <w:tc>
          <w:tcPr>
            <w:tcW w:type="dxa" w:w="907"/>
            <w:vAlign w:val="center"/>
            <w:tcMar>
              <w:top w:w="80" w:type="dxa"/>
              <w:start w:w="100" w:type="dxa"/>
              <w:bottom w:w="80" w:type="dxa"/>
              <w:end w:w="100" w:type="dxa"/>
            </w:tcMar>
          </w:tcPr>
          <w:p>
            <w:pPr>
              <w:spacing w:before="0" w:after="0" w:line="240" w:lineRule="auto"/>
            </w:pPr>
            <w:hyperlink w:anchor="f_13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Blind_E(N) := Ker Π_E,N,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104. Mapping cone и измерение потери информации</w:t>
            </w:r>
          </w:p>
        </w:tc>
        <w:tc>
          <w:tcPr>
            <w:tcW w:type="dxa" w:w="907"/>
            <w:vAlign w:val="center"/>
            <w:tcMar>
              <w:top w:w="80" w:type="dxa"/>
              <w:start w:w="100" w:type="dxa"/>
              <w:bottom w:w="80" w:type="dxa"/>
              <w:end w:w="100" w:type="dxa"/>
            </w:tcMar>
          </w:tcPr>
          <w:p>
            <w:pPr>
              <w:spacing w:before="0" w:after="0" w:line="240" w:lineRule="auto"/>
            </w:pPr>
            <w:hyperlink w:anchor="f_13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Excess_E(N) := Coker Π_E,N.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104. Mapping cone и измерение потери информации</w:t>
            </w:r>
          </w:p>
        </w:tc>
        <w:tc>
          <w:tcPr>
            <w:tcW w:type="dxa" w:w="907"/>
            <w:vAlign w:val="center"/>
            <w:tcMar>
              <w:top w:w="80" w:type="dxa"/>
              <w:start w:w="100" w:type="dxa"/>
              <w:bottom w:w="80" w:type="dxa"/>
              <w:end w:w="100" w:type="dxa"/>
            </w:tcMar>
          </w:tcPr>
          <w:p>
            <w:pPr>
              <w:spacing w:before="0" w:after="0" w:line="240" w:lineRule="auto"/>
            </w:pPr>
            <w:hyperlink w:anchor="f_13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Blind_E = Im(H²(Cone J)-&gt;O_B),</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104. Mapping cone и измерение потери информации</w:t>
            </w:r>
          </w:p>
        </w:tc>
        <w:tc>
          <w:tcPr>
            <w:tcW w:type="dxa" w:w="907"/>
            <w:vAlign w:val="center"/>
            <w:tcMar>
              <w:top w:w="80" w:type="dxa"/>
              <w:start w:w="100" w:type="dxa"/>
              <w:bottom w:w="80" w:type="dxa"/>
              <w:end w:w="100" w:type="dxa"/>
            </w:tcMar>
          </w:tcPr>
          <w:p>
            <w:pPr>
              <w:spacing w:before="0" w:after="0" w:line="240" w:lineRule="auto"/>
            </w:pPr>
            <w:hyperlink w:anchor="f_13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Excess_E ≅ H³(Cone J).</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104. Mapping cone и измерение потери информации</w:t>
            </w:r>
          </w:p>
        </w:tc>
        <w:tc>
          <w:tcPr>
            <w:tcW w:type="dxa" w:w="907"/>
            <w:vAlign w:val="center"/>
            <w:tcMar>
              <w:top w:w="80" w:type="dxa"/>
              <w:start w:w="100" w:type="dxa"/>
              <w:bottom w:w="80" w:type="dxa"/>
              <w:end w:w="100" w:type="dxa"/>
            </w:tcMar>
          </w:tcPr>
          <w:p>
            <w:pPr>
              <w:spacing w:before="0" w:after="0" w:line="240" w:lineRule="auto"/>
            </w:pPr>
            <w:hyperlink w:anchor="f_13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H^n(J)=H^n(K) для всех n; следовательно Π_E^J=Π_E^K.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105. Зависимость от выбора внешней реализации</w:t>
            </w:r>
          </w:p>
        </w:tc>
        <w:tc>
          <w:tcPr>
            <w:tcW w:type="dxa" w:w="907"/>
            <w:vAlign w:val="center"/>
            <w:tcMar>
              <w:top w:w="80" w:type="dxa"/>
              <w:start w:w="100" w:type="dxa"/>
              <w:bottom w:w="80" w:type="dxa"/>
              <w:end w:w="100" w:type="dxa"/>
            </w:tcMar>
          </w:tcPr>
          <w:p>
            <w:pPr>
              <w:spacing w:before="0" w:after="0" w:line="240" w:lineRule="auto"/>
            </w:pPr>
            <w:hyperlink w:anchor="f_13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J²-K² = d_E¹ h² + h³ Ψ², J³-K³ = d_E² h³.</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105. Зависимость от выбора внешней реализации</w:t>
            </w:r>
          </w:p>
        </w:tc>
        <w:tc>
          <w:tcPr>
            <w:tcW w:type="dxa" w:w="907"/>
            <w:vAlign w:val="center"/>
            <w:tcMar>
              <w:top w:w="80" w:type="dxa"/>
              <w:start w:w="100" w:type="dxa"/>
              <w:bottom w:w="80" w:type="dxa"/>
              <w:end w:w="100" w:type="dxa"/>
            </w:tcMar>
          </w:tcPr>
          <w:p>
            <w:pPr>
              <w:spacing w:before="0" w:after="0" w:line="240" w:lineRule="auto"/>
            </w:pPr>
            <w:hyperlink w:anchor="f_13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Π_F = H³(Q) Π_E.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105. Зависимость от выбора внешней реализации</w:t>
            </w:r>
          </w:p>
        </w:tc>
        <w:tc>
          <w:tcPr>
            <w:tcW w:type="dxa" w:w="907"/>
            <w:vAlign w:val="center"/>
            <w:tcMar>
              <w:top w:w="80" w:type="dxa"/>
              <w:start w:w="100" w:type="dxa"/>
              <w:bottom w:w="80" w:type="dxa"/>
              <w:end w:w="100" w:type="dxa"/>
            </w:tcMar>
          </w:tcPr>
          <w:p>
            <w:pPr>
              <w:spacing w:before="0" w:after="0" w:line="240" w:lineRule="auto"/>
            </w:pPr>
            <w:hyperlink w:anchor="f_13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(E,J) ↦ Π_E:O_B(N)-&gt;H³(E)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106. Функториальная внешняя теория</w:t>
            </w:r>
          </w:p>
        </w:tc>
        <w:tc>
          <w:tcPr>
            <w:tcW w:type="dxa" w:w="907"/>
            <w:vAlign w:val="center"/>
            <w:tcMar>
              <w:top w:w="80" w:type="dxa"/>
              <w:start w:w="100" w:type="dxa"/>
              <w:bottom w:w="80" w:type="dxa"/>
              <w:end w:w="100" w:type="dxa"/>
            </w:tcMar>
          </w:tcPr>
          <w:p>
            <w:pPr>
              <w:spacing w:before="0" w:after="0" w:line="240" w:lineRule="auto"/>
            </w:pPr>
            <w:hyperlink w:anchor="f_13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X²_N = Im Ψ²_N ⊕ O_N, Ker d_E³ = Im d_E² ⊕ H_E³.</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107. Конечномерная численная реализация</w:t>
            </w:r>
          </w:p>
        </w:tc>
        <w:tc>
          <w:tcPr>
            <w:tcW w:type="dxa" w:w="907"/>
            <w:vAlign w:val="center"/>
            <w:tcMar>
              <w:top w:w="80" w:type="dxa"/>
              <w:start w:w="100" w:type="dxa"/>
              <w:bottom w:w="80" w:type="dxa"/>
              <w:end w:w="100" w:type="dxa"/>
            </w:tcMar>
          </w:tcPr>
          <w:p>
            <w:pPr>
              <w:spacing w:before="0" w:after="0" w:line="240" w:lineRule="auto"/>
            </w:pPr>
            <w:hyperlink w:anchor="f_13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P_E := P_{H_E³} J³_N |_{O_N}.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107. Конечномерная численная реализация</w:t>
            </w:r>
          </w:p>
        </w:tc>
        <w:tc>
          <w:tcPr>
            <w:tcW w:type="dxa" w:w="907"/>
            <w:vAlign w:val="center"/>
            <w:tcMar>
              <w:top w:w="80" w:type="dxa"/>
              <w:start w:w="100" w:type="dxa"/>
              <w:bottom w:w="80" w:type="dxa"/>
              <w:end w:w="100" w:type="dxa"/>
            </w:tcMar>
          </w:tcPr>
          <w:p>
            <w:pPr>
              <w:spacing w:before="0" w:after="0" w:line="240" w:lineRule="auto"/>
            </w:pPr>
            <w:hyperlink w:anchor="f_13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σ_min(P_E) ≥ s_0 &gt; 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107. Конечномерная численная реализация</w:t>
            </w:r>
          </w:p>
        </w:tc>
        <w:tc>
          <w:tcPr>
            <w:tcW w:type="dxa" w:w="907"/>
            <w:vAlign w:val="center"/>
            <w:tcMar>
              <w:top w:w="80" w:type="dxa"/>
              <w:start w:w="100" w:type="dxa"/>
              <w:bottom w:w="80" w:type="dxa"/>
              <w:end w:w="100" w:type="dxa"/>
            </w:tcMar>
          </w:tcPr>
          <w:p>
            <w:pPr>
              <w:spacing w:before="0" w:after="0" w:line="240" w:lineRule="auto"/>
            </w:pPr>
            <w:hyperlink w:anchor="f_13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||Π_E(o)|| ≥ s_0 ||o||.</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107. Конечномерная численная реализация</w:t>
            </w:r>
          </w:p>
        </w:tc>
        <w:tc>
          <w:tcPr>
            <w:tcW w:type="dxa" w:w="907"/>
            <w:vAlign w:val="center"/>
            <w:tcMar>
              <w:top w:w="80" w:type="dxa"/>
              <w:start w:w="100" w:type="dxa"/>
              <w:bottom w:w="80" w:type="dxa"/>
              <w:end w:w="100" w:type="dxa"/>
            </w:tcMar>
          </w:tcPr>
          <w:p>
            <w:pPr>
              <w:spacing w:before="0" w:after="0" w:line="240" w:lineRule="auto"/>
            </w:pPr>
            <w:hyperlink w:anchor="f_13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η_E([x]) := ||P_{H_E³} J³_N x_min||,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107. Конечномерная численная реализация</w:t>
            </w:r>
          </w:p>
        </w:tc>
        <w:tc>
          <w:tcPr>
            <w:tcW w:type="dxa" w:w="907"/>
            <w:vAlign w:val="center"/>
            <w:tcMar>
              <w:top w:w="80" w:type="dxa"/>
              <w:start w:w="100" w:type="dxa"/>
              <w:bottom w:w="80" w:type="dxa"/>
              <w:end w:w="100" w:type="dxa"/>
            </w:tcMar>
          </w:tcPr>
          <w:p>
            <w:pPr>
              <w:spacing w:before="0" w:after="0" w:line="240" w:lineRule="auto"/>
            </w:pPr>
            <w:hyperlink w:anchor="f_13_2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Δ_E = Δ_{complex} ∪ Δ_{chain} ∪ Δ_{rank Π} ∪ Δ_{σΠ} ∪ Δ_{hom} ∪ Δ_D ∪ Δ_Dom ∪ Δ_{glue}.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108. Параметрические семейства и внешний горизонт</w:t>
            </w:r>
          </w:p>
        </w:tc>
        <w:tc>
          <w:tcPr>
            <w:tcW w:type="dxa" w:w="907"/>
            <w:vAlign w:val="center"/>
            <w:tcMar>
              <w:top w:w="80" w:type="dxa"/>
              <w:start w:w="100" w:type="dxa"/>
              <w:bottom w:w="80" w:type="dxa"/>
              <w:end w:w="100" w:type="dxa"/>
            </w:tcMar>
          </w:tcPr>
          <w:p>
            <w:pPr>
              <w:spacing w:before="0" w:after="0" w:line="240" w:lineRule="auto"/>
            </w:pPr>
            <w:hyperlink w:anchor="f_13_2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||Π_{E,t}(o_t)|| ≥ ε_E для всех t∈I.</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109. Предсказательный внешний мост</w:t>
            </w:r>
          </w:p>
        </w:tc>
        <w:tc>
          <w:tcPr>
            <w:tcW w:type="dxa" w:w="907"/>
            <w:vAlign w:val="center"/>
            <w:tcMar>
              <w:top w:w="80" w:type="dxa"/>
              <w:start w:w="100" w:type="dxa"/>
              <w:bottom w:w="80" w:type="dxa"/>
              <w:end w:w="100" w:type="dxa"/>
            </w:tcMar>
          </w:tcPr>
          <w:p>
            <w:pPr>
              <w:spacing w:before="0" w:after="0" w:line="240" w:lineRule="auto"/>
            </w:pPr>
            <w:hyperlink w:anchor="f_13_2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T2-F-13.29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P_E(t)=(dim H³(E_t), rank Π_{E,t}, dim Blind_{E,t}, dim Excess_{E,t}, σ_min(P_{E,t}), η_E(o_t))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109. Предсказательный внешний мост</w:t>
            </w:r>
          </w:p>
        </w:tc>
        <w:tc>
          <w:tcPr>
            <w:tcW w:type="dxa" w:w="907"/>
            <w:vAlign w:val="center"/>
            <w:tcMar>
              <w:top w:w="80" w:type="dxa"/>
              <w:start w:w="100" w:type="dxa"/>
              <w:bottom w:w="80" w:type="dxa"/>
              <w:end w:w="100" w:type="dxa"/>
            </w:tcMar>
          </w:tcPr>
          <w:p>
            <w:pPr>
              <w:spacing w:before="0" w:after="0" w:line="240" w:lineRule="auto"/>
            </w:pPr>
            <w:hyperlink w:anchor="f_13_2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T2-F-13.30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β_Ass,N:T_Ass(N)-&gt;H³(A_Ass^•(N)).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110. Отдельный ассоциаторный канал β_Ass</w:t>
            </w:r>
          </w:p>
        </w:tc>
        <w:tc>
          <w:tcPr>
            <w:tcW w:type="dxa" w:w="907"/>
            <w:vAlign w:val="center"/>
            <w:tcMar>
              <w:top w:w="80" w:type="dxa"/>
              <w:start w:w="100" w:type="dxa"/>
              <w:bottom w:w="80" w:type="dxa"/>
              <w:end w:w="100" w:type="dxa"/>
            </w:tcMar>
          </w:tcPr>
          <w:p>
            <w:pPr>
              <w:spacing w:before="0" w:after="0" w:line="240" w:lineRule="auto"/>
            </w:pPr>
            <w:hyperlink w:anchor="f_13_3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T2-F-13.31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β_Ass ∘ S = H³(Q) ∘ Π_E.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110. Отдельный ассоциаторный канал β_Ass</w:t>
            </w:r>
          </w:p>
        </w:tc>
        <w:tc>
          <w:tcPr>
            <w:tcW w:type="dxa" w:w="907"/>
            <w:vAlign w:val="center"/>
            <w:tcMar>
              <w:top w:w="80" w:type="dxa"/>
              <w:start w:w="100" w:type="dxa"/>
              <w:bottom w:w="80" w:type="dxa"/>
              <w:end w:w="100" w:type="dxa"/>
            </w:tcMar>
          </w:tcPr>
          <w:p>
            <w:pPr>
              <w:spacing w:before="0" w:after="0" w:line="240" w:lineRule="auto"/>
            </w:pPr>
            <w:hyperlink w:anchor="f_13_3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T2-F-13.32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checkpoint=T2-RP-v0.10; next=T2-RP-v0.11.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115. Итог главы и контрольная точка T2-RP-v0.10</w:t>
            </w:r>
          </w:p>
        </w:tc>
        <w:tc>
          <w:tcPr>
            <w:tcW w:type="dxa" w:w="907"/>
            <w:vAlign w:val="center"/>
            <w:tcMar>
              <w:top w:w="80" w:type="dxa"/>
              <w:start w:w="100" w:type="dxa"/>
              <w:bottom w:w="80" w:type="dxa"/>
              <w:end w:w="100" w:type="dxa"/>
            </w:tcMar>
          </w:tcPr>
          <w:p>
            <w:pPr>
              <w:spacing w:before="0" w:after="0" w:line="240" w:lineRule="auto"/>
            </w:pPr>
            <w:hyperlink w:anchor="f_13_3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O_B(N) = H³(C_min(N)) = X_N² / Im Ψ_N².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116. Глава 14. Пространства препятствий и проективные носители</w:t>
            </w:r>
          </w:p>
        </w:tc>
        <w:tc>
          <w:tcPr>
            <w:tcW w:type="dxa" w:w="907"/>
            <w:vAlign w:val="center"/>
            <w:tcMar>
              <w:top w:w="80" w:type="dxa"/>
              <w:start w:w="100" w:type="dxa"/>
              <w:bottom w:w="80" w:type="dxa"/>
              <w:end w:w="100" w:type="dxa"/>
            </w:tcMar>
          </w:tcPr>
          <w:p>
            <w:pPr>
              <w:spacing w:before="0" w:after="0" w:line="240" w:lineRule="auto"/>
            </w:pPr>
            <w:hyperlink w:anchor="f_14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Car_B(N) = (O_B, 0_B, Fil_B, Prov_B, Dom_B).</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116. Глава 14. Пространства препятствий и проективные носители</w:t>
            </w:r>
          </w:p>
        </w:tc>
        <w:tc>
          <w:tcPr>
            <w:tcW w:type="dxa" w:w="907"/>
            <w:vAlign w:val="center"/>
            <w:tcMar>
              <w:top w:w="80" w:type="dxa"/>
              <w:start w:w="100" w:type="dxa"/>
              <w:bottom w:w="80" w:type="dxa"/>
              <w:end w:w="100" w:type="dxa"/>
            </w:tcMar>
          </w:tcPr>
          <w:p>
            <w:pPr>
              <w:spacing w:before="0" w:after="0" w:line="240" w:lineRule="auto"/>
            </w:pPr>
            <w:hyperlink w:anchor="f_14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O_B^× = O_B \ {0_B}.</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116. Глава 14. Пространства препятствий и проективные носители</w:t>
            </w:r>
          </w:p>
        </w:tc>
        <w:tc>
          <w:tcPr>
            <w:tcW w:type="dxa" w:w="907"/>
            <w:vAlign w:val="center"/>
            <w:tcMar>
              <w:top w:w="80" w:type="dxa"/>
              <w:start w:w="100" w:type="dxa"/>
              <w:bottom w:w="80" w:type="dxa"/>
              <w:end w:w="100" w:type="dxa"/>
            </w:tcMar>
          </w:tcPr>
          <w:p>
            <w:pPr>
              <w:spacing w:before="0" w:after="0" w:line="240" w:lineRule="auto"/>
            </w:pPr>
            <w:hyperlink w:anchor="f_14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P(O_B) = O_B^× / K^×, o ~ o′ ⇔ ∃a∈K^×: o′=ao.</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117. Проективизация пространства препятствий</w:t>
            </w:r>
          </w:p>
        </w:tc>
        <w:tc>
          <w:tcPr>
            <w:tcW w:type="dxa" w:w="907"/>
            <w:vAlign w:val="center"/>
            <w:tcMar>
              <w:top w:w="80" w:type="dxa"/>
              <w:start w:w="100" w:type="dxa"/>
              <w:bottom w:w="80" w:type="dxa"/>
              <w:end w:w="100" w:type="dxa"/>
            </w:tcMar>
          </w:tcPr>
          <w:p>
            <w:pPr>
              <w:spacing w:before="0" w:after="0" w:line="240" w:lineRule="auto"/>
            </w:pPr>
            <w:hyperlink w:anchor="f_14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P(f): P(O) \ P(ker f) → P(O′), [o] ↦ [f(o)].</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117. Проективизация пространства препятствий</w:t>
            </w:r>
          </w:p>
        </w:tc>
        <w:tc>
          <w:tcPr>
            <w:tcW w:type="dxa" w:w="907"/>
            <w:vAlign w:val="center"/>
            <w:tcMar>
              <w:top w:w="80" w:type="dxa"/>
              <w:start w:w="100" w:type="dxa"/>
              <w:bottom w:w="80" w:type="dxa"/>
              <w:end w:w="100" w:type="dxa"/>
            </w:tcMar>
          </w:tcPr>
          <w:p>
            <w:pPr>
              <w:spacing w:before="0" w:after="0" w:line="240" w:lineRule="auto"/>
            </w:pPr>
            <w:hyperlink w:anchor="f_14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S(O_B) → P(O_B), u ↦ [u], fibre={u,-u}.</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118. Нормированные и ориентированные носители</w:t>
            </w:r>
          </w:p>
        </w:tc>
        <w:tc>
          <w:tcPr>
            <w:tcW w:type="dxa" w:w="907"/>
            <w:vAlign w:val="center"/>
            <w:tcMar>
              <w:top w:w="80" w:type="dxa"/>
              <w:start w:w="100" w:type="dxa"/>
              <w:bottom w:w="80" w:type="dxa"/>
              <w:end w:w="100" w:type="dxa"/>
            </w:tcMar>
          </w:tcPr>
          <w:p>
            <w:pPr>
              <w:spacing w:before="0" w:after="0" w:line="240" w:lineRule="auto"/>
            </w:pPr>
            <w:hyperlink w:anchor="f_14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d_P([u],[v]) = arccos( |⟨u,v⟩| / (||u||·||v||) ).</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118. Нормированные и ориентированные носители</w:t>
            </w:r>
          </w:p>
        </w:tc>
        <w:tc>
          <w:tcPr>
            <w:tcW w:type="dxa" w:w="907"/>
            <w:vAlign w:val="center"/>
            <w:tcMar>
              <w:top w:w="80" w:type="dxa"/>
              <w:start w:w="100" w:type="dxa"/>
              <w:bottom w:w="80" w:type="dxa"/>
              <w:end w:w="100" w:type="dxa"/>
            </w:tcMar>
          </w:tcPr>
          <w:p>
            <w:pPr>
              <w:spacing w:before="0" w:after="0" w:line="240" w:lineRule="auto"/>
            </w:pPr>
            <w:hyperlink w:anchor="f_14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S_r = { [o]∈P(O_B) : rank A(o)=r }.</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119. Стратификация obstruction carrier</w:t>
            </w:r>
          </w:p>
        </w:tc>
        <w:tc>
          <w:tcPr>
            <w:tcW w:type="dxa" w:w="907"/>
            <w:vAlign w:val="center"/>
            <w:tcMar>
              <w:top w:w="80" w:type="dxa"/>
              <w:start w:w="100" w:type="dxa"/>
              <w:bottom w:w="80" w:type="dxa"/>
              <w:end w:w="100" w:type="dxa"/>
            </w:tcMar>
          </w:tcPr>
          <w:p>
            <w:pPr>
              <w:spacing w:before="0" w:after="0" w:line="240" w:lineRule="auto"/>
            </w:pPr>
            <w:hyperlink w:anchor="f_14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G_[o] = { g∈G : g·o ∈ K^×o }.</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119. Стратификация obstruction carrier</w:t>
            </w:r>
          </w:p>
        </w:tc>
        <w:tc>
          <w:tcPr>
            <w:tcW w:type="dxa" w:w="907"/>
            <w:vAlign w:val="center"/>
            <w:tcMar>
              <w:top w:w="80" w:type="dxa"/>
              <w:start w:w="100" w:type="dxa"/>
              <w:bottom w:w="80" w:type="dxa"/>
              <w:end w:w="100" w:type="dxa"/>
            </w:tcMar>
          </w:tcPr>
          <w:p>
            <w:pPr>
              <w:spacing w:before="0" w:after="0" w:line="240" w:lineRule="auto"/>
            </w:pPr>
            <w:hyperlink w:anchor="f_14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P(C_B) = (C_B \ {0}) / K^× ⊆ P(O_B).</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120. Проектированный обструкционный конус</w:t>
            </w:r>
          </w:p>
        </w:tc>
        <w:tc>
          <w:tcPr>
            <w:tcW w:type="dxa" w:w="907"/>
            <w:vAlign w:val="center"/>
            <w:tcMar>
              <w:top w:w="80" w:type="dxa"/>
              <w:start w:w="100" w:type="dxa"/>
              <w:bottom w:w="80" w:type="dxa"/>
              <w:end w:w="100" w:type="dxa"/>
            </w:tcMar>
          </w:tcPr>
          <w:p>
            <w:pPr>
              <w:spacing w:before="0" w:after="0" w:line="240" w:lineRule="auto"/>
            </w:pPr>
            <w:hyperlink w:anchor="f_14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P_+(C_B) = (C_B \ {0}) / R_{&gt;0}.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120. Проектированный обструкционный конус</w:t>
            </w:r>
          </w:p>
        </w:tc>
        <w:tc>
          <w:tcPr>
            <w:tcW w:type="dxa" w:w="907"/>
            <w:vAlign w:val="center"/>
            <w:tcMar>
              <w:top w:w="80" w:type="dxa"/>
              <w:start w:w="100" w:type="dxa"/>
              <w:bottom w:w="80" w:type="dxa"/>
              <w:end w:w="100" w:type="dxa"/>
            </w:tcMar>
          </w:tcPr>
          <w:p>
            <w:pPr>
              <w:spacing w:before="0" w:after="0" w:line="240" w:lineRule="auto"/>
            </w:pPr>
            <w:hyperlink w:anchor="f_14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O_pre = ⊕_{L∈Lines(Fano)} O_L.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121. Локальные носители и Fano globalization firewall</w:t>
            </w:r>
          </w:p>
        </w:tc>
        <w:tc>
          <w:tcPr>
            <w:tcW w:type="dxa" w:w="907"/>
            <w:vAlign w:val="center"/>
            <w:tcMar>
              <w:top w:w="80" w:type="dxa"/>
              <w:start w:w="100" w:type="dxa"/>
              <w:bottom w:w="80" w:type="dxa"/>
              <w:end w:w="100" w:type="dxa"/>
            </w:tcMar>
          </w:tcPr>
          <w:p>
            <w:pPr>
              <w:spacing w:before="0" w:after="0" w:line="240" w:lineRule="auto"/>
            </w:pPr>
            <w:hyperlink w:anchor="f_14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O_glob = colim( O_L, φ_{LL′} ).</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121. Локальные носители и Fano globalization firewall</w:t>
            </w:r>
          </w:p>
        </w:tc>
        <w:tc>
          <w:tcPr>
            <w:tcW w:type="dxa" w:w="907"/>
            <w:vAlign w:val="center"/>
            <w:tcMar>
              <w:top w:w="80" w:type="dxa"/>
              <w:start w:w="100" w:type="dxa"/>
              <w:bottom w:w="80" w:type="dxa"/>
              <w:end w:w="100" w:type="dxa"/>
            </w:tcMar>
          </w:tcPr>
          <w:p>
            <w:pPr>
              <w:spacing w:before="0" w:after="0" w:line="240" w:lineRule="auto"/>
            </w:pPr>
            <w:hyperlink w:anchor="f_14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Δ_proj = Δ_zero ∪ Δ_rank ∪ Δ_orbit ∪ Δ_chart ∪ Δ_glue ∪ Δ_D ∪ Δ_Dom.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122. Проективный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14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I∩Δ_proj=∅ ⇒ transition of certified projective type is impossible in model.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122. Проективный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14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χ_λ : P(O_B) ⇢ P¹(K),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123. Проективный carrier и Reper-λ</w:t>
            </w:r>
          </w:p>
        </w:tc>
        <w:tc>
          <w:tcPr>
            <w:tcW w:type="dxa" w:w="907"/>
            <w:vAlign w:val="center"/>
            <w:tcMar>
              <w:top w:w="80" w:type="dxa"/>
              <w:start w:w="100" w:type="dxa"/>
              <w:bottom w:w="80" w:type="dxa"/>
              <w:end w:w="100" w:type="dxa"/>
            </w:tcMar>
          </w:tcPr>
          <w:p>
            <w:pPr>
              <w:spacing w:before="0" w:after="0" w:line="240" w:lineRule="auto"/>
            </w:pPr>
            <w:hyperlink w:anchor="f_14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λ([o]) = cr(U([o]), I([o]); R([o]), D([o])).</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123. Проективный carrier и Reper-λ</w:t>
            </w:r>
          </w:p>
        </w:tc>
        <w:tc>
          <w:tcPr>
            <w:tcW w:type="dxa" w:w="907"/>
            <w:vAlign w:val="center"/>
            <w:tcMar>
              <w:top w:w="80" w:type="dxa"/>
              <w:start w:w="100" w:type="dxa"/>
              <w:bottom w:w="80" w:type="dxa"/>
              <w:end w:w="100" w:type="dxa"/>
            </w:tcMar>
          </w:tcPr>
          <w:p>
            <w:pPr>
              <w:spacing w:before="0" w:after="0" w:line="240" w:lineRule="auto"/>
            </w:pPr>
            <w:hyperlink w:anchor="f_14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Cert_proj = ([o], ZERO, NORM, ORIENT, PROV, LIFT, DOM, GLUE, HASH).</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124. Ledger потери и восстановления информации</w:t>
            </w:r>
          </w:p>
        </w:tc>
        <w:tc>
          <w:tcPr>
            <w:tcW w:type="dxa" w:w="907"/>
            <w:vAlign w:val="center"/>
            <w:tcMar>
              <w:top w:w="80" w:type="dxa"/>
              <w:start w:w="100" w:type="dxa"/>
              <w:bottom w:w="80" w:type="dxa"/>
              <w:end w:w="100" w:type="dxa"/>
            </w:tcMar>
          </w:tcPr>
          <w:p>
            <w:pPr>
              <w:spacing w:before="0" w:after="0" w:line="240" w:lineRule="auto"/>
            </w:pPr>
            <w:hyperlink w:anchor="f_14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P_proj(t)=([o_t], S_rank(t), S_orbit(t), Dom_t, Glue_t).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127. Главная условная теорема T2-RP-v0.11</w:t>
            </w:r>
          </w:p>
        </w:tc>
        <w:tc>
          <w:tcPr>
            <w:tcW w:type="dxa" w:w="907"/>
            <w:vAlign w:val="center"/>
            <w:tcMar>
              <w:top w:w="80" w:type="dxa"/>
              <w:start w:w="100" w:type="dxa"/>
              <w:bottom w:w="80" w:type="dxa"/>
              <w:end w:w="100" w:type="dxa"/>
            </w:tcMar>
          </w:tcPr>
          <w:p>
            <w:pPr>
              <w:spacing w:before="0" w:after="0" w:line="240" w:lineRule="auto"/>
            </w:pPr>
            <w:hyperlink w:anchor="f_14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I∩Δ_proj=∅ ⇒ type(P_proj(t))=const on I.</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127. Главная условная теорема T2-RP-v0.11</w:t>
            </w:r>
          </w:p>
        </w:tc>
        <w:tc>
          <w:tcPr>
            <w:tcW w:type="dxa" w:w="907"/>
            <w:vAlign w:val="center"/>
            <w:tcMar>
              <w:top w:w="80" w:type="dxa"/>
              <w:start w:w="100" w:type="dxa"/>
              <w:bottom w:w="80" w:type="dxa"/>
              <w:end w:w="100" w:type="dxa"/>
            </w:tcMar>
          </w:tcPr>
          <w:p>
            <w:pPr>
              <w:spacing w:before="0" w:after="0" w:line="240" w:lineRule="auto"/>
            </w:pPr>
            <w:hyperlink w:anchor="f_14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Block_proj = B_zero ∪ B_scale ∪ B_sign ∪ B_chart ∪ B_hom ∪ B_glue ∪ B_D ∪ B_Dom ∪ B_lift ∪ B_ind.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128. Blocker-safe вывод</w:t>
            </w:r>
          </w:p>
        </w:tc>
        <w:tc>
          <w:tcPr>
            <w:tcW w:type="dxa" w:w="907"/>
            <w:vAlign w:val="center"/>
            <w:tcMar>
              <w:top w:w="80" w:type="dxa"/>
              <w:start w:w="100" w:type="dxa"/>
              <w:bottom w:w="80" w:type="dxa"/>
              <w:end w:w="100" w:type="dxa"/>
            </w:tcMar>
          </w:tcPr>
          <w:p>
            <w:pPr>
              <w:spacing w:before="0" w:after="0" w:line="240" w:lineRule="auto"/>
            </w:pPr>
            <w:hyperlink w:anchor="f_14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T2-F-14.22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checkpoint=T2-RP-v0.11; next=T2-RP-v0.12.</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131. Итог главы и контрольная точка T2-RP-v0.11</w:t>
            </w:r>
          </w:p>
        </w:tc>
        <w:tc>
          <w:tcPr>
            <w:tcW w:type="dxa" w:w="907"/>
            <w:vAlign w:val="center"/>
            <w:tcMar>
              <w:top w:w="80" w:type="dxa"/>
              <w:start w:w="100" w:type="dxa"/>
              <w:bottom w:w="80" w:type="dxa"/>
              <w:end w:w="100" w:type="dxa"/>
            </w:tcMar>
          </w:tcPr>
          <w:p>
            <w:pPr>
              <w:spacing w:before="0" w:after="0" w:line="240" w:lineRule="auto"/>
            </w:pPr>
            <w:hyperlink w:anchor="f_14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d_k : D(d_k) ⊂ H^k → H^{k+1}, ran d_k ⊂ ker d_{k+1}.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133. Hilbert-комплекс NAPG</w:t>
            </w:r>
          </w:p>
        </w:tc>
        <w:tc>
          <w:tcPr>
            <w:tcW w:type="dxa" w:w="907"/>
            <w:vAlign w:val="center"/>
            <w:tcMar>
              <w:top w:w="80" w:type="dxa"/>
              <w:start w:w="100" w:type="dxa"/>
              <w:bottom w:w="80" w:type="dxa"/>
              <w:end w:w="100" w:type="dxa"/>
            </w:tcMar>
          </w:tcPr>
          <w:p>
            <w:pPr>
              <w:spacing w:before="0" w:after="0" w:line="240" w:lineRule="auto"/>
            </w:pPr>
            <w:hyperlink w:anchor="f_15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Z^k = ker d_k, B^k = ran d_{k-1}, H^k = Z^k/B^k, H̄^k = Z^k/closure(B^k).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133. Hilbert-комплекс NAPG</w:t>
            </w:r>
          </w:p>
        </w:tc>
        <w:tc>
          <w:tcPr>
            <w:tcW w:type="dxa" w:w="907"/>
            <w:vAlign w:val="center"/>
            <w:tcMar>
              <w:top w:w="80" w:type="dxa"/>
              <w:start w:w="100" w:type="dxa"/>
              <w:bottom w:w="80" w:type="dxa"/>
              <w:end w:w="100" w:type="dxa"/>
            </w:tcMar>
          </w:tcPr>
          <w:p>
            <w:pPr>
              <w:spacing w:before="0" w:after="0" w:line="240" w:lineRule="auto"/>
            </w:pPr>
            <w:hyperlink w:anchor="f_15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(ran d_k)⊥ = ker d_k*, closure(ran d_k*) = (ker d_k)⊥.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133. Hilbert-комплекс NAPG</w:t>
            </w:r>
          </w:p>
        </w:tc>
        <w:tc>
          <w:tcPr>
            <w:tcW w:type="dxa" w:w="907"/>
            <w:vAlign w:val="center"/>
            <w:tcMar>
              <w:top w:w="80" w:type="dxa"/>
              <w:start w:w="100" w:type="dxa"/>
              <w:bottom w:w="80" w:type="dxa"/>
              <w:end w:w="100" w:type="dxa"/>
            </w:tcMar>
          </w:tcPr>
          <w:p>
            <w:pPr>
              <w:spacing w:before="0" w:after="0" w:line="240" w:lineRule="auto"/>
            </w:pPr>
            <w:hyperlink w:anchor="f_15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Δ_k = d_{k-1} d_{k-1}* + d_k* d_k,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133. Hilbert-комплекс NAPG</w:t>
            </w:r>
          </w:p>
        </w:tc>
        <w:tc>
          <w:tcPr>
            <w:tcW w:type="dxa" w:w="907"/>
            <w:vAlign w:val="center"/>
            <w:tcMar>
              <w:top w:w="80" w:type="dxa"/>
              <w:start w:w="100" w:type="dxa"/>
              <w:bottom w:w="80" w:type="dxa"/>
              <w:end w:w="100" w:type="dxa"/>
            </w:tcMar>
          </w:tcPr>
          <w:p>
            <w:pPr>
              <w:spacing w:before="0" w:after="0" w:line="240" w:lineRule="auto"/>
            </w:pPr>
            <w:hyperlink w:anchor="f_15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D(Δ_k)={u∈D(d_k)∩D(d_{k-1}*): d_ku∈D(d_k*), d_{k-1}*u∈D(d_{k-1})}.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133. Hilbert-комплекс NAPG</w:t>
            </w:r>
          </w:p>
        </w:tc>
        <w:tc>
          <w:tcPr>
            <w:tcW w:type="dxa" w:w="907"/>
            <w:vAlign w:val="center"/>
            <w:tcMar>
              <w:top w:w="80" w:type="dxa"/>
              <w:start w:w="100" w:type="dxa"/>
              <w:bottom w:w="80" w:type="dxa"/>
              <w:end w:w="100" w:type="dxa"/>
            </w:tcMar>
          </w:tcPr>
          <w:p>
            <w:pPr>
              <w:spacing w:before="0" w:after="0" w:line="240" w:lineRule="auto"/>
            </w:pPr>
            <w:hyperlink w:anchor="f_15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𝓗^k = ker d_k ∩ ker d_{k-1}* = ker Δ_k.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133. Hilbert-комплекс NAPG</w:t>
            </w:r>
          </w:p>
        </w:tc>
        <w:tc>
          <w:tcPr>
            <w:tcW w:type="dxa" w:w="907"/>
            <w:vAlign w:val="center"/>
            <w:tcMar>
              <w:top w:w="80" w:type="dxa"/>
              <w:start w:w="100" w:type="dxa"/>
              <w:bottom w:w="80" w:type="dxa"/>
              <w:end w:w="100" w:type="dxa"/>
            </w:tcMar>
          </w:tcPr>
          <w:p>
            <w:pPr>
              <w:spacing w:before="0" w:after="0" w:line="240" w:lineRule="auto"/>
            </w:pPr>
            <w:hyperlink w:anchor="f_15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⟨Δ_ku,u⟩ = ||d_ku||² + ||d_{k-1}*u||².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133. Hilbert-комплекс NAPG</w:t>
            </w:r>
          </w:p>
        </w:tc>
        <w:tc>
          <w:tcPr>
            <w:tcW w:type="dxa" w:w="907"/>
            <w:vAlign w:val="center"/>
            <w:tcMar>
              <w:top w:w="80" w:type="dxa"/>
              <w:start w:w="100" w:type="dxa"/>
              <w:bottom w:w="80" w:type="dxa"/>
              <w:end w:w="100" w:type="dxa"/>
            </w:tcMar>
          </w:tcPr>
          <w:p>
            <w:pPr>
              <w:spacing w:before="0" w:after="0" w:line="240" w:lineRule="auto"/>
            </w:pPr>
            <w:hyperlink w:anchor="f_15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H^k = closure(ran d_{k-1}) ⊕ 𝓗^k ⊕ closure(ran d_k*).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134. Слабое и сильное Hodge-разложение</w:t>
            </w:r>
          </w:p>
        </w:tc>
        <w:tc>
          <w:tcPr>
            <w:tcW w:type="dxa" w:w="907"/>
            <w:vAlign w:val="center"/>
            <w:tcMar>
              <w:top w:w="80" w:type="dxa"/>
              <w:start w:w="100" w:type="dxa"/>
              <w:bottom w:w="80" w:type="dxa"/>
              <w:end w:w="100" w:type="dxa"/>
            </w:tcMar>
          </w:tcPr>
          <w:p>
            <w:pPr>
              <w:spacing w:before="0" w:after="0" w:line="240" w:lineRule="auto"/>
            </w:pPr>
            <w:hyperlink w:anchor="f_15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γ_k := inf( spectrum(Δ_k) \ {0} ) &gt; 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134. Слабое и сильное Hodge-разложение</w:t>
            </w:r>
          </w:p>
        </w:tc>
        <w:tc>
          <w:tcPr>
            <w:tcW w:type="dxa" w:w="907"/>
            <w:vAlign w:val="center"/>
            <w:tcMar>
              <w:top w:w="80" w:type="dxa"/>
              <w:start w:w="100" w:type="dxa"/>
              <w:bottom w:w="80" w:type="dxa"/>
              <w:end w:w="100" w:type="dxa"/>
            </w:tcMar>
          </w:tcPr>
          <w:p>
            <w:pPr>
              <w:spacing w:before="0" w:after="0" w:line="240" w:lineRule="auto"/>
            </w:pPr>
            <w:hyperlink w:anchor="f_15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G_k = (Δ_k |_{(𝓗^k)⊥})^{-1}(I-P_{𝓗^k}), ||G_k|| ≤ 1/γ_k.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134. Слабое и сильное Hodge-разложение</w:t>
            </w:r>
          </w:p>
        </w:tc>
        <w:tc>
          <w:tcPr>
            <w:tcW w:type="dxa" w:w="907"/>
            <w:vAlign w:val="center"/>
            <w:tcMar>
              <w:top w:w="80" w:type="dxa"/>
              <w:start w:w="100" w:type="dxa"/>
              <w:bottom w:w="80" w:type="dxa"/>
              <w:end w:w="100" w:type="dxa"/>
            </w:tcMar>
          </w:tcPr>
          <w:p>
            <w:pPr>
              <w:spacing w:before="0" w:after="0" w:line="240" w:lineRule="auto"/>
            </w:pPr>
            <w:hyperlink w:anchor="f_15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q = d_{k-1}a_min + h, h=P_{𝓗^k}q, a_min=d_{k-1}*G_kq.</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134. Слабое и сильное Hodge-разложение</w:t>
            </w:r>
          </w:p>
        </w:tc>
        <w:tc>
          <w:tcPr>
            <w:tcW w:type="dxa" w:w="907"/>
            <w:vAlign w:val="center"/>
            <w:tcMar>
              <w:top w:w="80" w:type="dxa"/>
              <w:start w:w="100" w:type="dxa"/>
              <w:bottom w:w="80" w:type="dxa"/>
              <w:end w:w="100" w:type="dxa"/>
            </w:tcMar>
          </w:tcPr>
          <w:p>
            <w:pPr>
              <w:spacing w:before="0" w:after="0" w:line="240" w:lineRule="auto"/>
            </w:pPr>
            <w:hyperlink w:anchor="f_15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||a_min|| ≤ γ_k^{-1/2} ||q-P_{𝓗^k}q||.</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134. Слабое и сильное Hodge-разложение</w:t>
            </w:r>
          </w:p>
        </w:tc>
        <w:tc>
          <w:tcPr>
            <w:tcW w:type="dxa" w:w="907"/>
            <w:vAlign w:val="center"/>
            <w:tcMar>
              <w:top w:w="80" w:type="dxa"/>
              <w:start w:w="100" w:type="dxa"/>
              <w:bottom w:w="80" w:type="dxa"/>
              <w:end w:w="100" w:type="dxa"/>
            </w:tcMar>
          </w:tcPr>
          <w:p>
            <w:pPr>
              <w:spacing w:before="0" w:after="0" w:line="240" w:lineRule="auto"/>
            </w:pPr>
            <w:hyperlink w:anchor="f_15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0 → E_x^0 --σ(d_0)(x,ξ)→ E_x^1 → ... → E_x^N → 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135. Эллиптические комплексы и операторы лапласовского типа</w:t>
            </w:r>
          </w:p>
        </w:tc>
        <w:tc>
          <w:tcPr>
            <w:tcW w:type="dxa" w:w="907"/>
            <w:vAlign w:val="center"/>
            <w:tcMar>
              <w:top w:w="80" w:type="dxa"/>
              <w:start w:w="100" w:type="dxa"/>
              <w:bottom w:w="80" w:type="dxa"/>
              <w:end w:w="100" w:type="dxa"/>
            </w:tcMar>
          </w:tcPr>
          <w:p>
            <w:pPr>
              <w:spacing w:before="0" w:after="0" w:line="240" w:lineRule="auto"/>
            </w:pPr>
            <w:hyperlink w:anchor="f_15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σ_2(Δ_k)(x,ξ)=σ(d_{k-1})σ(d_{k-1})* + σ(d_k)*σ(d_k), ξ≠0.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135. Эллиптические комплексы и операторы лапласовского типа</w:t>
            </w:r>
          </w:p>
        </w:tc>
        <w:tc>
          <w:tcPr>
            <w:tcW w:type="dxa" w:w="907"/>
            <w:vAlign w:val="center"/>
            <w:tcMar>
              <w:top w:w="80" w:type="dxa"/>
              <w:start w:w="100" w:type="dxa"/>
              <w:bottom w:w="80" w:type="dxa"/>
              <w:end w:w="100" w:type="dxa"/>
            </w:tcMar>
          </w:tcPr>
          <w:p>
            <w:pPr>
              <w:spacing w:before="0" w:after="0" w:line="240" w:lineRule="auto"/>
            </w:pPr>
            <w:hyperlink w:anchor="f_15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σ_2(L)(x,ξ)=|ξ|_g² Id.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135. Эллиптические комплексы и операторы лапласовского типа</w:t>
            </w:r>
          </w:p>
        </w:tc>
        <w:tc>
          <w:tcPr>
            <w:tcW w:type="dxa" w:w="907"/>
            <w:vAlign w:val="center"/>
            <w:tcMar>
              <w:top w:w="80" w:type="dxa"/>
              <w:start w:w="100" w:type="dxa"/>
              <w:bottom w:w="80" w:type="dxa"/>
              <w:end w:w="100" w:type="dxa"/>
            </w:tcMar>
          </w:tcPr>
          <w:p>
            <w:pPr>
              <w:spacing w:before="0" w:after="0" w:line="240" w:lineRule="auto"/>
            </w:pPr>
            <w:hyperlink w:anchor="f_15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H_str^k = direct_sum_α L²Ω^k(S_α,E_α).</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137. Стратифицированная Hodge-реализация NAPG</w:t>
            </w:r>
          </w:p>
        </w:tc>
        <w:tc>
          <w:tcPr>
            <w:tcW w:type="dxa" w:w="907"/>
            <w:vAlign w:val="center"/>
            <w:tcMar>
              <w:top w:w="80" w:type="dxa"/>
              <w:start w:w="100" w:type="dxa"/>
              <w:bottom w:w="80" w:type="dxa"/>
              <w:end w:w="100" w:type="dxa"/>
            </w:tcMar>
          </w:tcPr>
          <w:p>
            <w:pPr>
              <w:spacing w:before="0" w:after="0" w:line="240" w:lineRule="auto"/>
            </w:pPr>
            <w:hyperlink w:anchor="f_15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T_{αβ}^+ u_α = T_{αβ}^- u_β на каждой допустимой incidence interface.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137. Стратифицированная Hodge-реализация NAPG</w:t>
            </w:r>
          </w:p>
        </w:tc>
        <w:tc>
          <w:tcPr>
            <w:tcW w:type="dxa" w:w="907"/>
            <w:vAlign w:val="center"/>
            <w:tcMar>
              <w:top w:w="80" w:type="dxa"/>
              <w:start w:w="100" w:type="dxa"/>
              <w:bottom w:w="80" w:type="dxa"/>
              <w:end w:w="100" w:type="dxa"/>
            </w:tcMar>
          </w:tcPr>
          <w:p>
            <w:pPr>
              <w:spacing w:before="0" w:after="0" w:line="240" w:lineRule="auto"/>
            </w:pPr>
            <w:hyperlink w:anchor="f_15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ind T = dim ker T - dim coker 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138. Fredholm-секторы и индекс</w:t>
            </w:r>
          </w:p>
        </w:tc>
        <w:tc>
          <w:tcPr>
            <w:tcW w:type="dxa" w:w="907"/>
            <w:vAlign w:val="center"/>
            <w:tcMar>
              <w:top w:w="80" w:type="dxa"/>
              <w:start w:w="100" w:type="dxa"/>
              <w:bottom w:w="80" w:type="dxa"/>
              <w:end w:w="100" w:type="dxa"/>
            </w:tcMar>
          </w:tcPr>
          <w:p>
            <w:pPr>
              <w:spacing w:before="0" w:after="0" w:line="240" w:lineRule="auto"/>
            </w:pPr>
            <w:hyperlink w:anchor="f_15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D_H^+ : H^{even} → H^{odd}, ind D_H^+ = sum_k (-1)^k dim H^k.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138. Fredholm-секторы и индекс</w:t>
            </w:r>
          </w:p>
        </w:tc>
        <w:tc>
          <w:tcPr>
            <w:tcW w:type="dxa" w:w="907"/>
            <w:vAlign w:val="center"/>
            <w:tcMar>
              <w:top w:w="80" w:type="dxa"/>
              <w:start w:w="100" w:type="dxa"/>
              <w:bottom w:w="80" w:type="dxa"/>
              <w:end w:w="100" w:type="dxa"/>
            </w:tcMar>
          </w:tcPr>
          <w:p>
            <w:pPr>
              <w:spacing w:before="0" w:after="0" w:line="240" w:lineRule="auto"/>
            </w:pPr>
            <w:hyperlink w:anchor="f_15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h_E(o)=P_{𝓗_E^3}q, η_H(o)=||h_E(o)||.</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139. Гармоническая аналитика препятствий</w:t>
            </w:r>
          </w:p>
        </w:tc>
        <w:tc>
          <w:tcPr>
            <w:tcW w:type="dxa" w:w="907"/>
            <w:vAlign w:val="center"/>
            <w:tcMar>
              <w:top w:w="80" w:type="dxa"/>
              <w:start w:w="100" w:type="dxa"/>
              <w:bottom w:w="80" w:type="dxa"/>
              <w:end w:w="100" w:type="dxa"/>
            </w:tcMar>
          </w:tcPr>
          <w:p>
            <w:pPr>
              <w:spacing w:before="0" w:after="0" w:line="240" w:lineRule="auto"/>
            </w:pPr>
            <w:hyperlink w:anchor="f_15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η_H(o) = dist(q, ran d_E²), η_H(o)=0 ⇔ Π_E(o)=0.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139. Гармоническая аналитика препятствий</w:t>
            </w:r>
          </w:p>
        </w:tc>
        <w:tc>
          <w:tcPr>
            <w:tcW w:type="dxa" w:w="907"/>
            <w:vAlign w:val="center"/>
            <w:tcMar>
              <w:top w:w="80" w:type="dxa"/>
              <w:start w:w="100" w:type="dxa"/>
              <w:bottom w:w="80" w:type="dxa"/>
              <w:end w:w="100" w:type="dxa"/>
            </w:tcMar>
          </w:tcPr>
          <w:p>
            <w:pPr>
              <w:spacing w:before="0" w:after="0" w:line="240" w:lineRule="auto"/>
            </w:pPr>
            <w:hyperlink w:anchor="f_15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Cond_H = (γ_3^{-1}, ||G_3||, ||P_H||, trace_constant, interface_constant).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139. Гармоническая аналитика препятствий</w:t>
            </w:r>
          </w:p>
        </w:tc>
        <w:tc>
          <w:tcPr>
            <w:tcW w:type="dxa" w:w="907"/>
            <w:vAlign w:val="center"/>
            <w:tcMar>
              <w:top w:w="80" w:type="dxa"/>
              <w:start w:w="100" w:type="dxa"/>
              <w:bottom w:w="80" w:type="dxa"/>
              <w:end w:w="100" w:type="dxa"/>
            </w:tcMar>
          </w:tcPr>
          <w:p>
            <w:pPr>
              <w:spacing w:before="0" w:after="0" w:line="240" w:lineRule="auto"/>
            </w:pPr>
            <w:hyperlink w:anchor="f_15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P_t = (2πi)^{-1} contour_integral_Γ (z-Δ_{3,t})^{-1} dz</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139. Гармоническая аналитика препятствий</w:t>
            </w:r>
          </w:p>
        </w:tc>
        <w:tc>
          <w:tcPr>
            <w:tcW w:type="dxa" w:w="907"/>
            <w:vAlign w:val="center"/>
            <w:tcMar>
              <w:top w:w="80" w:type="dxa"/>
              <w:start w:w="100" w:type="dxa"/>
              <w:bottom w:w="80" w:type="dxa"/>
              <w:end w:w="100" w:type="dxa"/>
            </w:tcMar>
          </w:tcPr>
          <w:p>
            <w:pPr>
              <w:spacing w:before="0" w:after="0" w:line="240" w:lineRule="auto"/>
            </w:pPr>
            <w:hyperlink w:anchor="f_15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Δ_HF = Δ_{d²} ∪ Δ_{dom} ∪ Δ_{ell} ∪ Δ_{BC} ∪ Δ_{range} ∪ Δ_{gap} ∪ Δ_{harm} ∪ Δ_{int} ∪ Δ_D ∪ Δ_Dom ∪ Δ_{glue}.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140. Hodge-Fredholm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15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P_HF(t)=(ind D_H,t^+, dim 𝓗_t^k, γ_k(t), η_H(t), ||G_k(t)||, BC_t, Interface_t, λ_t)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140. Hodge-Fredholm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15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 ∩ Δ_HF = empty and η_H(t)≥ε_H ⇒ removal of this obstruction is impossible in model.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140. Hodge-Fredholm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15_2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χ_H = (R_H,I_H,U_H,D_H): P(𝓗_E^3) ⇢ (P¹)^4, λ_H=cr(U_H,I_H;R_H,D_H).</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141. Hodge-слой и проективно-гармонический Reper</w:t>
            </w:r>
          </w:p>
        </w:tc>
        <w:tc>
          <w:tcPr>
            <w:tcW w:type="dxa" w:w="907"/>
            <w:vAlign w:val="center"/>
            <w:tcMar>
              <w:top w:w="80" w:type="dxa"/>
              <w:start w:w="100" w:type="dxa"/>
              <w:bottom w:w="80" w:type="dxa"/>
              <w:end w:w="100" w:type="dxa"/>
            </w:tcMar>
          </w:tcPr>
          <w:p>
            <w:pPr>
              <w:spacing w:before="0" w:after="0" w:line="240" w:lineRule="auto"/>
            </w:pPr>
            <w:hyperlink w:anchor="f_15_2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Cert_HF=(COMPLEX, DOMAIN, SYMBOL, BC, INTERFACE, FREDHOLM, GAP, HARM, BRIDGE, D, DOM, λ, HASH).</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141. Hodge-слой и проективно-гармонический Reper</w:t>
            </w:r>
          </w:p>
        </w:tc>
        <w:tc>
          <w:tcPr>
            <w:tcW w:type="dxa" w:w="907"/>
            <w:vAlign w:val="center"/>
            <w:tcMar>
              <w:top w:w="80" w:type="dxa"/>
              <w:start w:w="100" w:type="dxa"/>
              <w:bottom w:w="80" w:type="dxa"/>
              <w:end w:w="100" w:type="dxa"/>
            </w:tcMar>
          </w:tcPr>
          <w:p>
            <w:pPr>
              <w:spacing w:before="0" w:after="0" w:line="240" w:lineRule="auto"/>
            </w:pPr>
            <w:hyperlink w:anchor="f_15_2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T2-F-15.29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Block_HF = B_complex ∪ B_domain ∪ B_symbol ∪ B_BC ∪ B_interface ∪ B_range ∪ B_gap ∪ B_bridge ∪ B_D ∪ B_Dom ∪ B_glue ∪ B_ind.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143. Blocker-safe аналитический вывод</w:t>
            </w:r>
          </w:p>
        </w:tc>
        <w:tc>
          <w:tcPr>
            <w:tcW w:type="dxa" w:w="907"/>
            <w:vAlign w:val="center"/>
            <w:tcMar>
              <w:top w:w="80" w:type="dxa"/>
              <w:start w:w="100" w:type="dxa"/>
              <w:bottom w:w="80" w:type="dxa"/>
              <w:end w:w="100" w:type="dxa"/>
            </w:tcMar>
          </w:tcPr>
          <w:p>
            <w:pPr>
              <w:spacing w:before="0" w:after="0" w:line="240" w:lineRule="auto"/>
            </w:pPr>
            <w:hyperlink w:anchor="f_15_2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T2-F-15.30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checkpoint=T2-RP-v0.12; next=T2-RP-v0.13.</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148. Итог главы и контрольная точка T2-RP-v0.12</w:t>
            </w:r>
          </w:p>
        </w:tc>
        <w:tc>
          <w:tcPr>
            <w:tcW w:type="dxa" w:w="907"/>
            <w:vAlign w:val="center"/>
            <w:tcMar>
              <w:top w:w="80" w:type="dxa"/>
              <w:start w:w="100" w:type="dxa"/>
              <w:bottom w:w="80" w:type="dxa"/>
              <w:end w:w="100" w:type="dxa"/>
            </w:tcMar>
          </w:tcPr>
          <w:p>
            <w:pPr>
              <w:spacing w:before="0" w:after="0" w:line="240" w:lineRule="auto"/>
            </w:pPr>
            <w:hyperlink w:anchor="f_15_3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Art_K = { (A,m_A) : A/m_A ≅ K, m_A^N=0 для некоторого N }.</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150. Категория артиевых баз и деформационный функтор</w:t>
            </w:r>
          </w:p>
        </w:tc>
        <w:tc>
          <w:tcPr>
            <w:tcW w:type="dxa" w:w="907"/>
            <w:vAlign w:val="center"/>
            <w:tcMar>
              <w:top w:w="80" w:type="dxa"/>
              <w:start w:w="100" w:type="dxa"/>
              <w:bottom w:w="80" w:type="dxa"/>
              <w:end w:w="100" w:type="dxa"/>
            </w:tcMar>
          </w:tcPr>
          <w:p>
            <w:pPr>
              <w:spacing w:before="0" w:after="0" w:line="240" w:lineRule="auto"/>
            </w:pPr>
            <w:hyperlink w:anchor="f_16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Def_N : Art_K → Gpd, F_N = π_0 Def_N : Art_K → Set.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150. Категория артиевых баз и деформационный функтор</w:t>
            </w:r>
          </w:p>
        </w:tc>
        <w:tc>
          <w:tcPr>
            <w:tcW w:type="dxa" w:w="907"/>
            <w:vAlign w:val="center"/>
            <w:tcMar>
              <w:top w:w="80" w:type="dxa"/>
              <w:start w:w="100" w:type="dxa"/>
              <w:bottom w:w="80" w:type="dxa"/>
              <w:end w:w="100" w:type="dxa"/>
            </w:tcMar>
          </w:tcPr>
          <w:p>
            <w:pPr>
              <w:spacing w:before="0" w:after="0" w:line="240" w:lineRule="auto"/>
            </w:pPr>
            <w:hyperlink w:anchor="f_16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0 → I → A′ → A → 0, m_{A′} I = 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151. Малые расширения и локальная задача подъёма</w:t>
            </w:r>
          </w:p>
        </w:tc>
        <w:tc>
          <w:tcPr>
            <w:tcW w:type="dxa" w:w="907"/>
            <w:vAlign w:val="center"/>
            <w:tcMar>
              <w:top w:w="80" w:type="dxa"/>
              <w:start w:w="100" w:type="dxa"/>
              <w:bottom w:w="80" w:type="dxa"/>
              <w:end w:w="100" w:type="dxa"/>
            </w:tcMar>
          </w:tcPr>
          <w:p>
            <w:pPr>
              <w:spacing w:before="0" w:after="0" w:line="240" w:lineRule="auto"/>
            </w:pPr>
            <w:hyperlink w:anchor="f_16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F(A′×_A A″) → F(A′) ×_{F(A)} F(A″).</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152. Условия Шлессингера и существование hull</w:t>
            </w:r>
          </w:p>
        </w:tc>
        <w:tc>
          <w:tcPr>
            <w:tcW w:type="dxa" w:w="907"/>
            <w:vAlign w:val="center"/>
            <w:tcMar>
              <w:top w:w="80" w:type="dxa"/>
              <w:start w:w="100" w:type="dxa"/>
              <w:bottom w:w="80" w:type="dxa"/>
              <w:end w:w="100" w:type="dxa"/>
            </w:tcMar>
          </w:tcPr>
          <w:p>
            <w:pPr>
              <w:spacing w:before="0" w:after="0" w:line="240" w:lineRule="auto"/>
            </w:pPr>
            <w:hyperlink w:anchor="f_16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universal ⇒ miniversal ⇒ versal, обратные импликации неверны.</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153. Versal, miniversal и universal: запрет терминологической подмены</w:t>
            </w:r>
          </w:p>
        </w:tc>
        <w:tc>
          <w:tcPr>
            <w:tcW w:type="dxa" w:w="907"/>
            <w:vAlign w:val="center"/>
            <w:tcMar>
              <w:top w:w="80" w:type="dxa"/>
              <w:start w:w="100" w:type="dxa"/>
              <w:bottom w:w="80" w:type="dxa"/>
              <w:end w:w="100" w:type="dxa"/>
            </w:tcMar>
          </w:tcPr>
          <w:p>
            <w:pPr>
              <w:spacing w:before="0" w:after="0" w:line="240" w:lineRule="auto"/>
            </w:pPr>
            <w:hyperlink w:anchor="f_16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C_N^1 ─d_N^1→ C_N^2 ─d_N^2→ C_N^3, d_N^2 d_N^1 = 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154. Трёхчленный деформационный комплекс и derived tangent</w:t>
            </w:r>
          </w:p>
        </w:tc>
        <w:tc>
          <w:tcPr>
            <w:tcW w:type="dxa" w:w="907"/>
            <w:vAlign w:val="center"/>
            <w:tcMar>
              <w:top w:w="80" w:type="dxa"/>
              <w:start w:w="100" w:type="dxa"/>
              <w:bottom w:w="80" w:type="dxa"/>
              <w:end w:w="100" w:type="dxa"/>
            </w:tcMar>
          </w:tcPr>
          <w:p>
            <w:pPr>
              <w:spacing w:before="0" w:after="0" w:line="240" w:lineRule="auto"/>
            </w:pPr>
            <w:hyperlink w:anchor="f_16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H_N^1 = infinitesimal automorphisms, H_N^2 = tangent classes, H_N^3 = primary obstructions.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154. Трёхчленный деформационный комплекс и derived tangent</w:t>
            </w:r>
          </w:p>
        </w:tc>
        <w:tc>
          <w:tcPr>
            <w:tcW w:type="dxa" w:w="907"/>
            <w:vAlign w:val="center"/>
            <w:tcMar>
              <w:top w:w="80" w:type="dxa"/>
              <w:start w:w="100" w:type="dxa"/>
              <w:bottom w:w="80" w:type="dxa"/>
              <w:end w:w="100" w:type="dxa"/>
            </w:tcMar>
          </w:tcPr>
          <w:p>
            <w:pPr>
              <w:spacing w:before="0" w:after="0" w:line="240" w:lineRule="auto"/>
            </w:pPr>
            <w:hyperlink w:anchor="f_16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H^{-1}(T_N^der)=H_N^1, H^0(T_N^der)=H_N^2, H^1(T_N^der)=H_N^3.</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154. Трёхчленный деформационный комплекс и derived tangent</w:t>
            </w:r>
          </w:p>
        </w:tc>
        <w:tc>
          <w:tcPr>
            <w:tcW w:type="dxa" w:w="907"/>
            <w:vAlign w:val="center"/>
            <w:tcMar>
              <w:top w:w="80" w:type="dxa"/>
              <w:start w:w="100" w:type="dxa"/>
              <w:bottom w:w="80" w:type="dxa"/>
              <w:end w:w="100" w:type="dxa"/>
            </w:tcMar>
          </w:tcPr>
          <w:p>
            <w:pPr>
              <w:spacing w:before="0" w:after="0" w:line="240" w:lineRule="auto"/>
            </w:pPr>
            <w:hyperlink w:anchor="f_16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g_N=(g_N,l_1,l_2,l_3,...)</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155. Контролирующая L_infinity-гипотеза</w:t>
            </w:r>
          </w:p>
        </w:tc>
        <w:tc>
          <w:tcPr>
            <w:tcW w:type="dxa" w:w="907"/>
            <w:vAlign w:val="center"/>
            <w:tcMar>
              <w:top w:w="80" w:type="dxa"/>
              <w:start w:w="100" w:type="dxa"/>
              <w:bottom w:w="80" w:type="dxa"/>
              <w:end w:w="100" w:type="dxa"/>
            </w:tcMar>
          </w:tcPr>
          <w:p>
            <w:pPr>
              <w:spacing w:before="0" w:after="0" w:line="240" w:lineRule="auto"/>
            </w:pPr>
            <w:hyperlink w:anchor="f_16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MC_N(A)={α∈g_N^1⊗m_A : Σ_{n≥1}(1/n!) l_n(α,...,α)=0 }.</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155. Контролирующая L_infinity-гипотеза</w:t>
            </w:r>
          </w:p>
        </w:tc>
        <w:tc>
          <w:tcPr>
            <w:tcW w:type="dxa" w:w="907"/>
            <w:vAlign w:val="center"/>
            <w:tcMar>
              <w:top w:w="80" w:type="dxa"/>
              <w:start w:w="100" w:type="dxa"/>
              <w:bottom w:w="80" w:type="dxa"/>
              <w:end w:w="100" w:type="dxa"/>
            </w:tcMar>
          </w:tcPr>
          <w:p>
            <w:pPr>
              <w:spacing w:before="0" w:after="0" w:line="240" w:lineRule="auto"/>
            </w:pPr>
            <w:hyperlink w:anchor="f_16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F(α̃)=Σ_{n≥1}(1/n!)l_n(α̃^n) ∈ g_N^2⊗I</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156. Lifting theorem из Maurer-Cartan equation</w:t>
            </w:r>
          </w:p>
        </w:tc>
        <w:tc>
          <w:tcPr>
            <w:tcW w:type="dxa" w:w="907"/>
            <w:vAlign w:val="center"/>
            <w:tcMar>
              <w:top w:w="80" w:type="dxa"/>
              <w:start w:w="100" w:type="dxa"/>
              <w:bottom w:w="80" w:type="dxa"/>
              <w:end w:w="100" w:type="dxa"/>
            </w:tcMar>
          </w:tcPr>
          <w:p>
            <w:pPr>
              <w:spacing w:before="0" w:after="0" w:line="240" w:lineRule="auto"/>
            </w:pPr>
            <w:hyperlink w:anchor="f_16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(H(g_N),0) ─i→ (g_N,l_1) ─p→ (H(g_N),0), id-ip=l_1h+hl_1.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157. Hodge-Green contraction data</w:t>
            </w:r>
          </w:p>
        </w:tc>
        <w:tc>
          <w:tcPr>
            <w:tcW w:type="dxa" w:w="907"/>
            <w:vAlign w:val="center"/>
            <w:tcMar>
              <w:top w:w="80" w:type="dxa"/>
              <w:start w:w="100" w:type="dxa"/>
              <w:bottom w:w="80" w:type="dxa"/>
              <w:end w:w="100" w:type="dxa"/>
            </w:tcMar>
          </w:tcPr>
          <w:p>
            <w:pPr>
              <w:spacing w:before="0" w:after="0" w:line="240" w:lineRule="auto"/>
            </w:pPr>
            <w:hyperlink w:anchor="f_16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p=P_H, i=harmonic inclusion, h=l_1^* G.</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157. Hodge-Green contraction data</w:t>
            </w:r>
          </w:p>
        </w:tc>
        <w:tc>
          <w:tcPr>
            <w:tcW w:type="dxa" w:w="907"/>
            <w:vAlign w:val="center"/>
            <w:tcMar>
              <w:top w:w="80" w:type="dxa"/>
              <w:start w:w="100" w:type="dxa"/>
              <w:bottom w:w="80" w:type="dxa"/>
              <w:end w:w="100" w:type="dxa"/>
            </w:tcMar>
          </w:tcPr>
          <w:p>
            <w:pPr>
              <w:spacing w:before="0" w:after="0" w:line="240" w:lineRule="auto"/>
            </w:pPr>
            <w:hyperlink w:anchor="f_16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N(α)=Σ_{n≥2}(1/n!)l_n(α^n).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158. Рекурсия Кураниши</w:t>
            </w:r>
          </w:p>
        </w:tc>
        <w:tc>
          <w:tcPr>
            <w:tcW w:type="dxa" w:w="907"/>
            <w:vAlign w:val="center"/>
            <w:tcMar>
              <w:top w:w="80" w:type="dxa"/>
              <w:start w:w="100" w:type="dxa"/>
              <w:bottom w:w="80" w:type="dxa"/>
              <w:end w:w="100" w:type="dxa"/>
            </w:tcMar>
          </w:tcPr>
          <w:p>
            <w:pPr>
              <w:spacing w:before="0" w:after="0" w:line="240" w:lineRule="auto"/>
            </w:pPr>
            <w:hyperlink w:anchor="f_16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α(x)=i(x)-hN(α(x)), hα(x)=0.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158. Рекурсия Кураниши</w:t>
            </w:r>
          </w:p>
        </w:tc>
        <w:tc>
          <w:tcPr>
            <w:tcW w:type="dxa" w:w="907"/>
            <w:vAlign w:val="center"/>
            <w:tcMar>
              <w:top w:w="80" w:type="dxa"/>
              <w:start w:w="100" w:type="dxa"/>
              <w:bottom w:w="80" w:type="dxa"/>
              <w:end w:w="100" w:type="dxa"/>
            </w:tcMar>
          </w:tcPr>
          <w:p>
            <w:pPr>
              <w:spacing w:before="0" w:after="0" w:line="240" w:lineRule="auto"/>
            </w:pPr>
            <w:hyperlink w:anchor="f_16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K_N(x)=pN(α(x)) ∈ H^2(g_N)=H_N^3.</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158. Рекурсия Кураниши</w:t>
            </w:r>
          </w:p>
        </w:tc>
        <w:tc>
          <w:tcPr>
            <w:tcW w:type="dxa" w:w="907"/>
            <w:vAlign w:val="center"/>
            <w:tcMar>
              <w:top w:w="80" w:type="dxa"/>
              <w:start w:w="100" w:type="dxa"/>
              <w:bottom w:w="80" w:type="dxa"/>
              <w:end w:w="100" w:type="dxa"/>
            </w:tcMar>
          </w:tcPr>
          <w:p>
            <w:pPr>
              <w:spacing w:before="0" w:after="0" w:line="240" w:lineRule="auto"/>
            </w:pPr>
            <w:hyperlink w:anchor="f_16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||N(α)-N(β)|| ≤ L_R ||α-β||, ||h|| L_R &lt; 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159. Явная оценка радиуса сходимости</w:t>
            </w:r>
          </w:p>
        </w:tc>
        <w:tc>
          <w:tcPr>
            <w:tcW w:type="dxa" w:w="907"/>
            <w:vAlign w:val="center"/>
            <w:tcMar>
              <w:top w:w="80" w:type="dxa"/>
              <w:start w:w="100" w:type="dxa"/>
              <w:bottom w:w="80" w:type="dxa"/>
              <w:end w:w="100" w:type="dxa"/>
            </w:tcMar>
          </w:tcPr>
          <w:p>
            <w:pPr>
              <w:spacing w:before="0" w:after="0" w:line="240" w:lineRule="auto"/>
            </w:pPr>
            <w:hyperlink w:anchor="f_16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||x|| ≤ R(1-||h||L_R)/||i||.</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159. Явная оценка радиуса сходимости</w:t>
            </w:r>
          </w:p>
        </w:tc>
        <w:tc>
          <w:tcPr>
            <w:tcW w:type="dxa" w:w="907"/>
            <w:vAlign w:val="center"/>
            <w:tcMar>
              <w:top w:w="80" w:type="dxa"/>
              <w:start w:w="100" w:type="dxa"/>
              <w:bottom w:w="80" w:type="dxa"/>
              <w:end w:w="100" w:type="dxa"/>
            </w:tcMar>
          </w:tcPr>
          <w:p>
            <w:pPr>
              <w:spacing w:before="0" w:after="0" w:line="240" w:lineRule="auto"/>
            </w:pPr>
            <w:hyperlink w:anchor="f_16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m_K(R)=1-||h||L_R.</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159. Явная оценка радиуса сходимости</w:t>
            </w:r>
          </w:p>
        </w:tc>
        <w:tc>
          <w:tcPr>
            <w:tcW w:type="dxa" w:w="907"/>
            <w:vAlign w:val="center"/>
            <w:tcMar>
              <w:top w:w="80" w:type="dxa"/>
              <w:start w:w="100" w:type="dxa"/>
              <w:bottom w:w="80" w:type="dxa"/>
              <w:end w:w="100" w:type="dxa"/>
            </w:tcMar>
          </w:tcPr>
          <w:p>
            <w:pPr>
              <w:spacing w:before="0" w:after="0" w:line="240" w:lineRule="auto"/>
            </w:pPr>
            <w:hyperlink w:anchor="f_16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K_N(x)=κ_2(x,x)+κ_3(x,x,x)+κ_4(x,x,x,x)+...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160. Taylor-слои и высшие obstruction classes</w:t>
            </w:r>
          </w:p>
        </w:tc>
        <w:tc>
          <w:tcPr>
            <w:tcW w:type="dxa" w:w="907"/>
            <w:vAlign w:val="center"/>
            <w:tcMar>
              <w:top w:w="80" w:type="dxa"/>
              <w:start w:w="100" w:type="dxa"/>
              <w:bottom w:w="80" w:type="dxa"/>
              <w:end w:w="100" w:type="dxa"/>
            </w:tcMar>
          </w:tcPr>
          <w:p>
            <w:pPr>
              <w:spacing w:before="0" w:after="0" w:line="240" w:lineRule="auto"/>
            </w:pPr>
            <w:hyperlink w:anchor="f_16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κ_2(x,x)=1/2·p l_2(ix,ix).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160. Taylor-слои и высшие obstruction classes</w:t>
            </w:r>
          </w:p>
        </w:tc>
        <w:tc>
          <w:tcPr>
            <w:tcW w:type="dxa" w:w="907"/>
            <w:vAlign w:val="center"/>
            <w:tcMar>
              <w:top w:w="80" w:type="dxa"/>
              <w:start w:w="100" w:type="dxa"/>
              <w:bottom w:w="80" w:type="dxa"/>
              <w:end w:w="100" w:type="dxa"/>
            </w:tcMar>
          </w:tcPr>
          <w:p>
            <w:pPr>
              <w:spacing w:before="0" w:after="0" w:line="240" w:lineRule="auto"/>
            </w:pPr>
            <w:hyperlink w:anchor="f_16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κ_3(x,x,x)=1/6·p l_3(ix,ix,ix)-1/2·p l_2(ix,h l_2(ix,ix)).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160. Taylor-слои и высшие obstruction classes</w:t>
            </w:r>
          </w:p>
        </w:tc>
        <w:tc>
          <w:tcPr>
            <w:tcW w:type="dxa" w:w="907"/>
            <w:vAlign w:val="center"/>
            <w:tcMar>
              <w:top w:w="80" w:type="dxa"/>
              <w:start w:w="100" w:type="dxa"/>
              <w:bottom w:w="80" w:type="dxa"/>
              <w:end w:w="100" w:type="dxa"/>
            </w:tcMar>
          </w:tcPr>
          <w:p>
            <w:pPr>
              <w:spacing w:before="0" w:after="0" w:line="240" w:lineRule="auto"/>
            </w:pPr>
            <w:hyperlink w:anchor="f_16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ν_K(x)=min{n≥2: κ_n(x,...,x)≠0}, ν_K=∞ если все члены исчезают.</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160. Taylor-слои и высшие obstruction classes</w:t>
            </w:r>
          </w:p>
        </w:tc>
        <w:tc>
          <w:tcPr>
            <w:tcW w:type="dxa" w:w="907"/>
            <w:vAlign w:val="center"/>
            <w:tcMar>
              <w:top w:w="80" w:type="dxa"/>
              <w:start w:w="100" w:type="dxa"/>
              <w:bottom w:w="80" w:type="dxa"/>
              <w:end w:w="100" w:type="dxa"/>
            </w:tcMar>
          </w:tcPr>
          <w:p>
            <w:pPr>
              <w:spacing w:before="0" w:after="0" w:line="240" w:lineRule="auto"/>
            </w:pPr>
            <w:hyperlink w:anchor="f_16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R_N^min = K[[t_1,...,t_m]]/(K_1,...,K_q).</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161. Miniversal base и формальное локальное кольцо</w:t>
            </w:r>
          </w:p>
        </w:tc>
        <w:tc>
          <w:tcPr>
            <w:tcW w:type="dxa" w:w="907"/>
            <w:vAlign w:val="center"/>
            <w:tcMar>
              <w:top w:w="80" w:type="dxa"/>
              <w:start w:w="100" w:type="dxa"/>
              <w:bottom w:w="80" w:type="dxa"/>
              <w:end w:w="100" w:type="dxa"/>
            </w:tcMar>
          </w:tcPr>
          <w:p>
            <w:pPr>
              <w:spacing w:before="0" w:after="0" w:line="240" w:lineRule="auto"/>
            </w:pPr>
            <w:hyperlink w:anchor="f_16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FormalModuli_K ≃ dgLie_K (при char K=0 и соответствующих homotopical hypotheses).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163. Derived formal moduli и граница применения</w:t>
            </w:r>
          </w:p>
        </w:tc>
        <w:tc>
          <w:tcPr>
            <w:tcW w:type="dxa" w:w="907"/>
            <w:vAlign w:val="center"/>
            <w:tcMar>
              <w:top w:w="80" w:type="dxa"/>
              <w:start w:w="100" w:type="dxa"/>
              <w:bottom w:w="80" w:type="dxa"/>
              <w:end w:w="100" w:type="dxa"/>
            </w:tcMar>
          </w:tcPr>
          <w:p>
            <w:pPr>
              <w:spacing w:before="0" w:after="0" w:line="240" w:lineRule="auto"/>
            </w:pPr>
            <w:hyperlink w:anchor="f_16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π_0Def_N не определяет H^{-1}(T_N^der).</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164. Stack versus coarse moduli: stabilizer no-go</w:t>
            </w:r>
          </w:p>
        </w:tc>
        <w:tc>
          <w:tcPr>
            <w:tcW w:type="dxa" w:w="907"/>
            <w:vAlign w:val="center"/>
            <w:tcMar>
              <w:top w:w="80" w:type="dxa"/>
              <w:start w:w="100" w:type="dxa"/>
              <w:bottom w:w="80" w:type="dxa"/>
              <w:end w:w="100" w:type="dxa"/>
            </w:tcMar>
          </w:tcPr>
          <w:p>
            <w:pPr>
              <w:spacing w:before="0" w:after="0" w:line="240" w:lineRule="auto"/>
            </w:pPr>
            <w:hyperlink w:anchor="f_16_2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S_N = ⨆_α S_{N,α}, P_mod(x)=(dim H^1,dim H^2,dim H^3,ν_K,HS_x,dim Aut_x,[K_lead]).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165. Стратификация локального модульного пространства</w:t>
            </w:r>
          </w:p>
        </w:tc>
        <w:tc>
          <w:tcPr>
            <w:tcW w:type="dxa" w:w="907"/>
            <w:vAlign w:val="center"/>
            <w:tcMar>
              <w:top w:w="80" w:type="dxa"/>
              <w:start w:w="100" w:type="dxa"/>
              <w:bottom w:w="80" w:type="dxa"/>
              <w:end w:w="100" w:type="dxa"/>
            </w:tcMar>
          </w:tcPr>
          <w:p>
            <w:pPr>
              <w:spacing w:before="0" w:after="0" w:line="240" w:lineRule="auto"/>
            </w:pPr>
            <w:hyperlink w:anchor="f_16_2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Δ_mod = Δ_HF ∪ Δ_ctrl ∪ Δ_Sch ∪ Δ_aut ∪ Δ_tan ∪ Δ_obs ∪ Δ_Kur ∪ Δ_conv ∪ Δ_orb ∪ Δ_D ∪ Δ_Dom ∪ Δ_glue.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166. Модульный переходный горизонт предсказательного метода</w:t>
            </w:r>
          </w:p>
        </w:tc>
        <w:tc>
          <w:tcPr>
            <w:tcW w:type="dxa" w:w="907"/>
            <w:vAlign w:val="center"/>
            <w:tcMar>
              <w:top w:w="80" w:type="dxa"/>
              <w:start w:w="100" w:type="dxa"/>
              <w:bottom w:w="80" w:type="dxa"/>
              <w:end w:w="100" w:type="dxa"/>
            </w:tcMar>
          </w:tcPr>
          <w:p>
            <w:pPr>
              <w:spacing w:before="0" w:after="0" w:line="240" w:lineRule="auto"/>
            </w:pPr>
            <w:hyperlink w:anchor="f_16_2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T2-F-16.29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η_K(t)=||K_{N_t}(x_t)||.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166. Модульный переходный горизонт предсказательного метода</w:t>
            </w:r>
          </w:p>
        </w:tc>
        <w:tc>
          <w:tcPr>
            <w:tcW w:type="dxa" w:w="907"/>
            <w:vAlign w:val="center"/>
            <w:tcMar>
              <w:top w:w="80" w:type="dxa"/>
              <w:start w:w="100" w:type="dxa"/>
              <w:bottom w:w="80" w:type="dxa"/>
              <w:end w:w="100" w:type="dxa"/>
            </w:tcMar>
          </w:tcPr>
          <w:p>
            <w:pPr>
              <w:spacing w:before="0" w:after="0" w:line="240" w:lineRule="auto"/>
            </w:pPr>
            <w:hyperlink w:anchor="f_16_2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T2-F-16.30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η_K(t)=||K_t(x_t)|| ≥ ε_K &gt; 0 для всех t∈I,</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168. Главная условная теорема T2-RP-v0.13</w:t>
            </w:r>
          </w:p>
        </w:tc>
        <w:tc>
          <w:tcPr>
            <w:tcW w:type="dxa" w:w="907"/>
            <w:vAlign w:val="center"/>
            <w:tcMar>
              <w:top w:w="80" w:type="dxa"/>
              <w:start w:w="100" w:type="dxa"/>
              <w:bottom w:w="80" w:type="dxa"/>
              <w:end w:w="100" w:type="dxa"/>
            </w:tcMar>
          </w:tcPr>
          <w:p>
            <w:pPr>
              <w:spacing w:before="0" w:after="0" w:line="240" w:lineRule="auto"/>
            </w:pPr>
            <w:hyperlink w:anchor="f_16_3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T2-F-16.31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Block_mod = B_ctrl ∪ B_Sch ∪ B_HF ∪ B_gauge ∪ B_conv ∪ B_Kur ∪ B_aut ∪ B_stack ∪ B_D ∪ B_Dom ∪ B_glue ∪ B_ind.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169. Blocker-safe вывод главы</w:t>
            </w:r>
          </w:p>
        </w:tc>
        <w:tc>
          <w:tcPr>
            <w:tcW w:type="dxa" w:w="907"/>
            <w:vAlign w:val="center"/>
            <w:tcMar>
              <w:top w:w="80" w:type="dxa"/>
              <w:start w:w="100" w:type="dxa"/>
              <w:bottom w:w="80" w:type="dxa"/>
              <w:end w:w="100" w:type="dxa"/>
            </w:tcMar>
          </w:tcPr>
          <w:p>
            <w:pPr>
              <w:spacing w:before="0" w:after="0" w:line="240" w:lineRule="auto"/>
            </w:pPr>
            <w:hyperlink w:anchor="f_16_3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T2-F-16.32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INPUT NAPG frame N, controlling data g, Artin bases, Hodge-Green package, candidate x, D/Dom CHECK l_infinity_identities; compute H1,H2,H3; test small extensions and Schlessinger maps BUILD contraction (p,i,h); verify id-ip=l1h+hl1 and uniform bounds SOLVE alp</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171. Вычислительный сертификат MOD-KUR v0.13</w:t>
            </w:r>
          </w:p>
        </w:tc>
        <w:tc>
          <w:tcPr>
            <w:tcW w:type="dxa" w:w="907"/>
            <w:vAlign w:val="center"/>
            <w:tcMar>
              <w:top w:w="80" w:type="dxa"/>
              <w:start w:w="100" w:type="dxa"/>
              <w:bottom w:w="80" w:type="dxa"/>
              <w:end w:w="100" w:type="dxa"/>
            </w:tcMar>
          </w:tcPr>
          <w:p>
            <w:pPr>
              <w:spacing w:before="0" w:after="0" w:line="240" w:lineRule="auto"/>
            </w:pPr>
            <w:hyperlink w:anchor="f_16_3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T2-F-16.33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checkpoint=T2-RP-v0.13; next=T2-RP-v0.14.</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173. Prior art, граница авторского вклада и контрольная точка</w:t>
            </w:r>
          </w:p>
        </w:tc>
        <w:tc>
          <w:tcPr>
            <w:tcW w:type="dxa" w:w="907"/>
            <w:vAlign w:val="center"/>
            <w:tcMar>
              <w:top w:w="80" w:type="dxa"/>
              <w:start w:w="100" w:type="dxa"/>
              <w:bottom w:w="80" w:type="dxa"/>
              <w:end w:w="100" w:type="dxa"/>
            </w:tcMar>
          </w:tcPr>
          <w:p>
            <w:pPr>
              <w:spacing w:before="0" w:after="0" w:line="240" w:lineRule="auto"/>
            </w:pPr>
            <w:hyperlink w:anchor="f_16_3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M_N = ⨆_{α∈A} S_α, S_α ∩ overline(S_β) ≠ ∅ ⇒ S_α ⊂ overline(S_β).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174. Модульное пространство как стратифицированный объект</w:t>
            </w:r>
          </w:p>
        </w:tc>
        <w:tc>
          <w:tcPr>
            <w:tcW w:type="dxa" w:w="907"/>
            <w:vAlign w:val="center"/>
            <w:tcMar>
              <w:top w:w="80" w:type="dxa"/>
              <w:start w:w="100" w:type="dxa"/>
              <w:bottom w:w="80" w:type="dxa"/>
              <w:end w:w="100" w:type="dxa"/>
            </w:tcMar>
          </w:tcPr>
          <w:p>
            <w:pPr>
              <w:spacing w:before="0" w:after="0" w:line="240" w:lineRule="auto"/>
            </w:pPr>
            <w:hyperlink w:anchor="f_17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P_str(x) = (dim H¹_x, dim H²_x, dim H³_x, dim Aut_x, rank dK_x, mult_x, HS_x, γ_x, λ_x, D_x, Dom_x).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175. Профиль страты и переходные инварианты</w:t>
            </w:r>
          </w:p>
        </w:tc>
        <w:tc>
          <w:tcPr>
            <w:tcW w:type="dxa" w:w="907"/>
            <w:vAlign w:val="center"/>
            <w:tcMar>
              <w:top w:w="80" w:type="dxa"/>
              <w:start w:w="100" w:type="dxa"/>
              <w:bottom w:w="80" w:type="dxa"/>
              <w:end w:w="100" w:type="dxa"/>
            </w:tcMar>
          </w:tcPr>
          <w:p>
            <w:pPr>
              <w:spacing w:before="0" w:after="0" w:line="240" w:lineRule="auto"/>
            </w:pPr>
            <w:hyperlink w:anchor="f_17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I_trans : M_N^reg → Λ, I_trans|_{S_α}=const.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175. Профиль страты и переходные инварианты</w:t>
            </w:r>
          </w:p>
        </w:tc>
        <w:tc>
          <w:tcPr>
            <w:tcW w:type="dxa" w:w="907"/>
            <w:vAlign w:val="center"/>
            <w:tcMar>
              <w:top w:w="80" w:type="dxa"/>
              <w:start w:w="100" w:type="dxa"/>
              <w:bottom w:w="80" w:type="dxa"/>
              <w:end w:w="100" w:type="dxa"/>
            </w:tcMar>
          </w:tcPr>
          <w:p>
            <w:pPr>
              <w:spacing w:before="0" w:after="0" w:line="240" w:lineRule="auto"/>
            </w:pPr>
            <w:hyperlink w:anchor="f_17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W = Δ_rank ∪ Δ_aut ∪ Δ_obs ∪ Δ_gap ∪ Δ_branch ∪ Δ_D ∪ Δ_Dom ∪ Δ_glue.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176. Wall, chamber и wall certificate</w:t>
            </w:r>
          </w:p>
        </w:tc>
        <w:tc>
          <w:tcPr>
            <w:tcW w:type="dxa" w:w="907"/>
            <w:vAlign w:val="center"/>
            <w:tcMar>
              <w:top w:w="80" w:type="dxa"/>
              <w:start w:w="100" w:type="dxa"/>
              <w:bottom w:w="80" w:type="dxa"/>
              <w:end w:w="100" w:type="dxa"/>
            </w:tcMar>
          </w:tcPr>
          <w:p>
            <w:pPr>
              <w:spacing w:before="0" w:after="0" w:line="240" w:lineRule="auto"/>
            </w:pPr>
            <w:hyperlink w:anchor="f_17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WC_{γ,t*}: Inv(C_-) ⇀ Inv(C_+).</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177. Wall-crossing operator и предел его корректности</w:t>
            </w:r>
          </w:p>
        </w:tc>
        <w:tc>
          <w:tcPr>
            <w:tcW w:type="dxa" w:w="907"/>
            <w:vAlign w:val="center"/>
            <w:tcMar>
              <w:top w:w="80" w:type="dxa"/>
              <w:start w:w="100" w:type="dxa"/>
              <w:bottom w:w="80" w:type="dxa"/>
              <w:end w:w="100" w:type="dxa"/>
            </w:tcMar>
          </w:tcPr>
          <w:p>
            <w:pPr>
              <w:spacing w:before="0" w:after="0" w:line="240" w:lineRule="auto"/>
            </w:pPr>
            <w:hyperlink w:anchor="f_17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Δ_W I = I_+ - T_{-→+}I_-,</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177. Wall-crossing operator и предел его корректности</w:t>
            </w:r>
          </w:p>
        </w:tc>
        <w:tc>
          <w:tcPr>
            <w:tcW w:type="dxa" w:w="907"/>
            <w:vAlign w:val="center"/>
            <w:tcMar>
              <w:top w:w="80" w:type="dxa"/>
              <w:start w:w="100" w:type="dxa"/>
              <w:bottom w:w="80" w:type="dxa"/>
              <w:end w:w="100" w:type="dxa"/>
            </w:tcMar>
          </w:tcPr>
          <w:p>
            <w:pPr>
              <w:spacing w:before="0" w:after="0" w:line="240" w:lineRule="auto"/>
            </w:pPr>
            <w:hyperlink w:anchor="f_17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Bif(K) = {(t,x): K_t(x)=0, rank D_xK_t &lt; r_reg}.</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178. Бифуркационный локус и reduced equation</w:t>
            </w:r>
          </w:p>
        </w:tc>
        <w:tc>
          <w:tcPr>
            <w:tcW w:type="dxa" w:w="907"/>
            <w:vAlign w:val="center"/>
            <w:tcMar>
              <w:top w:w="80" w:type="dxa"/>
              <w:start w:w="100" w:type="dxa"/>
              <w:bottom w:w="80" w:type="dxa"/>
              <w:end w:w="100" w:type="dxa"/>
            </w:tcMar>
          </w:tcPr>
          <w:p>
            <w:pPr>
              <w:spacing w:before="0" w:after="0" w:line="240" w:lineRule="auto"/>
            </w:pPr>
            <w:hyperlink w:anchor="f_17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fold: g=0, g_a=0, g_{aa}≠0, g_t≠0; cusp: g=g_a=g_{aa}=0, g_{aaa}g_t≠0.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178. Бифуркационный локус и reduced equation</w:t>
            </w:r>
          </w:p>
        </w:tc>
        <w:tc>
          <w:tcPr>
            <w:tcW w:type="dxa" w:w="907"/>
            <w:vAlign w:val="center"/>
            <w:tcMar>
              <w:top w:w="80" w:type="dxa"/>
              <w:start w:w="100" w:type="dxa"/>
              <w:bottom w:w="80" w:type="dxa"/>
              <w:end w:w="100" w:type="dxa"/>
            </w:tcMar>
          </w:tcPr>
          <w:p>
            <w:pPr>
              <w:spacing w:before="0" w:after="0" w:line="240" w:lineRule="auto"/>
            </w:pPr>
            <w:hyperlink w:anchor="f_17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Branch(Z/P) = π₀(Z~ \ Ram(ν)).</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180. Ветви, нормализация и branch ledger</w:t>
            </w:r>
          </w:p>
        </w:tc>
        <w:tc>
          <w:tcPr>
            <w:tcW w:type="dxa" w:w="907"/>
            <w:vAlign w:val="center"/>
            <w:tcMar>
              <w:top w:w="80" w:type="dxa"/>
              <w:start w:w="100" w:type="dxa"/>
              <w:bottom w:w="80" w:type="dxa"/>
              <w:end w:w="100" w:type="dxa"/>
            </w:tcMar>
          </w:tcPr>
          <w:p>
            <w:pPr>
              <w:spacing w:before="0" w:after="0" w:line="240" w:lineRule="auto"/>
            </w:pPr>
            <w:hyperlink w:anchor="f_17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Mon: π₁(U,t₀) → Perm(B_{t₀}).</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181. Монодромия ветвей</w:t>
            </w:r>
          </w:p>
        </w:tc>
        <w:tc>
          <w:tcPr>
            <w:tcW w:type="dxa" w:w="907"/>
            <w:vAlign w:val="center"/>
            <w:tcMar>
              <w:top w:w="80" w:type="dxa"/>
              <w:start w:w="100" w:type="dxa"/>
              <w:bottom w:w="80" w:type="dxa"/>
              <w:end w:w="100" w:type="dxa"/>
            </w:tcMar>
          </w:tcPr>
          <w:p>
            <w:pPr>
              <w:spacing w:before="0" w:after="0" w:line="240" w:lineRule="auto"/>
            </w:pPr>
            <w:hyperlink w:anchor="f_17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ρ: π₁(U,t₀) → Aut(V_{t₀}).</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181. Монодромия ветвей</w:t>
            </w:r>
          </w:p>
        </w:tc>
        <w:tc>
          <w:tcPr>
            <w:tcW w:type="dxa" w:w="907"/>
            <w:vAlign w:val="center"/>
            <w:tcMar>
              <w:top w:w="80" w:type="dxa"/>
              <w:start w:w="100" w:type="dxa"/>
              <w:bottom w:w="80" w:type="dxa"/>
              <w:end w:w="100" w:type="dxa"/>
            </w:tcMar>
          </w:tcPr>
          <w:p>
            <w:pPr>
              <w:spacing w:before="0" w:after="0" w:line="240" w:lineRule="auto"/>
            </w:pPr>
            <w:hyperlink w:anchor="f_17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T_γ = WC_m ∘ ... ∘ WC_2 ∘ WC_1.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183. Wall-crossing и монодромия: path dependence</w:t>
            </w:r>
          </w:p>
        </w:tc>
        <w:tc>
          <w:tcPr>
            <w:tcW w:type="dxa" w:w="907"/>
            <w:vAlign w:val="center"/>
            <w:tcMar>
              <w:top w:w="80" w:type="dxa"/>
              <w:start w:w="100" w:type="dxa"/>
              <w:bottom w:w="80" w:type="dxa"/>
              <w:end w:w="100" w:type="dxa"/>
            </w:tcMar>
          </w:tcPr>
          <w:p>
            <w:pPr>
              <w:spacing w:before="0" w:after="0" w:line="240" w:lineRule="auto"/>
            </w:pPr>
            <w:hyperlink w:anchor="f_17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WC_i WC_j = WC_j WC_i или WC_i WC_j WC_i = WC_j WC_i WC_j</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183. Wall-crossing и монодромия: path dependence</w:t>
            </w:r>
          </w:p>
        </w:tc>
        <w:tc>
          <w:tcPr>
            <w:tcW w:type="dxa" w:w="907"/>
            <w:vAlign w:val="center"/>
            <w:tcMar>
              <w:top w:w="80" w:type="dxa"/>
              <w:start w:w="100" w:type="dxa"/>
              <w:bottom w:w="80" w:type="dxa"/>
              <w:end w:w="100" w:type="dxa"/>
            </w:tcMar>
          </w:tcPr>
          <w:p>
            <w:pPr>
              <w:spacing w:before="0" w:after="0" w:line="240" w:lineRule="auto"/>
            </w:pPr>
            <w:hyperlink w:anchor="f_17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P_W(t,b)=(dist(t,W), σ_min(D_xK_t), mult_b, MonOrb_b, η_K, η_H, λ_b, CGI_b).</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186. Переходный индекс и проективно-гармонический слой</w:t>
            </w:r>
          </w:p>
        </w:tc>
        <w:tc>
          <w:tcPr>
            <w:tcW w:type="dxa" w:w="907"/>
            <w:vAlign w:val="center"/>
            <w:tcMar>
              <w:top w:w="80" w:type="dxa"/>
              <w:start w:w="100" w:type="dxa"/>
              <w:bottom w:w="80" w:type="dxa"/>
              <w:end w:w="100" w:type="dxa"/>
            </w:tcMar>
          </w:tcPr>
          <w:p>
            <w:pPr>
              <w:spacing w:before="0" w:after="0" w:line="240" w:lineRule="auto"/>
            </w:pPr>
            <w:hyperlink w:anchor="f_17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Δ_WB = Δ_strat ∪ Δ_wall ∪ Δ_bif ∪ Δ_ram ∪ Δ_mon ∪ Δ_path ∪ Δ_inv.</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187. Совокупный горизонт T2-RP-v0.14</w:t>
            </w:r>
          </w:p>
        </w:tc>
        <w:tc>
          <w:tcPr>
            <w:tcW w:type="dxa" w:w="907"/>
            <w:vAlign w:val="center"/>
            <w:tcMar>
              <w:top w:w="80" w:type="dxa"/>
              <w:start w:w="100" w:type="dxa"/>
              <w:bottom w:w="80" w:type="dxa"/>
              <w:end w:w="100" w:type="dxa"/>
            </w:tcMar>
          </w:tcPr>
          <w:p>
            <w:pPr>
              <w:spacing w:before="0" w:after="0" w:line="240" w:lineRule="auto"/>
            </w:pPr>
            <w:hyperlink w:anchor="f_17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Δ_safe^{v0.14} = Δ_mod ∪ Δ_WB.</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187. Совокупный горизонт T2-RP-v0.14</w:t>
            </w:r>
          </w:p>
        </w:tc>
        <w:tc>
          <w:tcPr>
            <w:tcW w:type="dxa" w:w="907"/>
            <w:vAlign w:val="center"/>
            <w:tcMar>
              <w:top w:w="80" w:type="dxa"/>
              <w:start w:w="100" w:type="dxa"/>
              <w:bottom w:w="80" w:type="dxa"/>
              <w:end w:w="100" w:type="dxa"/>
            </w:tcMar>
          </w:tcPr>
          <w:p>
            <w:pPr>
              <w:spacing w:before="0" w:after="0" w:line="240" w:lineRule="auto"/>
            </w:pPr>
            <w:hyperlink w:anchor="f_17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γ∩Δ_safe^{v0.14}=∅ ⇒ NO-WALL-CROSSING-IN-MODEL.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188. Главная условная теорема T2-RP-v0.14</w:t>
            </w:r>
          </w:p>
        </w:tc>
        <w:tc>
          <w:tcPr>
            <w:tcW w:type="dxa" w:w="907"/>
            <w:vAlign w:val="center"/>
            <w:tcMar>
              <w:top w:w="80" w:type="dxa"/>
              <w:start w:w="100" w:type="dxa"/>
              <w:bottom w:w="80" w:type="dxa"/>
              <w:end w:w="100" w:type="dxa"/>
            </w:tcMar>
          </w:tcPr>
          <w:p>
            <w:pPr>
              <w:spacing w:before="0" w:after="0" w:line="240" w:lineRule="auto"/>
            </w:pPr>
            <w:hyperlink w:anchor="f_17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Block_WB = B_strat ∪ B_Whit ∪ B_wall ∪ B_bif ∪ B_branch ∪ B_mon ∪ B_path ∪ B_inv ∪ B_D ∪ B_Dom ∪ B_glue ∪ B_ind.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189. Blocker-safe вывод</w:t>
            </w:r>
          </w:p>
        </w:tc>
        <w:tc>
          <w:tcPr>
            <w:tcW w:type="dxa" w:w="907"/>
            <w:vAlign w:val="center"/>
            <w:tcMar>
              <w:top w:w="80" w:type="dxa"/>
              <w:start w:w="100" w:type="dxa"/>
              <w:bottom w:w="80" w:type="dxa"/>
              <w:end w:w="100" w:type="dxa"/>
            </w:tcMar>
          </w:tcPr>
          <w:p>
            <w:pPr>
              <w:spacing w:before="0" w:after="0" w:line="240" w:lineRule="auto"/>
            </w:pPr>
            <w:hyperlink w:anchor="f_17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 xml:space="preserve">INPUT family K_t, stratification candidate, path γ, branch data, invariant I, D/Dom CHECK Kuranishi charts; verify frontier/Whitney/control data; compute discriminant and chambers NORMALIZE zero locus; assign branch_id; continue branches; compute Mon and wall </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191. Вычислительный сертификат WC-MON v0.14</w:t>
            </w:r>
          </w:p>
        </w:tc>
        <w:tc>
          <w:tcPr>
            <w:tcW w:type="dxa" w:w="907"/>
            <w:vAlign w:val="center"/>
            <w:tcMar>
              <w:top w:w="80" w:type="dxa"/>
              <w:start w:w="100" w:type="dxa"/>
              <w:bottom w:w="80" w:type="dxa"/>
              <w:end w:w="100" w:type="dxa"/>
            </w:tcMar>
          </w:tcPr>
          <w:p>
            <w:pPr>
              <w:spacing w:before="0" w:after="0" w:line="240" w:lineRule="auto"/>
            </w:pPr>
            <w:hyperlink w:anchor="f_17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T2-F-17.20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checkpoint=T2-RP-v0.14; next=T2-RP-v0.15.</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193. Prior art, граница авторского вклада и контрольная точка</w:t>
            </w:r>
          </w:p>
        </w:tc>
        <w:tc>
          <w:tcPr>
            <w:tcW w:type="dxa" w:w="907"/>
            <w:vAlign w:val="center"/>
            <w:tcMar>
              <w:top w:w="80" w:type="dxa"/>
              <w:start w:w="100" w:type="dxa"/>
              <w:bottom w:w="80" w:type="dxa"/>
              <w:end w:w="100" w:type="dxa"/>
            </w:tcMar>
          </w:tcPr>
          <w:p>
            <w:pPr>
              <w:spacing w:before="0" w:after="0" w:line="240" w:lineRule="auto"/>
            </w:pPr>
            <w:hyperlink w:anchor="f_17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|𝔐| ← 𝔐 ← 𝔐ᵈᵉʳ.</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194. Три уровня глобального пространства модулей</w:t>
            </w:r>
          </w:p>
        </w:tc>
        <w:tc>
          <w:tcPr>
            <w:tcW w:type="dxa" w:w="907"/>
            <w:vAlign w:val="center"/>
            <w:tcMar>
              <w:top w:w="80" w:type="dxa"/>
              <w:start w:w="100" w:type="dxa"/>
              <w:bottom w:w="80" w:type="dxa"/>
              <w:end w:w="100" w:type="dxa"/>
            </w:tcMar>
          </w:tcPr>
          <w:p>
            <w:pPr>
              <w:spacing w:before="0" w:after="0" w:line="240" w:lineRule="auto"/>
            </w:pPr>
            <w:hyperlink w:anchor="f_18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𝒦ᵢ=(Uᵢ,Eᵢ,sᵢ,Gᵢ,ψᵢ),</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195. Локальные карты Кураниши и footprints</w:t>
            </w:r>
          </w:p>
        </w:tc>
        <w:tc>
          <w:tcPr>
            <w:tcW w:type="dxa" w:w="907"/>
            <w:vAlign w:val="center"/>
            <w:tcMar>
              <w:top w:w="80" w:type="dxa"/>
              <w:start w:w="100" w:type="dxa"/>
              <w:bottom w:w="80" w:type="dxa"/>
              <w:end w:w="100" w:type="dxa"/>
            </w:tcMar>
          </w:tcPr>
          <w:p>
            <w:pPr>
              <w:spacing w:before="0" w:after="0" w:line="240" w:lineRule="auto"/>
            </w:pPr>
            <w:hyperlink w:anchor="f_18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vdim(𝒦ᵢ)=dim Uᵢ-rank Eᵢ-dim Gᵢ</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195. Локальные карты Кураниши и footprints</w:t>
            </w:r>
          </w:p>
        </w:tc>
        <w:tc>
          <w:tcPr>
            <w:tcW w:type="dxa" w:w="907"/>
            <w:vAlign w:val="center"/>
            <w:tcMar>
              <w:top w:w="80" w:type="dxa"/>
              <w:start w:w="100" w:type="dxa"/>
              <w:bottom w:w="80" w:type="dxa"/>
              <w:end w:w="100" w:type="dxa"/>
            </w:tcMar>
          </w:tcPr>
          <w:p>
            <w:pPr>
              <w:spacing w:before="0" w:after="0" w:line="240" w:lineRule="auto"/>
            </w:pPr>
            <w:hyperlink w:anchor="f_18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sⱼ∘φᵢⱼ = ĥφᵢⱼ∘sᵢ.</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196. Coordinate changes и слабая 2-когерентность</w:t>
            </w:r>
          </w:p>
        </w:tc>
        <w:tc>
          <w:tcPr>
            <w:tcW w:type="dxa" w:w="907"/>
            <w:vAlign w:val="center"/>
            <w:tcMar>
              <w:top w:w="80" w:type="dxa"/>
              <w:start w:w="100" w:type="dxa"/>
              <w:bottom w:w="80" w:type="dxa"/>
              <w:end w:w="100" w:type="dxa"/>
            </w:tcMar>
          </w:tcPr>
          <w:p>
            <w:pPr>
              <w:spacing w:before="0" w:after="0" w:line="240" w:lineRule="auto"/>
            </w:pPr>
            <w:hyperlink w:anchor="f_18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αᵢⱼₖ: Φⱼₖ∘Φᵢⱼ ⇒ Φᵢₖ,</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196. Coordinate changes и слабая 2-когерентность</w:t>
            </w:r>
          </w:p>
        </w:tc>
        <w:tc>
          <w:tcPr>
            <w:tcW w:type="dxa" w:w="907"/>
            <w:vAlign w:val="center"/>
            <w:tcMar>
              <w:top w:w="80" w:type="dxa"/>
              <w:start w:w="100" w:type="dxa"/>
              <w:bottom w:w="80" w:type="dxa"/>
              <w:end w:w="100" w:type="dxa"/>
            </w:tcMar>
          </w:tcPr>
          <w:p>
            <w:pPr>
              <w:spacing w:before="0" w:after="0" w:line="240" w:lineRule="auto"/>
            </w:pPr>
            <w:hyperlink w:anchor="f_18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𝔐(U) ≃ Tot(𝔐(U_•)).</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197. Čech nerve и effective descent</w:t>
            </w:r>
          </w:p>
        </w:tc>
        <w:tc>
          <w:tcPr>
            <w:tcW w:type="dxa" w:w="907"/>
            <w:vAlign w:val="center"/>
            <w:tcMar>
              <w:top w:w="80" w:type="dxa"/>
              <w:start w:w="100" w:type="dxa"/>
              <w:bottom w:w="80" w:type="dxa"/>
              <w:end w:w="100" w:type="dxa"/>
            </w:tcMar>
          </w:tcPr>
          <w:p>
            <w:pPr>
              <w:spacing w:before="0" w:after="0" w:line="240" w:lineRule="auto"/>
            </w:pPr>
            <w:hyperlink w:anchor="f_18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𝕋ₓᵛⁱʳ=[ 𝔤ₓ → TₓUᵢ → Eᵢ,ₓ ],</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198. Виртуальный касательный комплекс</w:t>
            </w:r>
          </w:p>
        </w:tc>
        <w:tc>
          <w:tcPr>
            <w:tcW w:type="dxa" w:w="907"/>
            <w:vAlign w:val="center"/>
            <w:tcMar>
              <w:top w:w="80" w:type="dxa"/>
              <w:start w:w="100" w:type="dxa"/>
              <w:bottom w:w="80" w:type="dxa"/>
              <w:end w:w="100" w:type="dxa"/>
            </w:tcMar>
          </w:tcPr>
          <w:p>
            <w:pPr>
              <w:spacing w:before="0" w:after="0" w:line="240" w:lineRule="auto"/>
            </w:pPr>
            <w:hyperlink w:anchor="f_18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vdimₓ = -dim H⁻¹ + dim H⁰ - dim H¹.</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198. Виртуальный касательный комплекс</w:t>
            </w:r>
          </w:p>
        </w:tc>
        <w:tc>
          <w:tcPr>
            <w:tcW w:type="dxa" w:w="907"/>
            <w:vAlign w:val="center"/>
            <w:tcMar>
              <w:top w:w="80" w:type="dxa"/>
              <w:start w:w="100" w:type="dxa"/>
              <w:bottom w:w="80" w:type="dxa"/>
              <w:end w:w="100" w:type="dxa"/>
            </w:tcMar>
          </w:tcPr>
          <w:p>
            <w:pPr>
              <w:spacing w:before="0" w:after="0" w:line="240" w:lineRule="auto"/>
            </w:pPr>
            <w:hyperlink w:anchor="f_18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φ:E•→L_𝔐, E• perfect, amp(E•)⊂[-1,0],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199. Perfect obstruction theory и intrinsic normal cone</w:t>
            </w:r>
          </w:p>
        </w:tc>
        <w:tc>
          <w:tcPr>
            <w:tcW w:type="dxa" w:w="907"/>
            <w:vAlign w:val="center"/>
            <w:tcMar>
              <w:top w:w="80" w:type="dxa"/>
              <w:start w:w="100" w:type="dxa"/>
              <w:bottom w:w="80" w:type="dxa"/>
              <w:end w:w="100" w:type="dxa"/>
            </w:tcMar>
          </w:tcPr>
          <w:p>
            <w:pPr>
              <w:spacing w:before="0" w:after="0" w:line="240" w:lineRule="auto"/>
            </w:pPr>
            <w:hyperlink w:anchor="f_18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Ob_𝔐 = h¹((E•)∨), 𝔑_𝔐=h¹/h⁰(L_𝔐∨).</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199. Perfect obstruction theory и intrinsic normal cone</w:t>
            </w:r>
          </w:p>
        </w:tc>
        <w:tc>
          <w:tcPr>
            <w:tcW w:type="dxa" w:w="907"/>
            <w:vAlign w:val="center"/>
            <w:tcMar>
              <w:top w:w="80" w:type="dxa"/>
              <w:start w:w="100" w:type="dxa"/>
              <w:bottom w:w="80" w:type="dxa"/>
              <w:end w:w="100" w:type="dxa"/>
            </w:tcMar>
          </w:tcPr>
          <w:p>
            <w:pPr>
              <w:spacing w:before="0" w:after="0" w:line="240" w:lineRule="auto"/>
            </w:pPr>
            <w:hyperlink w:anchor="f_18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qⱼₖ∘qᵢⱼ ≃ qᵢₖ,</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200. Склейка локальных obstruction theories</w:t>
            </w:r>
          </w:p>
        </w:tc>
        <w:tc>
          <w:tcPr>
            <w:tcW w:type="dxa" w:w="907"/>
            <w:vAlign w:val="center"/>
            <w:tcMar>
              <w:top w:w="80" w:type="dxa"/>
              <w:start w:w="100" w:type="dxa"/>
              <w:bottom w:w="80" w:type="dxa"/>
              <w:end w:w="100" w:type="dxa"/>
            </w:tcMar>
          </w:tcPr>
          <w:p>
            <w:pPr>
              <w:spacing w:before="0" w:after="0" w:line="240" w:lineRule="auto"/>
            </w:pPr>
            <w:hyperlink w:anchor="f_18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cᵢⱼₖ=qᵢₖ⁻¹ qⱼₖ qᵢⱼ ∈ Z, [c]∈Čech H²(X,Z).</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200. Склейка локальных obstruction theories</w:t>
            </w:r>
          </w:p>
        </w:tc>
        <w:tc>
          <w:tcPr>
            <w:tcW w:type="dxa" w:w="907"/>
            <w:vAlign w:val="center"/>
            <w:tcMar>
              <w:top w:w="80" w:type="dxa"/>
              <w:start w:w="100" w:type="dxa"/>
              <w:bottom w:w="80" w:type="dxa"/>
              <w:end w:w="100" w:type="dxa"/>
            </w:tcMar>
          </w:tcPr>
          <w:p>
            <w:pPr>
              <w:spacing w:before="0" w:after="0" w:line="240" w:lineRule="auto"/>
            </w:pPr>
            <w:hyperlink w:anchor="f_18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det(𝕋ᵛⁱʳ)=⊗ⱼ(det Hʲ(𝕋ᵛⁱʳ))^{(-1)ʲ}.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201. Детерминант, ориентация и виртуальная размерность</w:t>
            </w:r>
          </w:p>
        </w:tc>
        <w:tc>
          <w:tcPr>
            <w:tcW w:type="dxa" w:w="907"/>
            <w:vAlign w:val="center"/>
            <w:tcMar>
              <w:top w:w="80" w:type="dxa"/>
              <w:start w:w="100" w:type="dxa"/>
              <w:bottom w:w="80" w:type="dxa"/>
              <w:end w:w="100" w:type="dxa"/>
            </w:tcMar>
          </w:tcPr>
          <w:p>
            <w:pPr>
              <w:spacing w:before="0" w:after="0" w:line="240" w:lineRule="auto"/>
            </w:pPr>
            <w:hyperlink w:anchor="f_18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Mon:π₁(P\Δ,p₀)→Perm(𝔅_{p₀}).</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202. Branch stack и монодромия</w:t>
            </w:r>
          </w:p>
        </w:tc>
        <w:tc>
          <w:tcPr>
            <w:tcW w:type="dxa" w:w="907"/>
            <w:vAlign w:val="center"/>
            <w:tcMar>
              <w:top w:w="80" w:type="dxa"/>
              <w:start w:w="100" w:type="dxa"/>
              <w:bottom w:w="80" w:type="dxa"/>
              <w:end w:w="100" w:type="dxa"/>
            </w:tcMar>
          </w:tcPr>
          <w:p>
            <w:pPr>
              <w:spacing w:before="0" w:after="0" w:line="240" w:lineRule="auto"/>
            </w:pPr>
            <w:hyperlink w:anchor="f_18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PredCar_N=(𝔐_Nᵈᵉʳ→P, 𝕋ᵛⁱʳ, Ob_N, 𝔠_N, 𝔅_N, Rep_N, λ_N, D_N, Dom_N, E_N).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203. Глобальный предсказательный носитель KLT-RBD</w:t>
            </w:r>
          </w:p>
        </w:tc>
        <w:tc>
          <w:tcPr>
            <w:tcW w:type="dxa" w:w="907"/>
            <w:vAlign w:val="center"/>
            <w:tcMar>
              <w:top w:w="80" w:type="dxa"/>
              <w:start w:w="100" w:type="dxa"/>
              <w:bottom w:w="80" w:type="dxa"/>
              <w:end w:w="100" w:type="dxa"/>
            </w:tcMar>
          </w:tcPr>
          <w:p>
            <w:pPr>
              <w:spacing w:before="0" w:after="0" w:line="240" w:lineRule="auto"/>
            </w:pPr>
            <w:hyperlink w:anchor="f_18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cᵢⱼₖ=gₖᵢ gⱼₖ gᵢⱼ.</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204. Local-to-global no-go theorem</w:t>
            </w:r>
          </w:p>
        </w:tc>
        <w:tc>
          <w:tcPr>
            <w:tcW w:type="dxa" w:w="907"/>
            <w:vAlign w:val="center"/>
            <w:tcMar>
              <w:top w:w="80" w:type="dxa"/>
              <w:start w:w="100" w:type="dxa"/>
              <w:bottom w:w="80" w:type="dxa"/>
              <w:end w:w="100" w:type="dxa"/>
            </w:tcMar>
          </w:tcPr>
          <w:p>
            <w:pPr>
              <w:spacing w:before="0" w:after="0" w:line="240" w:lineRule="auto"/>
            </w:pPr>
            <w:hyperlink w:anchor="f_18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local lift + local obstruction=0 ⇏ global lift.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204. Local-to-global no-go theorem</w:t>
            </w:r>
          </w:p>
        </w:tc>
        <w:tc>
          <w:tcPr>
            <w:tcW w:type="dxa" w:w="907"/>
            <w:vAlign w:val="center"/>
            <w:tcMar>
              <w:top w:w="80" w:type="dxa"/>
              <w:start w:w="100" w:type="dxa"/>
              <w:bottom w:w="80" w:type="dxa"/>
              <w:end w:w="100" w:type="dxa"/>
            </w:tcMar>
          </w:tcPr>
          <w:p>
            <w:pPr>
              <w:spacing w:before="0" w:after="0" w:line="240" w:lineRule="auto"/>
            </w:pPr>
            <w:hyperlink w:anchor="f_18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|𝔐₁|≅|𝔐₂| ⇏ 𝔐₁≃𝔐₂ и ⇏ 𝔐₁ᵈᵉʳ≃𝔐₂ᵈᵉʳ.</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205. Coarse-moduli no-go theorem</w:t>
            </w:r>
          </w:p>
        </w:tc>
        <w:tc>
          <w:tcPr>
            <w:tcW w:type="dxa" w:w="907"/>
            <w:vAlign w:val="center"/>
            <w:tcMar>
              <w:top w:w="80" w:type="dxa"/>
              <w:start w:w="100" w:type="dxa"/>
              <w:bottom w:w="80" w:type="dxa"/>
              <w:end w:w="100" w:type="dxa"/>
            </w:tcMar>
          </w:tcPr>
          <w:p>
            <w:pPr>
              <w:spacing w:before="0" w:after="0" w:line="240" w:lineRule="auto"/>
            </w:pPr>
            <w:hyperlink w:anchor="f_18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η_desc = ||defect of higher descent||, η_ob = ||h(ob)||, η_ext = ||Π_E(ob)||.</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206. Глобальные невязки и условная численная реализация</w:t>
            </w:r>
          </w:p>
        </w:tc>
        <w:tc>
          <w:tcPr>
            <w:tcW w:type="dxa" w:w="907"/>
            <w:vAlign w:val="center"/>
            <w:tcMar>
              <w:top w:w="80" w:type="dxa"/>
              <w:start w:w="100" w:type="dxa"/>
              <w:bottom w:w="80" w:type="dxa"/>
              <w:end w:w="100" w:type="dxa"/>
            </w:tcMar>
          </w:tcPr>
          <w:p>
            <w:pPr>
              <w:spacing w:before="0" w:after="0" w:line="240" w:lineRule="auto"/>
            </w:pPr>
            <w:hyperlink w:anchor="f_18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Δ_stack = Δ_desc ∪ Δ_coh ∪ Δ_perf ∪ Δ_amp ∪ Δ_vrank ∪ Δ_orient ∪ Δ_branch ∪ Δ_mon ∪ Δ_Rep ∪ Δ_D ∪ Δ_Dom ∪ Δ_ext ∪ Δ_ind.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207. Глобальный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18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Δ_safe^{v0.15}=Δ_safe^{v0.14}∪Δ_stack.</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207. Глобальный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18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P_stack(p)=([amp 𝕋ᵛⁱʳ], h⁻¹,h⁰,h¹, vdim, [det], [desc], MonOrb, η_ob, η_ext, λ, CGI).</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208. Глобальный структурный профиль</w:t>
            </w:r>
          </w:p>
        </w:tc>
        <w:tc>
          <w:tcPr>
            <w:tcW w:type="dxa" w:w="907"/>
            <w:vAlign w:val="center"/>
            <w:tcMar>
              <w:top w:w="80" w:type="dxa"/>
              <w:start w:w="100" w:type="dxa"/>
              <w:bottom w:w="80" w:type="dxa"/>
              <w:end w:w="100" w:type="dxa"/>
            </w:tcMar>
          </w:tcPr>
          <w:p>
            <w:pPr>
              <w:spacing w:before="0" w:after="0" w:line="240" w:lineRule="auto"/>
            </w:pPr>
            <w:hyperlink w:anchor="f_18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γ∩Δ_safe^{v0.15}=∅ ⇒ NO-GLOBAL-TRANSITION-IN-MODEL.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209. Главная условная теорема T2-RP-v0.15</w:t>
            </w:r>
          </w:p>
        </w:tc>
        <w:tc>
          <w:tcPr>
            <w:tcW w:type="dxa" w:w="907"/>
            <w:vAlign w:val="center"/>
            <w:tcMar>
              <w:top w:w="80" w:type="dxa"/>
              <w:start w:w="100" w:type="dxa"/>
              <w:bottom w:w="80" w:type="dxa"/>
              <w:end w:w="100" w:type="dxa"/>
            </w:tcMar>
          </w:tcPr>
          <w:p>
            <w:pPr>
              <w:spacing w:before="0" w:after="0" w:line="240" w:lineRule="auto"/>
            </w:pPr>
            <w:hyperlink w:anchor="f_18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Block_stack=B_atlas∪B_2coc∪B_eff∪B_perf∪B_amp∪B_vtan∪B_branch∪B_Rep∪B_D∪B_Dom∪B_E∪B_ind.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210. Blocker-safe вердикт</w:t>
            </w:r>
          </w:p>
        </w:tc>
        <w:tc>
          <w:tcPr>
            <w:tcW w:type="dxa" w:w="907"/>
            <w:vAlign w:val="center"/>
            <w:tcMar>
              <w:top w:w="80" w:type="dxa"/>
              <w:start w:w="100" w:type="dxa"/>
              <w:bottom w:w="80" w:type="dxa"/>
              <w:end w:w="100" w:type="dxa"/>
            </w:tcMar>
          </w:tcPr>
          <w:p>
            <w:pPr>
              <w:spacing w:before="0" w:after="0" w:line="240" w:lineRule="auto"/>
            </w:pPr>
            <w:hyperlink w:anchor="f_18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T2-F-18.25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checkpoint=T2-RP-v0.15; next=T2-RP-v0.16.</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215. Контрольная точка и граница вывода</w:t>
            </w:r>
          </w:p>
        </w:tc>
        <w:tc>
          <w:tcPr>
            <w:tcW w:type="dxa" w:w="907"/>
            <w:vAlign w:val="center"/>
            <w:tcMar>
              <w:top w:w="80" w:type="dxa"/>
              <w:start w:w="100" w:type="dxa"/>
              <w:bottom w:w="80" w:type="dxa"/>
              <w:end w:w="100" w:type="dxa"/>
            </w:tcMar>
          </w:tcPr>
          <w:p>
            <w:pPr>
              <w:spacing w:before="0" w:after="0" w:line="240" w:lineRule="auto"/>
            </w:pPr>
            <w:hyperlink w:anchor="f_18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V0 → V1 не влечёт P0 → E0.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216. Четыре несовпадающих слоя знания</w:t>
            </w:r>
          </w:p>
        </w:tc>
        <w:tc>
          <w:tcPr>
            <w:tcW w:type="dxa" w:w="907"/>
            <w:vAlign w:val="center"/>
            <w:tcMar>
              <w:top w:w="80" w:type="dxa"/>
              <w:start w:w="100" w:type="dxa"/>
              <w:bottom w:w="80" w:type="dxa"/>
              <w:end w:w="100" w:type="dxa"/>
            </w:tcMar>
          </w:tcPr>
          <w:p>
            <w:pPr>
              <w:spacing w:before="0" w:after="0" w:line="240" w:lineRule="auto"/>
            </w:pPr>
            <w:hyperlink w:anchor="f_19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φ:E•→L_𝔐, amp(E•)⊂[-1,0].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217. Цикловый носитель и виртуальная размерность</w:t>
            </w:r>
          </w:p>
        </w:tc>
        <w:tc>
          <w:tcPr>
            <w:tcW w:type="dxa" w:w="907"/>
            <w:vAlign w:val="center"/>
            <w:tcMar>
              <w:top w:w="80" w:type="dxa"/>
              <w:start w:w="100" w:type="dxa"/>
              <w:bottom w:w="80" w:type="dxa"/>
              <w:end w:w="100" w:type="dxa"/>
            </w:tcMar>
          </w:tcPr>
          <w:p>
            <w:pPr>
              <w:spacing w:before="0" w:after="0" w:line="240" w:lineRule="auto"/>
            </w:pPr>
            <w:hyperlink w:anchor="f_19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vdim(𝔐)=rk(E•)=rk(E⁰)-rk(E⁻¹).</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217. Цикловый носитель и виртуальная размерность</w:t>
            </w:r>
          </w:p>
        </w:tc>
        <w:tc>
          <w:tcPr>
            <w:tcW w:type="dxa" w:w="907"/>
            <w:vAlign w:val="center"/>
            <w:tcMar>
              <w:top w:w="80" w:type="dxa"/>
              <w:start w:w="100" w:type="dxa"/>
              <w:bottom w:w="80" w:type="dxa"/>
              <w:end w:w="100" w:type="dxa"/>
            </w:tcMar>
          </w:tcPr>
          <w:p>
            <w:pPr>
              <w:spacing w:before="0" w:after="0" w:line="240" w:lineRule="auto"/>
            </w:pPr>
            <w:hyperlink w:anchor="f_19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[𝔐]ᵛⁱʳ = 0_𝔈^! [𝔠_𝔐] ∈ A_vdim(𝔐).</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218. Конструкция виртуального фундаментального класса</w:t>
            </w:r>
          </w:p>
        </w:tc>
        <w:tc>
          <w:tcPr>
            <w:tcW w:type="dxa" w:w="907"/>
            <w:vAlign w:val="center"/>
            <w:tcMar>
              <w:top w:w="80" w:type="dxa"/>
              <w:start w:w="100" w:type="dxa"/>
              <w:bottom w:w="80" w:type="dxa"/>
              <w:end w:w="100" w:type="dxa"/>
            </w:tcMar>
          </w:tcPr>
          <w:p>
            <w:pPr>
              <w:spacing w:before="0" w:after="0" w:line="240" w:lineRule="auto"/>
            </w:pPr>
            <w:hyperlink w:anchor="f_19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Iᵛⁱʳ(𝔐;α)=∫_[𝔐]ᵛⁱʳ α = deg(α∩[𝔐]ᵛⁱʳ).</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219. Интегрирование по виртуальному классу</w:t>
            </w:r>
          </w:p>
        </w:tc>
        <w:tc>
          <w:tcPr>
            <w:tcW w:type="dxa" w:w="907"/>
            <w:vAlign w:val="center"/>
            <w:tcMar>
              <w:top w:w="80" w:type="dxa"/>
              <w:start w:w="100" w:type="dxa"/>
              <w:bottom w:w="80" w:type="dxa"/>
              <w:end w:w="100" w:type="dxa"/>
            </w:tcMar>
          </w:tcPr>
          <w:p>
            <w:pPr>
              <w:spacing w:before="0" w:after="0" w:line="240" w:lineRule="auto"/>
            </w:pPr>
            <w:hyperlink w:anchor="f_19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⟨α₁,…,αₙ⟩ᵛⁱʳ = ∫_[𝔐]ᵛⁱʳ ∏ᵢ evᵢ*αᵢ.</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219. Интегрирование по виртуальному классу</w:t>
            </w:r>
          </w:p>
        </w:tc>
        <w:tc>
          <w:tcPr>
            <w:tcW w:type="dxa" w:w="907"/>
            <w:vAlign w:val="center"/>
            <w:tcMar>
              <w:top w:w="80" w:type="dxa"/>
              <w:start w:w="100" w:type="dxa"/>
              <w:bottom w:w="80" w:type="dxa"/>
              <w:end w:w="100" w:type="dxa"/>
            </w:tcMar>
          </w:tcPr>
          <w:p>
            <w:pPr>
              <w:spacing w:before="0" w:after="0" w:line="240" w:lineRule="auto"/>
            </w:pPr>
            <w:hyperlink w:anchor="f_19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[Z]ᵛⁱʳ=[Z], vdim=dim U-rk 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220. Regular zero locus и excess intersection</w:t>
            </w:r>
          </w:p>
        </w:tc>
        <w:tc>
          <w:tcPr>
            <w:tcW w:type="dxa" w:w="907"/>
            <w:vAlign w:val="center"/>
            <w:tcMar>
              <w:top w:w="80" w:type="dxa"/>
              <w:start w:w="100" w:type="dxa"/>
              <w:bottom w:w="80" w:type="dxa"/>
              <w:end w:w="100" w:type="dxa"/>
            </w:tcMar>
          </w:tcPr>
          <w:p>
            <w:pPr>
              <w:spacing w:before="0" w:after="0" w:line="240" w:lineRule="auto"/>
            </w:pPr>
            <w:hyperlink w:anchor="f_19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[𝔐_b]ᵛⁱʳ = i_b^![𝔐]ᵛⁱʳ_rel.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221. Деформационная инвариантность</w:t>
            </w:r>
          </w:p>
        </w:tc>
        <w:tc>
          <w:tcPr>
            <w:tcW w:type="dxa" w:w="907"/>
            <w:vAlign w:val="center"/>
            <w:tcMar>
              <w:top w:w="80" w:type="dxa"/>
              <w:start w:w="100" w:type="dxa"/>
              <w:bottom w:w="80" w:type="dxa"/>
              <w:end w:w="100" w:type="dxa"/>
            </w:tcMar>
          </w:tcPr>
          <w:p>
            <w:pPr>
              <w:spacing w:before="0" w:after="0" w:line="240" w:lineRule="auto"/>
            </w:pPr>
            <w:hyperlink w:anchor="f_19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Iᵛⁱʳ(𝔐_b;α_b)=const.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221. Деформационная инвариантность</w:t>
            </w:r>
          </w:p>
        </w:tc>
        <w:tc>
          <w:tcPr>
            <w:tcW w:type="dxa" w:w="907"/>
            <w:vAlign w:val="center"/>
            <w:tcMar>
              <w:top w:w="80" w:type="dxa"/>
              <w:start w:w="100" w:type="dxa"/>
              <w:bottom w:w="80" w:type="dxa"/>
              <w:end w:w="100" w:type="dxa"/>
            </w:tcMar>
          </w:tcPr>
          <w:p>
            <w:pPr>
              <w:spacing w:before="0" w:after="0" w:line="240" w:lineRule="auto"/>
            </w:pPr>
            <w:hyperlink w:anchor="f_19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[𝔐]ᵛⁱʳ = i_* Σ_F [F]ᵛⁱʳ / e_T(N_Fᵛⁱʳ)</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222. Equivariant localization</w:t>
            </w:r>
          </w:p>
        </w:tc>
        <w:tc>
          <w:tcPr>
            <w:tcW w:type="dxa" w:w="907"/>
            <w:vAlign w:val="center"/>
            <w:tcMar>
              <w:top w:w="80" w:type="dxa"/>
              <w:start w:w="100" w:type="dxa"/>
              <w:bottom w:w="80" w:type="dxa"/>
              <w:end w:w="100" w:type="dxa"/>
            </w:tcMar>
          </w:tcPr>
          <w:p>
            <w:pPr>
              <w:spacing w:before="0" w:after="0" w:line="240" w:lineRule="auto"/>
            </w:pPr>
            <w:hyperlink w:anchor="f_19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Iᵛⁱʳ = Σ_[x] m_x / |Aut(x)|.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223. Когда virtual count действительно enumerative</w:t>
            </w:r>
          </w:p>
        </w:tc>
        <w:tc>
          <w:tcPr>
            <w:tcW w:type="dxa" w:w="907"/>
            <w:vAlign w:val="center"/>
            <w:tcMar>
              <w:top w:w="80" w:type="dxa"/>
              <w:start w:w="100" w:type="dxa"/>
              <w:bottom w:w="80" w:type="dxa"/>
              <w:end w:w="100" w:type="dxa"/>
            </w:tcMar>
          </w:tcPr>
          <w:p>
            <w:pPr>
              <w:spacing w:before="0" w:after="0" w:line="240" w:lineRule="auto"/>
            </w:pPr>
            <w:hyperlink w:anchor="f_19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virtual degree ≠ probability measure.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225. Теорема невозможности универсальной вероятностной интерпретации</w:t>
            </w:r>
          </w:p>
        </w:tc>
        <w:tc>
          <w:tcPr>
            <w:tcW w:type="dxa" w:w="907"/>
            <w:vAlign w:val="center"/>
            <w:tcMar>
              <w:top w:w="80" w:type="dxa"/>
              <w:start w:w="100" w:type="dxa"/>
              <w:bottom w:w="80" w:type="dxa"/>
              <w:end w:w="100" w:type="dxa"/>
            </w:tcMar>
          </w:tcPr>
          <w:p>
            <w:pPr>
              <w:spacing w:before="0" w:after="0" w:line="240" w:lineRule="auto"/>
            </w:pPr>
            <w:hyperlink w:anchor="f_19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B_prob=(Ω,ℱ,P,Y,φ,g_θ,ℒ,Cal,Val,Ext).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226. Вероятностный мост</w:t>
            </w:r>
          </w:p>
        </w:tc>
        <w:tc>
          <w:tcPr>
            <w:tcW w:type="dxa" w:w="907"/>
            <w:vAlign w:val="center"/>
            <w:tcMar>
              <w:top w:w="80" w:type="dxa"/>
              <w:start w:w="100" w:type="dxa"/>
              <w:bottom w:w="80" w:type="dxa"/>
              <w:end w:w="100" w:type="dxa"/>
            </w:tcMar>
          </w:tcPr>
          <w:p>
            <w:pPr>
              <w:spacing w:before="0" w:after="0" w:line="240" w:lineRule="auto"/>
            </w:pPr>
            <w:hyperlink w:anchor="f_19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p_θ = g_θ(φ(P_vir, P_stack, λ, CGI, D, Dom)).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226. Вероятностный мост</w:t>
            </w:r>
          </w:p>
        </w:tc>
        <w:tc>
          <w:tcPr>
            <w:tcW w:type="dxa" w:w="907"/>
            <w:vAlign w:val="center"/>
            <w:tcMar>
              <w:top w:w="80" w:type="dxa"/>
              <w:start w:w="100" w:type="dxa"/>
              <w:bottom w:w="80" w:type="dxa"/>
              <w:end w:w="100" w:type="dxa"/>
            </w:tcMar>
          </w:tcPr>
          <w:p>
            <w:pPr>
              <w:spacing w:before="0" w:after="0" w:line="240" w:lineRule="auto"/>
            </w:pPr>
            <w:hyperlink w:anchor="f_19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E[Y | p_θ]=p_θ.</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227. Калибровка, discriminative quality и transportability</w:t>
            </w:r>
          </w:p>
        </w:tc>
        <w:tc>
          <w:tcPr>
            <w:tcW w:type="dxa" w:w="907"/>
            <w:vAlign w:val="center"/>
            <w:tcMar>
              <w:top w:w="80" w:type="dxa"/>
              <w:start w:w="100" w:type="dxa"/>
              <w:bottom w:w="80" w:type="dxa"/>
              <w:end w:w="100" w:type="dxa"/>
            </w:tcMar>
          </w:tcPr>
          <w:p>
            <w:pPr>
              <w:spacing w:before="0" w:after="0" w:line="240" w:lineRule="auto"/>
            </w:pPr>
            <w:hyperlink w:anchor="f_19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VirtCert=(𝔐ᵈᵉʳ,E•,𝔠_𝔐,[𝔐]ᵛⁱʳ,α,or,prop,src,code,D,Dom).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228. Виртуальный Reper-сертификат</w:t>
            </w:r>
          </w:p>
        </w:tc>
        <w:tc>
          <w:tcPr>
            <w:tcW w:type="dxa" w:w="907"/>
            <w:vAlign w:val="center"/>
            <w:tcMar>
              <w:top w:w="80" w:type="dxa"/>
              <w:start w:w="100" w:type="dxa"/>
              <w:bottom w:w="80" w:type="dxa"/>
              <w:end w:w="100" w:type="dxa"/>
            </w:tcMar>
          </w:tcPr>
          <w:p>
            <w:pPr>
              <w:spacing w:before="0" w:after="0" w:line="240" w:lineRule="auto"/>
            </w:pPr>
            <w:hyperlink w:anchor="f_19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Rep_vir=(R_vir,I_vir,U_vir;D_vir),</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228. Виртуальный Reper-сертификат</w:t>
            </w:r>
          </w:p>
        </w:tc>
        <w:tc>
          <w:tcPr>
            <w:tcW w:type="dxa" w:w="907"/>
            <w:vAlign w:val="center"/>
            <w:tcMar>
              <w:top w:w="80" w:type="dxa"/>
              <w:start w:w="100" w:type="dxa"/>
              <w:bottom w:w="80" w:type="dxa"/>
              <w:end w:w="100" w:type="dxa"/>
            </w:tcMar>
          </w:tcPr>
          <w:p>
            <w:pPr>
              <w:spacing w:before="0" w:after="0" w:line="240" w:lineRule="auto"/>
            </w:pPr>
            <w:hyperlink w:anchor="f_19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Gate_vir=1 ⇔ Cert_VFC=1 ∧ Valid(D)=1 ∧ Dom=1 ∧ Block_vir=∅.</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229. Проективно-гармонический и enumerative шлюз</w:t>
            </w:r>
          </w:p>
        </w:tc>
        <w:tc>
          <w:tcPr>
            <w:tcW w:type="dxa" w:w="907"/>
            <w:vAlign w:val="center"/>
            <w:tcMar>
              <w:top w:w="80" w:type="dxa"/>
              <w:start w:w="100" w:type="dxa"/>
              <w:bottom w:w="80" w:type="dxa"/>
              <w:end w:w="100" w:type="dxa"/>
            </w:tcMar>
          </w:tcPr>
          <w:p>
            <w:pPr>
              <w:spacing w:before="0" w:after="0" w:line="240" w:lineRule="auto"/>
            </w:pPr>
            <w:hyperlink w:anchor="f_19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Gate_prob=1 ⇔ Gate_vir=1 ∧ Cert_prob=1 ∧ Ext=1.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229. Проективно-гармонический и enumerative шлюз</w:t>
            </w:r>
          </w:p>
        </w:tc>
        <w:tc>
          <w:tcPr>
            <w:tcW w:type="dxa" w:w="907"/>
            <w:vAlign w:val="center"/>
            <w:tcMar>
              <w:top w:w="80" w:type="dxa"/>
              <w:start w:w="100" w:type="dxa"/>
              <w:bottom w:w="80" w:type="dxa"/>
              <w:end w:w="100" w:type="dxa"/>
            </w:tcMar>
          </w:tcPr>
          <w:p>
            <w:pPr>
              <w:spacing w:before="0" w:after="0" w:line="240" w:lineRule="auto"/>
            </w:pPr>
            <w:hyperlink w:anchor="f_19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Δ_VFC = Δ_POT ∪ Δ_amp ∪ Δ_prop ∪ Δ_or ∪ Δ_comp ∪ Δ_ins ∪ Δ_loc ∪ Δ_wall ∪ Δ_num.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230. Горизонты виртуального и вероятностного слоя</w:t>
            </w:r>
          </w:p>
        </w:tc>
        <w:tc>
          <w:tcPr>
            <w:tcW w:type="dxa" w:w="907"/>
            <w:vAlign w:val="center"/>
            <w:tcMar>
              <w:top w:w="80" w:type="dxa"/>
              <w:start w:w="100" w:type="dxa"/>
              <w:bottom w:w="80" w:type="dxa"/>
              <w:end w:w="100" w:type="dxa"/>
            </w:tcMar>
          </w:tcPr>
          <w:p>
            <w:pPr>
              <w:spacing w:before="0" w:after="0" w:line="240" w:lineRule="auto"/>
            </w:pPr>
            <w:hyperlink w:anchor="f_19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Δ_prob = Δ_Ω ∪ Δ_meas ∪ Δ_link ∪ Δ_cal ∪ Δ_shift ∪ Δ_sel ∪ Δ_ext.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230. Горизонты виртуального и вероятностного слоя</w:t>
            </w:r>
          </w:p>
        </w:tc>
        <w:tc>
          <w:tcPr>
            <w:tcW w:type="dxa" w:w="907"/>
            <w:vAlign w:val="center"/>
            <w:tcMar>
              <w:top w:w="80" w:type="dxa"/>
              <w:start w:w="100" w:type="dxa"/>
              <w:bottom w:w="80" w:type="dxa"/>
              <w:end w:w="100" w:type="dxa"/>
            </w:tcMar>
          </w:tcPr>
          <w:p>
            <w:pPr>
              <w:spacing w:before="0" w:after="0" w:line="240" w:lineRule="auto"/>
            </w:pPr>
            <w:hyperlink w:anchor="f_19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Δ_safe^{v0.16}=Δ_safe^{v0.15}∪Δ_VFC∪Δ_prob.</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230. Горизонты виртуального и вероятностного слоя</w:t>
            </w:r>
          </w:p>
        </w:tc>
        <w:tc>
          <w:tcPr>
            <w:tcW w:type="dxa" w:w="907"/>
            <w:vAlign w:val="center"/>
            <w:tcMar>
              <w:top w:w="80" w:type="dxa"/>
              <w:start w:w="100" w:type="dxa"/>
              <w:bottom w:w="80" w:type="dxa"/>
              <w:end w:w="100" w:type="dxa"/>
            </w:tcMar>
          </w:tcPr>
          <w:p>
            <w:pPr>
              <w:spacing w:before="0" w:after="0" w:line="240" w:lineRule="auto"/>
            </w:pPr>
            <w:hyperlink w:anchor="f_19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P_VFC(t)=([𝔐_t]ᵛⁱʳ, vdim, Iᵛⁱʳ_t, supp, sign, denom, chamber, λ_t, CGI_t)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231. Главная условная теорема T2-RP-v0.16</w:t>
            </w:r>
          </w:p>
        </w:tc>
        <w:tc>
          <w:tcPr>
            <w:tcW w:type="dxa" w:w="907"/>
            <w:vAlign w:val="center"/>
            <w:tcMar>
              <w:top w:w="80" w:type="dxa"/>
              <w:start w:w="100" w:type="dxa"/>
              <w:bottom w:w="80" w:type="dxa"/>
              <w:end w:w="100" w:type="dxa"/>
            </w:tcMar>
          </w:tcPr>
          <w:p>
            <w:pPr>
              <w:spacing w:before="0" w:after="0" w:line="240" w:lineRule="auto"/>
            </w:pPr>
            <w:hyperlink w:anchor="f_19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γ∩(Δ_safe^{v0.15}∪Δ_VFC)=∅ ⇒ NO-VIRTUAL-CHANGE-IN-MODEL.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231. Главная условная теорема T2-RP-v0.16</w:t>
            </w:r>
          </w:p>
        </w:tc>
        <w:tc>
          <w:tcPr>
            <w:tcW w:type="dxa" w:w="907"/>
            <w:vAlign w:val="center"/>
            <w:tcMar>
              <w:top w:w="80" w:type="dxa"/>
              <w:start w:w="100" w:type="dxa"/>
              <w:bottom w:w="80" w:type="dxa"/>
              <w:end w:w="100" w:type="dxa"/>
            </w:tcMar>
          </w:tcPr>
          <w:p>
            <w:pPr>
              <w:spacing w:before="0" w:after="0" w:line="240" w:lineRule="auto"/>
            </w:pPr>
            <w:hyperlink w:anchor="f_19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T2-F-19.25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checkpoint=T2-RP-v0.16; next=T2-RP-v0.17.</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237. Контрольная точка и граница вывода</w:t>
            </w:r>
          </w:p>
        </w:tc>
        <w:tc>
          <w:tcPr>
            <w:tcW w:type="dxa" w:w="907"/>
            <w:vAlign w:val="center"/>
            <w:tcMar>
              <w:top w:w="80" w:type="dxa"/>
              <w:start w:w="100" w:type="dxa"/>
              <w:bottom w:w="80" w:type="dxa"/>
              <w:end w:w="100" w:type="dxa"/>
            </w:tcMar>
          </w:tcPr>
          <w:p>
            <w:pPr>
              <w:spacing w:before="0" w:after="0" w:line="240" w:lineRule="auto"/>
            </w:pPr>
            <w:hyperlink w:anchor="f_19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𝕍_γ ∈ 𝒞_γ → [𝕍_γ] ∈ K₀(𝒞_γ) → 𝓜_γ ∈ R_mot → Real(𝓜_γ) → I_γ ∈ R_num.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238. Лестница носителей и правило неповышения статуса</w:t>
            </w:r>
          </w:p>
        </w:tc>
        <w:tc>
          <w:tcPr>
            <w:tcW w:type="dxa" w:w="907"/>
            <w:vAlign w:val="center"/>
            <w:tcMar>
              <w:top w:w="80" w:type="dxa"/>
              <w:start w:w="100" w:type="dxa"/>
              <w:bottom w:w="80" w:type="dxa"/>
              <w:end w:w="100" w:type="dxa"/>
            </w:tcMar>
          </w:tcPr>
          <w:p>
            <w:pPr>
              <w:spacing w:before="0" w:after="0" w:line="240" w:lineRule="auto"/>
            </w:pPr>
            <w:hyperlink w:anchor="f_20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[Y]=[X]+[Z].</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239. Категорификация и декатегорификация</w:t>
            </w:r>
          </w:p>
        </w:tc>
        <w:tc>
          <w:tcPr>
            <w:tcW w:type="dxa" w:w="907"/>
            <w:vAlign w:val="center"/>
            <w:tcMar>
              <w:top w:w="80" w:type="dxa"/>
              <w:start w:w="100" w:type="dxa"/>
              <w:bottom w:w="80" w:type="dxa"/>
              <w:end w:w="100" w:type="dxa"/>
            </w:tcMar>
          </w:tcPr>
          <w:p>
            <w:pPr>
              <w:spacing w:before="0" w:after="0" w:line="240" w:lineRule="auto"/>
            </w:pPr>
            <w:hyperlink w:anchor="f_20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[X]=[Z]+[X∖Z] для замкнутого Z⊂X, [X]·[Y]=[X×Y].</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240. Мотивный носитель и Grothendieck-кольцо разновидностей</w:t>
            </w:r>
          </w:p>
        </w:tc>
        <w:tc>
          <w:tcPr>
            <w:tcW w:type="dxa" w:w="907"/>
            <w:vAlign w:val="center"/>
            <w:tcMar>
              <w:top w:w="80" w:type="dxa"/>
              <w:start w:w="100" w:type="dxa"/>
              <w:bottom w:w="80" w:type="dxa"/>
              <w:end w:w="100" w:type="dxa"/>
            </w:tcMar>
          </w:tcPr>
          <w:p>
            <w:pPr>
              <w:spacing w:before="0" w:after="0" w:line="240" w:lineRule="auto"/>
            </w:pPr>
            <w:hyperlink w:anchor="f_20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MotCar=(R_mot, 𝕃^{1/2}, Fil, Comp, μ̂, or, src, D, Dom),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240. Мотивный носитель и Grothendieck-кольцо разновидностей</w:t>
            </w:r>
          </w:p>
        </w:tc>
        <w:tc>
          <w:tcPr>
            <w:tcW w:type="dxa" w:w="907"/>
            <w:vAlign w:val="center"/>
            <w:tcMar>
              <w:top w:w="80" w:type="dxa"/>
              <w:start w:w="100" w:type="dxa"/>
              <w:bottom w:w="80" w:type="dxa"/>
              <w:end w:w="100" w:type="dxa"/>
            </w:tcMar>
          </w:tcPr>
          <w:p>
            <w:pPr>
              <w:spacing w:before="0" w:after="0" w:line="240" w:lineRule="auto"/>
            </w:pPr>
            <w:hyperlink w:anchor="f_20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χ_c : K₀(Var_ℂ) → ℤ, E_c : K₀(Var_ℂ) → ℤ[u,v].</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241. Реализации и теорема числовой неразличимости</w:t>
            </w:r>
          </w:p>
        </w:tc>
        <w:tc>
          <w:tcPr>
            <w:tcW w:type="dxa" w:w="907"/>
            <w:vAlign w:val="center"/>
            <w:tcMar>
              <w:top w:w="80" w:type="dxa"/>
              <w:start w:w="100" w:type="dxa"/>
              <w:bottom w:w="80" w:type="dxa"/>
              <w:end w:w="100" w:type="dxa"/>
            </w:tcMar>
          </w:tcPr>
          <w:p>
            <w:pPr>
              <w:spacing w:before="0" w:after="0" w:line="240" w:lineRule="auto"/>
            </w:pPr>
            <w:hyperlink w:anchor="f_20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PExp(f)=exp(Σ_{r≥1} ψ_r(f)/r), PLog=PExp^{-1}.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242. Power structures и плетистические операции</w:t>
            </w:r>
          </w:p>
        </w:tc>
        <w:tc>
          <w:tcPr>
            <w:tcW w:type="dxa" w:w="907"/>
            <w:vAlign w:val="center"/>
            <w:tcMar>
              <w:top w:w="80" w:type="dxa"/>
              <w:start w:w="100" w:type="dxa"/>
              <w:bottom w:w="80" w:type="dxa"/>
              <w:end w:w="100" w:type="dxa"/>
            </w:tcMar>
          </w:tcPr>
          <w:p>
            <w:pPr>
              <w:spacing w:before="0" w:after="0" w:line="240" w:lineRule="auto"/>
            </w:pPr>
            <w:hyperlink w:anchor="f_20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MF^φ_{U,f} ∈ 𝓜_X^{μ̂}, Real(MF^φ_{U,f}) = vanishing-cycle realization.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243. Motivic vanishing cycles и orientation data</w:t>
            </w:r>
          </w:p>
        </w:tc>
        <w:tc>
          <w:tcPr>
            <w:tcW w:type="dxa" w:w="907"/>
            <w:vAlign w:val="center"/>
            <w:tcMar>
              <w:top w:w="80" w:type="dxa"/>
              <w:start w:w="100" w:type="dxa"/>
              <w:bottom w:w="80" w:type="dxa"/>
              <w:end w:w="100" w:type="dxa"/>
            </w:tcMar>
          </w:tcPr>
          <w:p>
            <w:pPr>
              <w:spacing w:before="0" w:after="0" w:line="240" w:lineRule="auto"/>
            </w:pPr>
            <w:hyperlink w:anchor="f_20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Ω_γ^{ref}(y)=Σ_j (-1)^j dim 𝓗_γ^j · y^{j/2}.</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244. Refined-инварианты и реализационный паспорт</w:t>
            </w:r>
          </w:p>
        </w:tc>
        <w:tc>
          <w:tcPr>
            <w:tcW w:type="dxa" w:w="907"/>
            <w:vAlign w:val="center"/>
            <w:tcMar>
              <w:top w:w="80" w:type="dxa"/>
              <w:start w:w="100" w:type="dxa"/>
              <w:bottom w:w="80" w:type="dxa"/>
              <w:end w:w="100" w:type="dxa"/>
            </w:tcMar>
          </w:tcPr>
          <w:p>
            <w:pPr>
              <w:spacing w:before="0" w:after="0" w:line="240" w:lineRule="auto"/>
            </w:pPr>
            <w:hyperlink w:anchor="f_20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CoHA=⊕_{γ∈Γ_+} H^•_{c,G_γ}(Rep_γ, φ_{Tr W}),</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245. Cohomological Hall algebra</w:t>
            </w:r>
          </w:p>
        </w:tc>
        <w:tc>
          <w:tcPr>
            <w:tcW w:type="dxa" w:w="907"/>
            <w:vAlign w:val="center"/>
            <w:tcMar>
              <w:top w:w="80" w:type="dxa"/>
              <w:start w:w="100" w:type="dxa"/>
              <w:bottom w:w="80" w:type="dxa"/>
              <w:end w:w="100" w:type="dxa"/>
            </w:tcMar>
          </w:tcPr>
          <w:p>
            <w:pPr>
              <w:spacing w:before="0" w:after="0" w:line="240" w:lineRule="auto"/>
            </w:pPr>
            <w:hyperlink w:anchor="f_20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BPS_γ ∈ MHM(M_γ), Ω_γ^{ref}=Real(BPS_γ).</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246. BPS-cohomology и интегральность</w:t>
            </w:r>
          </w:p>
        </w:tc>
        <w:tc>
          <w:tcPr>
            <w:tcW w:type="dxa" w:w="907"/>
            <w:vAlign w:val="center"/>
            <w:tcMar>
              <w:top w:w="80" w:type="dxa"/>
              <w:start w:w="100" w:type="dxa"/>
              <w:bottom w:w="80" w:type="dxa"/>
              <w:end w:w="100" w:type="dxa"/>
            </w:tcMar>
          </w:tcPr>
          <w:p>
            <w:pPr>
              <w:spacing w:before="0" w:after="0" w:line="240" w:lineRule="auto"/>
            </w:pPr>
            <w:hyperlink w:anchor="f_20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Z_ref(𝐱;y,𝕃)=1+Σ_{0≠γ∈Γ_+} Ω_γ^{ref}(y,𝕃) 𝐱^γ ∈ 1+Î.</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247. Производящие ряды как завершённые градуированные объекты</w:t>
            </w:r>
          </w:p>
        </w:tc>
        <w:tc>
          <w:tcPr>
            <w:tcW w:type="dxa" w:w="907"/>
            <w:vAlign w:val="center"/>
            <w:tcMar>
              <w:top w:w="80" w:type="dxa"/>
              <w:start w:w="100" w:type="dxa"/>
              <w:bottom w:w="80" w:type="dxa"/>
              <w:end w:w="100" w:type="dxa"/>
            </w:tcMar>
          </w:tcPr>
          <w:p>
            <w:pPr>
              <w:spacing w:before="0" w:after="0" w:line="240" w:lineRule="auto"/>
            </w:pPr>
            <w:hyperlink w:anchor="f_20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𝐱^α 𝐱^β = 𝕃^{⟨α,β⟩/2} 𝐱^{α+β}.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248. Квантовый тор и упорядоченные факторизации</w:t>
            </w:r>
          </w:p>
        </w:tc>
        <w:tc>
          <w:tcPr>
            <w:tcW w:type="dxa" w:w="907"/>
            <w:vAlign w:val="center"/>
            <w:tcMar>
              <w:top w:w="80" w:type="dxa"/>
              <w:start w:w="100" w:type="dxa"/>
              <w:bottom w:w="80" w:type="dxa"/>
              <w:end w:w="100" w:type="dxa"/>
            </w:tcMar>
          </w:tcPr>
          <w:p>
            <w:pPr>
              <w:spacing w:before="0" w:after="0" w:line="240" w:lineRule="auto"/>
            </w:pPr>
            <w:hyperlink w:anchor="f_20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Z(q^{-1}) = q^a · ε · Z(q) или Z(q)=P(q)/Q(q).</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249. Rationality и функциональные уравнения</w:t>
            </w:r>
          </w:p>
        </w:tc>
        <w:tc>
          <w:tcPr>
            <w:tcW w:type="dxa" w:w="907"/>
            <w:vAlign w:val="center"/>
            <w:tcMar>
              <w:top w:w="80" w:type="dxa"/>
              <w:start w:w="100" w:type="dxa"/>
              <w:bottom w:w="80" w:type="dxa"/>
              <w:end w:w="100" w:type="dxa"/>
            </w:tcMar>
          </w:tcPr>
          <w:p>
            <w:pPr>
              <w:spacing w:before="0" w:after="0" w:line="240" w:lineRule="auto"/>
            </w:pPr>
            <w:hyperlink w:anchor="f_20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graded coefficient ≠ time-stamped state; generating series ≠ flow.</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250. Теорема неидентифицируемости времени по коэффициентам</w:t>
            </w:r>
          </w:p>
        </w:tc>
        <w:tc>
          <w:tcPr>
            <w:tcW w:type="dxa" w:w="907"/>
            <w:vAlign w:val="center"/>
            <w:tcMar>
              <w:top w:w="80" w:type="dxa"/>
              <w:start w:w="100" w:type="dxa"/>
              <w:bottom w:w="80" w:type="dxa"/>
              <w:end w:w="100" w:type="dxa"/>
            </w:tcMar>
          </w:tcPr>
          <w:p>
            <w:pPr>
              <w:spacing w:before="0" w:after="0" w:line="240" w:lineRule="auto"/>
            </w:pPr>
            <w:hyperlink w:anchor="f_20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B_dyn=(T,S,τ,U,𝒢,ι,Obs,noise,Cal,Ext,D,Dom).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251. Минимальный динамический мост</w:t>
            </w:r>
          </w:p>
        </w:tc>
        <w:tc>
          <w:tcPr>
            <w:tcW w:type="dxa" w:w="907"/>
            <w:vAlign w:val="center"/>
            <w:tcMar>
              <w:top w:w="80" w:type="dxa"/>
              <w:start w:w="100" w:type="dxa"/>
              <w:bottom w:w="80" w:type="dxa"/>
              <w:end w:w="100" w:type="dxa"/>
            </w:tcMar>
          </w:tcPr>
          <w:p>
            <w:pPr>
              <w:spacing w:before="0" w:after="0" w:line="240" w:lineRule="auto"/>
            </w:pPr>
            <w:hyperlink w:anchor="f_20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U(t,t)=Id, U(t,r)∘U(r,s)=U(t,s), t≥r≥s.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251. Минимальный динамический мост</w:t>
            </w:r>
          </w:p>
        </w:tc>
        <w:tc>
          <w:tcPr>
            <w:tcW w:type="dxa" w:w="907"/>
            <w:vAlign w:val="center"/>
            <w:tcMar>
              <w:top w:w="80" w:type="dxa"/>
              <w:start w:w="100" w:type="dxa"/>
              <w:bottom w:w="80" w:type="dxa"/>
              <w:end w:w="100" w:type="dxa"/>
            </w:tcMar>
          </w:tcPr>
          <w:p>
            <w:pPr>
              <w:spacing w:before="0" w:after="0" w:line="240" w:lineRule="auto"/>
            </w:pPr>
            <w:hyperlink w:anchor="f_20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Ax = lim_{t↓0} (U(t)x-x)/t, x∈Dom(A).</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252. Полугруппы, генераторы и transfer operators</w:t>
            </w:r>
          </w:p>
        </w:tc>
        <w:tc>
          <w:tcPr>
            <w:tcW w:type="dxa" w:w="907"/>
            <w:vAlign w:val="center"/>
            <w:tcMar>
              <w:top w:w="80" w:type="dxa"/>
              <w:start w:w="100" w:type="dxa"/>
              <w:bottom w:w="80" w:type="dxa"/>
              <w:end w:w="100" w:type="dxa"/>
            </w:tcMar>
          </w:tcPr>
          <w:p>
            <w:pPr>
              <w:spacing w:before="0" w:after="0" w:line="240" w:lineRule="auto"/>
            </w:pPr>
            <w:hyperlink w:anchor="f_20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K_{t,s}=K_{t,r}∘K_{r,s}.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253. Path-space carrier и причинный порядок</w:t>
            </w:r>
          </w:p>
        </w:tc>
        <w:tc>
          <w:tcPr>
            <w:tcW w:type="dxa" w:w="907"/>
            <w:vAlign w:val="center"/>
            <w:tcMar>
              <w:top w:w="80" w:type="dxa"/>
              <w:start w:w="100" w:type="dxa"/>
              <w:bottom w:w="80" w:type="dxa"/>
              <w:end w:w="100" w:type="dxa"/>
            </w:tcMar>
          </w:tcPr>
          <w:p>
            <w:pPr>
              <w:spacing w:before="0" w:after="0" w:line="240" w:lineRule="auto"/>
            </w:pPr>
            <w:hyperlink w:anchor="f_20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Y_t = Obs(U(t,t₀)ι(𝓜_ref)) + ε_t.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254. Эмпирический мост и операционализация</w:t>
            </w:r>
          </w:p>
        </w:tc>
        <w:tc>
          <w:tcPr>
            <w:tcW w:type="dxa" w:w="907"/>
            <w:vAlign w:val="center"/>
            <w:tcMar>
              <w:top w:w="80" w:type="dxa"/>
              <w:start w:w="100" w:type="dxa"/>
              <w:bottom w:w="80" w:type="dxa"/>
              <w:end w:w="100" w:type="dxa"/>
            </w:tcMar>
          </w:tcPr>
          <w:p>
            <w:pPr>
              <w:spacing w:before="0" w:after="0" w:line="240" w:lineRule="auto"/>
            </w:pPr>
            <w:hyperlink w:anchor="f_20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MotRefCert=(𝕍,K₀,𝓜,Real,Ω_ref,Z_ref,B_dyn,B_emp,src,code,D,Dom).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255. Мотивно-refined Reper-сертификат</w:t>
            </w:r>
          </w:p>
        </w:tc>
        <w:tc>
          <w:tcPr>
            <w:tcW w:type="dxa" w:w="907"/>
            <w:vAlign w:val="center"/>
            <w:tcMar>
              <w:top w:w="80" w:type="dxa"/>
              <w:start w:w="100" w:type="dxa"/>
              <w:bottom w:w="80" w:type="dxa"/>
              <w:end w:w="100" w:type="dxa"/>
            </w:tcMar>
          </w:tcPr>
          <w:p>
            <w:pPr>
              <w:spacing w:before="0" w:after="0" w:line="240" w:lineRule="auto"/>
            </w:pPr>
            <w:hyperlink w:anchor="f_20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Rep_mot=(R_mot,I_mot,U_mot;D_mot),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255. Мотивно-refined Reper-сертификат</w:t>
            </w:r>
          </w:p>
        </w:tc>
        <w:tc>
          <w:tcPr>
            <w:tcW w:type="dxa" w:w="907"/>
            <w:vAlign w:val="center"/>
            <w:tcMar>
              <w:top w:w="80" w:type="dxa"/>
              <w:start w:w="100" w:type="dxa"/>
              <w:bottom w:w="80" w:type="dxa"/>
              <w:end w:w="100" w:type="dxa"/>
            </w:tcMar>
          </w:tcPr>
          <w:p>
            <w:pPr>
              <w:spacing w:before="0" w:after="0" w:line="240" w:lineRule="auto"/>
            </w:pPr>
            <w:hyperlink w:anchor="f_20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R_ref=(r_cat,r_K₀,r_mot,r_real,r_spec,r_series,r_time,r_evol,r_obs,r_ext).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256. Информационные остатки и refined-CGI</w:t>
            </w:r>
          </w:p>
        </w:tc>
        <w:tc>
          <w:tcPr>
            <w:tcW w:type="dxa" w:w="907"/>
            <w:vAlign w:val="center"/>
            <w:tcMar>
              <w:top w:w="80" w:type="dxa"/>
              <w:start w:w="100" w:type="dxa"/>
              <w:bottom w:w="80" w:type="dxa"/>
              <w:end w:w="100" w:type="dxa"/>
            </w:tcMar>
          </w:tcPr>
          <w:p>
            <w:pPr>
              <w:spacing w:before="0" w:after="0" w:line="240" w:lineRule="auto"/>
            </w:pPr>
            <w:hyperlink w:anchor="f_20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Δ_mot = Δ_cat ∪ Δ_or ∪ Δ_glue ∪ Δ_comp ∪ Δ_real ∪ Δ_spec.</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257. Три переходных горизонта v0.17</w:t>
            </w:r>
          </w:p>
        </w:tc>
        <w:tc>
          <w:tcPr>
            <w:tcW w:type="dxa" w:w="907"/>
            <w:vAlign w:val="center"/>
            <w:tcMar>
              <w:top w:w="80" w:type="dxa"/>
              <w:start w:w="100" w:type="dxa"/>
              <w:bottom w:w="80" w:type="dxa"/>
              <w:end w:w="100" w:type="dxa"/>
            </w:tcMar>
          </w:tcPr>
          <w:p>
            <w:pPr>
              <w:spacing w:before="0" w:after="0" w:line="240" w:lineRule="auto"/>
            </w:pPr>
            <w:hyperlink w:anchor="f_20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Δ_series = Δ_ring ∪ Δ_order ∪ Δ_wall ∪ Δ_PExp ∪ Δ_conv ∪ Δ_func.</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257. Три переходных горизонта v0.17</w:t>
            </w:r>
          </w:p>
        </w:tc>
        <w:tc>
          <w:tcPr>
            <w:tcW w:type="dxa" w:w="907"/>
            <w:vAlign w:val="center"/>
            <w:tcMar>
              <w:top w:w="80" w:type="dxa"/>
              <w:start w:w="100" w:type="dxa"/>
              <w:bottom w:w="80" w:type="dxa"/>
              <w:end w:w="100" w:type="dxa"/>
            </w:tcMar>
          </w:tcPr>
          <w:p>
            <w:pPr>
              <w:spacing w:before="0" w:after="0" w:line="240" w:lineRule="auto"/>
            </w:pPr>
            <w:hyperlink w:anchor="f_20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Δ_dyn = Δ_time ∪ Δ_state ∪ Δ_U ∪ Δ_gen ∪ Δ_path ∪ Δ_obs ∪ Δ_cal ∪ Δ_ext.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257. Три переходных горизонта v0.17</w:t>
            </w:r>
          </w:p>
        </w:tc>
        <w:tc>
          <w:tcPr>
            <w:tcW w:type="dxa" w:w="907"/>
            <w:vAlign w:val="center"/>
            <w:tcMar>
              <w:top w:w="80" w:type="dxa"/>
              <w:start w:w="100" w:type="dxa"/>
              <w:bottom w:w="80" w:type="dxa"/>
              <w:end w:w="100" w:type="dxa"/>
            </w:tcMar>
          </w:tcPr>
          <w:p>
            <w:pPr>
              <w:spacing w:before="0" w:after="0" w:line="240" w:lineRule="auto"/>
            </w:pPr>
            <w:hyperlink w:anchor="f_20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Δ_safe^{v0.17}=Δ_safe^{v0.16}∪Δ_mot∪Δ_series∪Δ_dyn.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257. Три переходных горизонта v0.17</w:t>
            </w:r>
          </w:p>
        </w:tc>
        <w:tc>
          <w:tcPr>
            <w:tcW w:type="dxa" w:w="907"/>
            <w:vAlign w:val="center"/>
            <w:tcMar>
              <w:top w:w="80" w:type="dxa"/>
              <w:start w:w="100" w:type="dxa"/>
              <w:bottom w:w="80" w:type="dxa"/>
              <w:end w:w="100" w:type="dxa"/>
            </w:tcMar>
          </w:tcPr>
          <w:p>
            <w:pPr>
              <w:spacing w:before="0" w:after="0" w:line="240" w:lineRule="auto"/>
            </w:pPr>
            <w:hyperlink w:anchor="f_20_2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P_ref(t)=([𝕍_t],𝓜_t,Real_t,Ω_t^{ref},Z_t,chamber_t,λ_t,CGI_ref,t)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258. Главная условная теорема T2-RP-v0.17</w:t>
            </w:r>
          </w:p>
        </w:tc>
        <w:tc>
          <w:tcPr>
            <w:tcW w:type="dxa" w:w="907"/>
            <w:vAlign w:val="center"/>
            <w:tcMar>
              <w:top w:w="80" w:type="dxa"/>
              <w:start w:w="100" w:type="dxa"/>
              <w:bottom w:w="80" w:type="dxa"/>
              <w:end w:w="100" w:type="dxa"/>
            </w:tcMar>
          </w:tcPr>
          <w:p>
            <w:pPr>
              <w:spacing w:before="0" w:after="0" w:line="240" w:lineRule="auto"/>
            </w:pPr>
            <w:hyperlink w:anchor="f_20_2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NO-REFINED-CHANGE-IN-MODEL или FORMAL-SERIES-ONLY.</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258. Главная условная теорема T2-RP-v0.17</w:t>
            </w:r>
          </w:p>
        </w:tc>
        <w:tc>
          <w:tcPr>
            <w:tcW w:type="dxa" w:w="907"/>
            <w:vAlign w:val="center"/>
            <w:tcMar>
              <w:top w:w="80" w:type="dxa"/>
              <w:start w:w="100" w:type="dxa"/>
              <w:bottom w:w="80" w:type="dxa"/>
              <w:end w:w="100" w:type="dxa"/>
            </w:tcMar>
          </w:tcPr>
          <w:p>
            <w:pPr>
              <w:spacing w:before="0" w:after="0" w:line="240" w:lineRule="auto"/>
            </w:pPr>
            <w:hyperlink w:anchor="f_20_2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T2-F-20.29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checkpoint=T2-RP-v0.17; next=T2-RP-v0.18.</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264. Контрольная точка и граница вывода</w:t>
            </w:r>
          </w:p>
        </w:tc>
        <w:tc>
          <w:tcPr>
            <w:tcW w:type="dxa" w:w="907"/>
            <w:vAlign w:val="center"/>
            <w:tcMar>
              <w:top w:w="80" w:type="dxa"/>
              <w:start w:w="100" w:type="dxa"/>
              <w:bottom w:w="80" w:type="dxa"/>
              <w:end w:w="100" w:type="dxa"/>
            </w:tcMar>
          </w:tcPr>
          <w:p>
            <w:pPr>
              <w:spacing w:before="0" w:after="0" w:line="240" w:lineRule="auto"/>
            </w:pPr>
            <w:hyperlink w:anchor="f_20_2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source=T2-RP-v0.17; checkpoint=T2-RP-v0.18.</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Глава 21. Нелинейные эволюционные полугруппы, transfer operators, path-space carriers и причинные ядра</w:t>
            </w:r>
          </w:p>
        </w:tc>
        <w:tc>
          <w:tcPr>
            <w:tcW w:type="dxa" w:w="907"/>
            <w:vAlign w:val="center"/>
            <w:tcMar>
              <w:top w:w="80" w:type="dxa"/>
              <w:start w:w="100" w:type="dxa"/>
              <w:bottom w:w="80" w:type="dxa"/>
              <w:end w:w="100" w:type="dxa"/>
            </w:tcMar>
          </w:tcPr>
          <w:p>
            <w:pPr>
              <w:spacing w:before="0" w:after="0" w:line="240" w:lineRule="auto"/>
            </w:pPr>
            <w:hyperlink w:anchor="f_21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𝒰(t,s): Dom_{t,s}⊆S_s → S_t.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265. Типы времени, состояния и эволюции</w:t>
            </w:r>
          </w:p>
        </w:tc>
        <w:tc>
          <w:tcPr>
            <w:tcW w:type="dxa" w:w="907"/>
            <w:vAlign w:val="center"/>
            <w:tcMar>
              <w:top w:w="80" w:type="dxa"/>
              <w:start w:w="100" w:type="dxa"/>
              <w:bottom w:w="80" w:type="dxa"/>
              <w:end w:w="100" w:type="dxa"/>
            </w:tcMar>
          </w:tcPr>
          <w:p>
            <w:pPr>
              <w:spacing w:before="0" w:after="0" w:line="240" w:lineRule="auto"/>
            </w:pPr>
            <w:hyperlink w:anchor="f_21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𝒮(0)=Id_C, 𝒮(t+s)=𝒮(t)∘𝒮(s), lim_{t↓0}𝒮(t)x=x.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266. Нелинейная эволюционная полугруппа</w:t>
            </w:r>
          </w:p>
        </w:tc>
        <w:tc>
          <w:tcPr>
            <w:tcW w:type="dxa" w:w="907"/>
            <w:vAlign w:val="center"/>
            <w:tcMar>
              <w:top w:w="80" w:type="dxa"/>
              <w:start w:w="100" w:type="dxa"/>
              <w:bottom w:w="80" w:type="dxa"/>
              <w:end w:w="100" w:type="dxa"/>
            </w:tcMar>
          </w:tcPr>
          <w:p>
            <w:pPr>
              <w:spacing w:before="0" w:after="0" w:line="240" w:lineRule="auto"/>
            </w:pPr>
            <w:hyperlink w:anchor="f_21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𝒮(t)x = lim_{m→∞}(I+(t/m)A)^{-m}x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267. Аккретивные и m-аккретивные генераторы</w:t>
            </w:r>
          </w:p>
        </w:tc>
        <w:tc>
          <w:tcPr>
            <w:tcW w:type="dxa" w:w="907"/>
            <w:vAlign w:val="center"/>
            <w:tcMar>
              <w:top w:w="80" w:type="dxa"/>
              <w:start w:w="100" w:type="dxa"/>
              <w:bottom w:w="80" w:type="dxa"/>
              <w:end w:w="100" w:type="dxa"/>
            </w:tcMar>
          </w:tcPr>
          <w:p>
            <w:pPr>
              <w:spacing w:before="0" w:after="0" w:line="240" w:lineRule="auto"/>
            </w:pPr>
            <w:hyperlink w:anchor="f_21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𝒰(s,s)=Id, 𝒰(t,r)∘𝒰(r,s)=𝒰(t,s).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268. Неавтономные evolution families и интерфейс Като</w:t>
            </w:r>
          </w:p>
        </w:tc>
        <w:tc>
          <w:tcPr>
            <w:tcW w:type="dxa" w:w="907"/>
            <w:vAlign w:val="center"/>
            <w:tcMar>
              <w:top w:w="80" w:type="dxa"/>
              <w:start w:w="100" w:type="dxa"/>
              <w:bottom w:w="80" w:type="dxa"/>
              <w:end w:w="100" w:type="dxa"/>
            </w:tcMar>
          </w:tcPr>
          <w:p>
            <w:pPr>
              <w:spacing w:before="0" w:after="0" w:line="240" w:lineRule="auto"/>
            </w:pPr>
            <w:hyperlink w:anchor="f_21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(𝒦_t f)(x)=f(Φ_t(x)).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269. Динамика состояний и Koopman-оператор наблюдаемых</w:t>
            </w:r>
          </w:p>
        </w:tc>
        <w:tc>
          <w:tcPr>
            <w:tcW w:type="dxa" w:w="907"/>
            <w:vAlign w:val="center"/>
            <w:tcMar>
              <w:top w:w="80" w:type="dxa"/>
              <w:start w:w="100" w:type="dxa"/>
              <w:bottom w:w="80" w:type="dxa"/>
              <w:end w:w="100" w:type="dxa"/>
            </w:tcMar>
          </w:tcPr>
          <w:p>
            <w:pPr>
              <w:spacing w:before="0" w:after="0" w:line="240" w:lineRule="auto"/>
            </w:pPr>
            <w:hyperlink w:anchor="f_21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𝒫_t μ=(Φ_t)_#μ, (𝒫_t μ)(B)=μ(Φ_t^{-1}(B)).</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270. Perron–Frobenius и transfer-операторы</w:t>
            </w:r>
          </w:p>
        </w:tc>
        <w:tc>
          <w:tcPr>
            <w:tcW w:type="dxa" w:w="907"/>
            <w:vAlign w:val="center"/>
            <w:tcMar>
              <w:top w:w="80" w:type="dxa"/>
              <w:start w:w="100" w:type="dxa"/>
              <w:bottom w:w="80" w:type="dxa"/>
              <w:end w:w="100" w:type="dxa"/>
            </w:tcMar>
          </w:tcPr>
          <w:p>
            <w:pPr>
              <w:spacing w:before="0" w:after="0" w:line="240" w:lineRule="auto"/>
            </w:pPr>
            <w:hyperlink w:anchor="f_21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∫_S f d(𝒫_t μ)=∫_S (𝒦_t f)dμ.</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270. Perron–Frobenius и transfer-операторы</w:t>
            </w:r>
          </w:p>
        </w:tc>
        <w:tc>
          <w:tcPr>
            <w:tcW w:type="dxa" w:w="907"/>
            <w:vAlign w:val="center"/>
            <w:tcMar>
              <w:top w:w="80" w:type="dxa"/>
              <w:start w:w="100" w:type="dxa"/>
              <w:bottom w:w="80" w:type="dxa"/>
              <w:end w:w="100" w:type="dxa"/>
            </w:tcMar>
          </w:tcPr>
          <w:p>
            <w:pPr>
              <w:spacing w:before="0" w:after="0" w:line="240" w:lineRule="auto"/>
            </w:pPr>
            <w:hyperlink w:anchor="f_21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K_{t,s}(x,B)=∫_S K_{t,r}(y,B)K_{r,s}(x,dy), t≥r≥s.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271. Markov kernels и Chapman–Kolmogorov</w:t>
            </w:r>
          </w:p>
        </w:tc>
        <w:tc>
          <w:tcPr>
            <w:tcW w:type="dxa" w:w="907"/>
            <w:vAlign w:val="center"/>
            <w:tcMar>
              <w:top w:w="80" w:type="dxa"/>
              <w:start w:w="100" w:type="dxa"/>
              <w:bottom w:w="80" w:type="dxa"/>
              <w:end w:w="100" w:type="dxa"/>
            </w:tcMar>
          </w:tcPr>
          <w:p>
            <w:pPr>
              <w:spacing w:before="0" w:after="0" w:line="240" w:lineRule="auto"/>
            </w:pPr>
            <w:hyperlink w:anchor="f_21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μ_{t₁,…,t_m}=Q∘(X_{t₁},…,X_{t_m})^{-1}.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272. Path-space carrier и цилиндрическая согласованность</w:t>
            </w:r>
          </w:p>
        </w:tc>
        <w:tc>
          <w:tcPr>
            <w:tcW w:type="dxa" w:w="907"/>
            <w:vAlign w:val="center"/>
            <w:tcMar>
              <w:top w:w="80" w:type="dxa"/>
              <w:start w:w="100" w:type="dxa"/>
              <w:bottom w:w="80" w:type="dxa"/>
              <w:end w:w="100" w:type="dxa"/>
            </w:tcMar>
          </w:tcPr>
          <w:p>
            <w:pPr>
              <w:spacing w:before="0" w:after="0" w:line="240" w:lineRule="auto"/>
            </w:pPr>
            <w:hyperlink w:anchor="f_21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ω_x(t)=𝒰(t,t₀)x.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273. Детерминированные path carriers и орбиты</w:t>
            </w:r>
          </w:p>
        </w:tc>
        <w:tc>
          <w:tcPr>
            <w:tcW w:type="dxa" w:w="907"/>
            <w:vAlign w:val="center"/>
            <w:tcMar>
              <w:top w:w="80" w:type="dxa"/>
              <w:start w:w="100" w:type="dxa"/>
              <w:bottom w:w="80" w:type="dxa"/>
              <w:end w:w="100" w:type="dxa"/>
            </w:tcMar>
          </w:tcPr>
          <w:p>
            <w:pPr>
              <w:spacing w:before="0" w:after="0" w:line="240" w:lineRule="auto"/>
            </w:pPr>
            <w:hyperlink w:anchor="f_21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x(t)=f(t)+∫_{t₀}^{t} B(t,s,x(s)) ds.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274. Причинные Volterra kernels и память</w:t>
            </w:r>
          </w:p>
        </w:tc>
        <w:tc>
          <w:tcPr>
            <w:tcW w:type="dxa" w:w="907"/>
            <w:vAlign w:val="center"/>
            <w:tcMar>
              <w:top w:w="80" w:type="dxa"/>
              <w:start w:w="100" w:type="dxa"/>
              <w:bottom w:w="80" w:type="dxa"/>
              <w:end w:w="100" w:type="dxa"/>
            </w:tcMar>
          </w:tcPr>
          <w:p>
            <w:pPr>
              <w:spacing w:before="0" w:after="0" w:line="240" w:lineRule="auto"/>
            </w:pPr>
            <w:hyperlink w:anchor="f_21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(Fω)(t)=(Fω′)(t).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275. Non-anticipation как строгий причинный firewall</w:t>
            </w:r>
          </w:p>
        </w:tc>
        <w:tc>
          <w:tcPr>
            <w:tcW w:type="dxa" w:w="907"/>
            <w:vAlign w:val="center"/>
            <w:tcMar>
              <w:top w:w="80" w:type="dxa"/>
              <w:start w:w="100" w:type="dxa"/>
              <w:bottom w:w="80" w:type="dxa"/>
              <w:end w:w="100" w:type="dxa"/>
            </w:tcMar>
          </w:tcPr>
          <w:p>
            <w:pPr>
              <w:spacing w:before="0" w:after="0" w:line="240" w:lineRule="auto"/>
            </w:pPr>
            <w:hyperlink w:anchor="f_21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transition kernel ≠ intervention kernel ≠ physical cause.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277. Причинный kernel не равен причинному механизму</w:t>
            </w:r>
          </w:p>
        </w:tc>
        <w:tc>
          <w:tcPr>
            <w:tcW w:type="dxa" w:w="907"/>
            <w:vAlign w:val="center"/>
            <w:tcMar>
              <w:top w:w="80" w:type="dxa"/>
              <w:start w:w="100" w:type="dxa"/>
              <w:bottom w:w="80" w:type="dxa"/>
              <w:end w:w="100" w:type="dxa"/>
            </w:tcMar>
          </w:tcPr>
          <w:p>
            <w:pPr>
              <w:spacing w:before="0" w:after="0" w:line="240" w:lineRule="auto"/>
            </w:pPr>
            <w:hyperlink w:anchor="f_21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Rep_t=(R_t,I_t,U_t;D_t), λ_t=cr(U_t,I_t;R_t,D_t).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278. Реперная траектория и временной Reper</w:t>
            </w:r>
          </w:p>
        </w:tc>
        <w:tc>
          <w:tcPr>
            <w:tcW w:type="dxa" w:w="907"/>
            <w:vAlign w:val="center"/>
            <w:tcMar>
              <w:top w:w="80" w:type="dxa"/>
              <w:start w:w="100" w:type="dxa"/>
              <w:bottom w:w="80" w:type="dxa"/>
              <w:end w:w="100" w:type="dxa"/>
            </w:tcMar>
          </w:tcPr>
          <w:p>
            <w:pPr>
              <w:spacing w:before="0" w:after="0" w:line="240" w:lineRule="auto"/>
            </w:pPr>
            <w:hyperlink w:anchor="f_21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PathRep=(Ω,Q/𝔄,{Rep_t},𝒰,K,B,Obs,𝔽,D,Dom,src,code).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279. Path-Reper carrier</w:t>
            </w:r>
          </w:p>
        </w:tc>
        <w:tc>
          <w:tcPr>
            <w:tcW w:type="dxa" w:w="907"/>
            <w:vAlign w:val="center"/>
            <w:tcMar>
              <w:top w:w="80" w:type="dxa"/>
              <w:start w:w="100" w:type="dxa"/>
              <w:bottom w:w="80" w:type="dxa"/>
              <w:end w:w="100" w:type="dxa"/>
            </w:tcMar>
          </w:tcPr>
          <w:p>
            <w:pPr>
              <w:spacing w:before="0" w:after="0" w:line="240" w:lineRule="auto"/>
            </w:pPr>
            <w:hyperlink w:anchor="f_21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dλ_t/dt = Dλ(Rep_t)·Ṙep_t.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280. Динамическая проективно-гармоническая координата</w:t>
            </w:r>
          </w:p>
        </w:tc>
        <w:tc>
          <w:tcPr>
            <w:tcW w:type="dxa" w:w="907"/>
            <w:vAlign w:val="center"/>
            <w:tcMar>
              <w:top w:w="80" w:type="dxa"/>
              <w:start w:w="100" w:type="dxa"/>
              <w:bottom w:w="80" w:type="dxa"/>
              <w:end w:w="100" w:type="dxa"/>
            </w:tcMar>
          </w:tcPr>
          <w:p>
            <w:pPr>
              <w:spacing w:before="0" w:after="0" w:line="240" w:lineRule="auto"/>
            </w:pPr>
            <w:hyperlink w:anchor="f_21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𝒯_{t,s}: 𝔐(S_s)→𝔐(S_t), 𝒯_{t,r}𝒯_{r,s}=𝒯_{t,s}.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281. Transfer-оператор реперной базы</w:t>
            </w:r>
          </w:p>
        </w:tc>
        <w:tc>
          <w:tcPr>
            <w:tcW w:type="dxa" w:w="907"/>
            <w:vAlign w:val="center"/>
            <w:tcMar>
              <w:top w:w="80" w:type="dxa"/>
              <w:start w:w="100" w:type="dxa"/>
              <w:bottom w:w="80" w:type="dxa"/>
              <w:end w:w="100" w:type="dxa"/>
            </w:tcMar>
          </w:tcPr>
          <w:p>
            <w:pPr>
              <w:spacing w:before="0" w:after="0" w:line="240" w:lineRule="auto"/>
            </w:pPr>
            <w:hyperlink w:anchor="f_21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d/dt 𝒯_t f |_{t=0}=Lf</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282. Генератор и локальный прогноз</w:t>
            </w:r>
          </w:p>
        </w:tc>
        <w:tc>
          <w:tcPr>
            <w:tcW w:type="dxa" w:w="907"/>
            <w:vAlign w:val="center"/>
            <w:tcMar>
              <w:top w:w="80" w:type="dxa"/>
              <w:start w:w="100" w:type="dxa"/>
              <w:bottom w:w="80" w:type="dxa"/>
              <w:end w:w="100" w:type="dxa"/>
            </w:tcMar>
          </w:tcPr>
          <w:p>
            <w:pPr>
              <w:spacing w:before="0" w:after="0" w:line="240" w:lineRule="auto"/>
            </w:pPr>
            <w:hyperlink w:anchor="f_21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e_𝒰(t,s;x)=d(𝒰(t,s)x,Ũ(t,s)x).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283. Устойчивость к возмущениям и ошибка траектории</w:t>
            </w:r>
          </w:p>
        </w:tc>
        <w:tc>
          <w:tcPr>
            <w:tcW w:type="dxa" w:w="907"/>
            <w:vAlign w:val="center"/>
            <w:tcMar>
              <w:top w:w="80" w:type="dxa"/>
              <w:start w:w="100" w:type="dxa"/>
              <w:bottom w:w="80" w:type="dxa"/>
              <w:end w:w="100" w:type="dxa"/>
            </w:tcMar>
          </w:tcPr>
          <w:p>
            <w:pPr>
              <w:spacing w:before="0" w:after="0" w:line="240" w:lineRule="auto"/>
            </w:pPr>
            <w:hyperlink w:anchor="f_21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R_time=(r_sg,r_gen,r_res,r_tr,r_path,r_CK,r_mem,r_na,r_obs,r_cal,r_ext).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284. Динамический и причинный вектор невязок</w:t>
            </w:r>
          </w:p>
        </w:tc>
        <w:tc>
          <w:tcPr>
            <w:tcW w:type="dxa" w:w="907"/>
            <w:vAlign w:val="center"/>
            <w:tcMar>
              <w:top w:w="80" w:type="dxa"/>
              <w:start w:w="100" w:type="dxa"/>
              <w:bottom w:w="80" w:type="dxa"/>
              <w:end w:w="100" w:type="dxa"/>
            </w:tcMar>
          </w:tcPr>
          <w:p>
            <w:pPr>
              <w:spacing w:before="0" w:after="0" w:line="240" w:lineRule="auto"/>
            </w:pPr>
            <w:hyperlink w:anchor="f_21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Δ_sg=Δ_dom∪Δ_cont∪Δ_comp∪Δ_accr∪Δ_res.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285. Переходные горизонты главы 21</w:t>
            </w:r>
          </w:p>
        </w:tc>
        <w:tc>
          <w:tcPr>
            <w:tcW w:type="dxa" w:w="907"/>
            <w:vAlign w:val="center"/>
            <w:tcMar>
              <w:top w:w="80" w:type="dxa"/>
              <w:start w:w="100" w:type="dxa"/>
              <w:bottom w:w="80" w:type="dxa"/>
              <w:end w:w="100" w:type="dxa"/>
            </w:tcMar>
          </w:tcPr>
          <w:p>
            <w:pPr>
              <w:spacing w:before="0" w:after="0" w:line="240" w:lineRule="auto"/>
            </w:pPr>
            <w:hyperlink w:anchor="f_21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Δ_tr=Δ_pos∪Δ_mass∪Δ_dual∪Δ_spec∪Δ_inv.</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285. Переходные горизонты главы 21</w:t>
            </w:r>
          </w:p>
        </w:tc>
        <w:tc>
          <w:tcPr>
            <w:tcW w:type="dxa" w:w="907"/>
            <w:vAlign w:val="center"/>
            <w:tcMar>
              <w:top w:w="80" w:type="dxa"/>
              <w:start w:w="100" w:type="dxa"/>
              <w:bottom w:w="80" w:type="dxa"/>
              <w:end w:w="100" w:type="dxa"/>
            </w:tcMar>
          </w:tcPr>
          <w:p>
            <w:pPr>
              <w:spacing w:before="0" w:after="0" w:line="240" w:lineRule="auto"/>
            </w:pPr>
            <w:hyperlink w:anchor="f_21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Δ_path=Δ_cons∪Δ_tight∪Δ_reg∪Δ_branch∪Δ_hist.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285. Переходные горизонты главы 21</w:t>
            </w:r>
          </w:p>
        </w:tc>
        <w:tc>
          <w:tcPr>
            <w:tcW w:type="dxa" w:w="907"/>
            <w:vAlign w:val="center"/>
            <w:tcMar>
              <w:top w:w="80" w:type="dxa"/>
              <w:start w:w="100" w:type="dxa"/>
              <w:bottom w:w="80" w:type="dxa"/>
              <w:end w:w="100" w:type="dxa"/>
            </w:tcMar>
          </w:tcPr>
          <w:p>
            <w:pPr>
              <w:spacing w:before="0" w:after="0" w:line="240" w:lineRule="auto"/>
            </w:pPr>
            <w:hyperlink w:anchor="f_21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Δ_causal=Δ_order∪Δ_NA∪Δ_filt∪Δ_interv∪Δ_transport.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285. Переходные горизонты главы 21</w:t>
            </w:r>
          </w:p>
        </w:tc>
        <w:tc>
          <w:tcPr>
            <w:tcW w:type="dxa" w:w="907"/>
            <w:vAlign w:val="center"/>
            <w:tcMar>
              <w:top w:w="80" w:type="dxa"/>
              <w:start w:w="100" w:type="dxa"/>
              <w:bottom w:w="80" w:type="dxa"/>
              <w:end w:w="100" w:type="dxa"/>
            </w:tcMar>
          </w:tcPr>
          <w:p>
            <w:pPr>
              <w:spacing w:before="0" w:after="0" w:line="240" w:lineRule="auto"/>
            </w:pPr>
            <w:hyperlink w:anchor="f_21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Δ_safe^{v0.18}=Δ_safe^{v0.17}∪Δ_sg∪Δ_tr∪Δ_path∪Δ_causal.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285. Переходные горизонты главы 21</w:t>
            </w:r>
          </w:p>
        </w:tc>
        <w:tc>
          <w:tcPr>
            <w:tcW w:type="dxa" w:w="907"/>
            <w:vAlign w:val="center"/>
            <w:tcMar>
              <w:top w:w="80" w:type="dxa"/>
              <w:start w:w="100" w:type="dxa"/>
              <w:bottom w:w="80" w:type="dxa"/>
              <w:end w:w="100" w:type="dxa"/>
            </w:tcMar>
          </w:tcPr>
          <w:p>
            <w:pPr>
              <w:spacing w:before="0" w:after="0" w:line="240" w:lineRule="auto"/>
            </w:pPr>
            <w:hyperlink w:anchor="f_21_2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P_time(t)=(class(𝒰_t),class(𝒯_t),class(Q_t),rank/stratum,λ_t,CGI_time,t)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286. Теорема постоянства временного профиля</w:t>
            </w:r>
          </w:p>
        </w:tc>
        <w:tc>
          <w:tcPr>
            <w:tcW w:type="dxa" w:w="907"/>
            <w:vAlign w:val="center"/>
            <w:tcMar>
              <w:top w:w="80" w:type="dxa"/>
              <w:start w:w="100" w:type="dxa"/>
              <w:bottom w:w="80" w:type="dxa"/>
              <w:end w:w="100" w:type="dxa"/>
            </w:tcMar>
          </w:tcPr>
          <w:p>
            <w:pPr>
              <w:spacing w:before="0" w:after="0" w:line="240" w:lineRule="auto"/>
            </w:pPr>
            <w:hyperlink w:anchor="f_21_2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NO-TEMPORAL-TRANSITION-IN-MODEL.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286. Теорема постоянства временного профиля</w:t>
            </w:r>
          </w:p>
        </w:tc>
        <w:tc>
          <w:tcPr>
            <w:tcW w:type="dxa" w:w="907"/>
            <w:vAlign w:val="center"/>
            <w:tcMar>
              <w:top w:w="80" w:type="dxa"/>
              <w:start w:w="100" w:type="dxa"/>
              <w:bottom w:w="80" w:type="dxa"/>
              <w:end w:w="100" w:type="dxa"/>
            </w:tcMar>
          </w:tcPr>
          <w:p>
            <w:pPr>
              <w:spacing w:before="0" w:after="0" w:line="240" w:lineRule="auto"/>
            </w:pPr>
            <w:hyperlink w:anchor="f_21_2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T2-F-21.29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checkpoint=T2-RP-v0.18; next=T2-RP-v0.19.</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292. Контрольная точка и граница вывода</w:t>
            </w:r>
          </w:p>
        </w:tc>
        <w:tc>
          <w:tcPr>
            <w:tcW w:type="dxa" w:w="907"/>
            <w:vAlign w:val="center"/>
            <w:tcMar>
              <w:top w:w="80" w:type="dxa"/>
              <w:start w:w="100" w:type="dxa"/>
              <w:bottom w:w="80" w:type="dxa"/>
              <w:end w:w="100" w:type="dxa"/>
            </w:tcMar>
          </w:tcPr>
          <w:p>
            <w:pPr>
              <w:spacing w:before="0" w:after="0" w:line="240" w:lineRule="auto"/>
            </w:pPr>
            <w:hyperlink w:anchor="f_21_2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source=T2-RP-v0.18; checkpoint=T2-RP-v0.19.</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Глава 22. Стохастические эволюции, martingale problems, stopping times, управление и причинный вывод</w:t>
            </w:r>
          </w:p>
        </w:tc>
        <w:tc>
          <w:tcPr>
            <w:tcW w:type="dxa" w:w="907"/>
            <w:vAlign w:val="center"/>
            <w:tcMar>
              <w:top w:w="80" w:type="dxa"/>
              <w:start w:w="100" w:type="dxa"/>
              <w:bottom w:w="80" w:type="dxa"/>
              <w:end w:w="100" w:type="dxa"/>
            </w:tcMar>
          </w:tcPr>
          <w:p>
            <w:pPr>
              <w:spacing w:before="0" w:after="0" w:line="240" w:lineRule="auto"/>
            </w:pPr>
            <w:hyperlink w:anchor="f_22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(P_t f)(x)=∫_E f(y)p_t(x,dy)=E_x[f(X_t)].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294. Markov kernels и Markov semigroup</w:t>
            </w:r>
          </w:p>
        </w:tc>
        <w:tc>
          <w:tcPr>
            <w:tcW w:type="dxa" w:w="907"/>
            <w:vAlign w:val="center"/>
            <w:tcMar>
              <w:top w:w="80" w:type="dxa"/>
              <w:start w:w="100" w:type="dxa"/>
              <w:bottom w:w="80" w:type="dxa"/>
              <w:end w:w="100" w:type="dxa"/>
            </w:tcMar>
          </w:tcPr>
          <w:p>
            <w:pPr>
              <w:spacing w:before="0" w:after="0" w:line="240" w:lineRule="auto"/>
            </w:pPr>
            <w:hyperlink w:anchor="f_22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Lf = lim_{t↓0}(P_t f-f)/t, f∈Dom(L).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295. Feller-сектор, генератор и положительный максимум</w:t>
            </w:r>
          </w:p>
        </w:tc>
        <w:tc>
          <w:tcPr>
            <w:tcW w:type="dxa" w:w="907"/>
            <w:vAlign w:val="center"/>
            <w:tcMar>
              <w:top w:w="80" w:type="dxa"/>
              <w:start w:w="100" w:type="dxa"/>
              <w:bottom w:w="80" w:type="dxa"/>
              <w:end w:w="100" w:type="dxa"/>
            </w:tcMar>
          </w:tcPr>
          <w:p>
            <w:pPr>
              <w:spacing w:before="0" w:after="0" w:line="240" w:lineRule="auto"/>
            </w:pPr>
            <w:hyperlink w:anchor="f_22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R_α f = ∫_0^∞ e^{-αt}P_t f dt.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296. Резольвента и уравнения Колмогорова</w:t>
            </w:r>
          </w:p>
        </w:tc>
        <w:tc>
          <w:tcPr>
            <w:tcW w:type="dxa" w:w="907"/>
            <w:vAlign w:val="center"/>
            <w:tcMar>
              <w:top w:w="80" w:type="dxa"/>
              <w:start w:w="100" w:type="dxa"/>
              <w:bottom w:w="80" w:type="dxa"/>
              <w:end w:w="100" w:type="dxa"/>
            </w:tcMar>
          </w:tcPr>
          <w:p>
            <w:pPr>
              <w:spacing w:before="0" w:after="0" w:line="240" w:lineRule="auto"/>
            </w:pPr>
            <w:hyperlink w:anchor="f_22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M_t^f = f(X_t)-f(X_0)-∫_0^t Lf(X_s)ds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297. Martingale problem Струка–Варадхана</w:t>
            </w:r>
          </w:p>
        </w:tc>
        <w:tc>
          <w:tcPr>
            <w:tcW w:type="dxa" w:w="907"/>
            <w:vAlign w:val="center"/>
            <w:tcMar>
              <w:top w:w="80" w:type="dxa"/>
              <w:start w:w="100" w:type="dxa"/>
              <w:bottom w:w="80" w:type="dxa"/>
              <w:end w:w="100" w:type="dxa"/>
            </w:tcMar>
          </w:tcPr>
          <w:p>
            <w:pPr>
              <w:spacing w:before="0" w:after="0" w:line="240" w:lineRule="auto"/>
            </w:pPr>
            <w:hyperlink w:anchor="f_22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dX_t=b(t,X_t)dt+σ(t,X_t)dW_t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299. Диффузионный генератор и стохастическое дифференциальное уравнение</w:t>
            </w:r>
          </w:p>
        </w:tc>
        <w:tc>
          <w:tcPr>
            <w:tcW w:type="dxa" w:w="907"/>
            <w:vAlign w:val="center"/>
            <w:tcMar>
              <w:top w:w="80" w:type="dxa"/>
              <w:start w:w="100" w:type="dxa"/>
              <w:bottom w:w="80" w:type="dxa"/>
              <w:end w:w="100" w:type="dxa"/>
            </w:tcMar>
          </w:tcPr>
          <w:p>
            <w:pPr>
              <w:spacing w:before="0" w:after="0" w:line="240" w:lineRule="auto"/>
            </w:pPr>
            <w:hyperlink w:anchor="f_22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L_t f(x)=b(t,x)·∇f(x)+(1/2)Tr(a(t,x)∇²f(x)), a=σσᵀ.</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299. Диффузионный генератор и стохастическое дифференциальное уравнение</w:t>
            </w:r>
          </w:p>
        </w:tc>
        <w:tc>
          <w:tcPr>
            <w:tcW w:type="dxa" w:w="907"/>
            <w:vAlign w:val="center"/>
            <w:tcMar>
              <w:top w:w="80" w:type="dxa"/>
              <w:start w:w="100" w:type="dxa"/>
              <w:bottom w:w="80" w:type="dxa"/>
              <w:end w:w="100" w:type="dxa"/>
            </w:tcMar>
          </w:tcPr>
          <w:p>
            <w:pPr>
              <w:spacing w:before="0" w:after="0" w:line="240" w:lineRule="auto"/>
            </w:pPr>
            <w:hyperlink w:anchor="f_22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Z_t=exp(∫_0^t θ_s·dW_s-(1/2)∫_0^t||θ_s||²ds)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301. Girsanov transform и запрет подмены вмешательства</w:t>
            </w:r>
          </w:p>
        </w:tc>
        <w:tc>
          <w:tcPr>
            <w:tcW w:type="dxa" w:w="907"/>
            <w:vAlign w:val="center"/>
            <w:tcMar>
              <w:top w:w="80" w:type="dxa"/>
              <w:start w:w="100" w:type="dxa"/>
              <w:bottom w:w="80" w:type="dxa"/>
              <w:end w:w="100" w:type="dxa"/>
            </w:tcMar>
          </w:tcPr>
          <w:p>
            <w:pPr>
              <w:spacing w:before="0" w:after="0" w:line="240" w:lineRule="auto"/>
            </w:pPr>
            <w:hyperlink w:anchor="f_22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τ_A = inf{t≥t_0 : X_t∈A}.</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302. Stopping times и остановленный процесс</w:t>
            </w:r>
          </w:p>
        </w:tc>
        <w:tc>
          <w:tcPr>
            <w:tcW w:type="dxa" w:w="907"/>
            <w:vAlign w:val="center"/>
            <w:tcMar>
              <w:top w:w="80" w:type="dxa"/>
              <w:start w:w="100" w:type="dxa"/>
              <w:bottom w:w="80" w:type="dxa"/>
              <w:end w:w="100" w:type="dxa"/>
            </w:tcMar>
          </w:tcPr>
          <w:p>
            <w:pPr>
              <w:spacing w:before="0" w:after="0" w:line="240" w:lineRule="auto"/>
            </w:pPr>
            <w:hyperlink w:anchor="f_22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p_A(T,x)=P_x(τ_A≤T).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305. Hitting probabilities и first-passage prediction</w:t>
            </w:r>
          </w:p>
        </w:tc>
        <w:tc>
          <w:tcPr>
            <w:tcW w:type="dxa" w:w="907"/>
            <w:vAlign w:val="center"/>
            <w:tcMar>
              <w:top w:w="80" w:type="dxa"/>
              <w:start w:w="100" w:type="dxa"/>
              <w:bottom w:w="80" w:type="dxa"/>
              <w:end w:w="100" w:type="dxa"/>
            </w:tcMar>
          </w:tcPr>
          <w:p>
            <w:pPr>
              <w:spacing w:before="0" w:after="0" w:line="240" w:lineRule="auto"/>
            </w:pPr>
            <w:hyperlink w:anchor="f_22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(∂_t+L_t)V(t,x)≤0 на [0,T]×(E\A).</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306. Стохастический барьерный сертификат</w:t>
            </w:r>
          </w:p>
        </w:tc>
        <w:tc>
          <w:tcPr>
            <w:tcW w:type="dxa" w:w="907"/>
            <w:vAlign w:val="center"/>
            <w:tcMar>
              <w:top w:w="80" w:type="dxa"/>
              <w:start w:w="100" w:type="dxa"/>
              <w:bottom w:w="80" w:type="dxa"/>
              <w:end w:w="100" w:type="dxa"/>
            </w:tcMar>
          </w:tcPr>
          <w:p>
            <w:pPr>
              <w:spacing w:before="0" w:after="0" w:line="240" w:lineRule="auto"/>
            </w:pPr>
            <w:hyperlink w:anchor="f_22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P_{x_0}(τ_A≤T)≤V(0,x_0).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306. Стохастический барьерный сертификат</w:t>
            </w:r>
          </w:p>
        </w:tc>
        <w:tc>
          <w:tcPr>
            <w:tcW w:type="dxa" w:w="907"/>
            <w:vAlign w:val="center"/>
            <w:tcMar>
              <w:top w:w="80" w:type="dxa"/>
              <w:start w:w="100" w:type="dxa"/>
              <w:bottom w:w="80" w:type="dxa"/>
              <w:end w:w="100" w:type="dxa"/>
            </w:tcMar>
          </w:tcPr>
          <w:p>
            <w:pPr>
              <w:spacing w:before="0" w:after="0" w:line="240" w:lineRule="auto"/>
            </w:pPr>
            <w:hyperlink w:anchor="f_22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sup_{a∈A(t,x)} (∂_t+L_t^a)V(t,x)≤0,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307. Робастный барьер для всех допустимых управлений</w:t>
            </w:r>
          </w:p>
        </w:tc>
        <w:tc>
          <w:tcPr>
            <w:tcW w:type="dxa" w:w="907"/>
            <w:vAlign w:val="center"/>
            <w:tcMar>
              <w:top w:w="80" w:type="dxa"/>
              <w:start w:w="100" w:type="dxa"/>
              <w:bottom w:w="80" w:type="dxa"/>
              <w:end w:w="100" w:type="dxa"/>
            </w:tcMar>
          </w:tcPr>
          <w:p>
            <w:pPr>
              <w:spacing w:before="0" w:after="0" w:line="240" w:lineRule="auto"/>
            </w:pPr>
            <w:hyperlink w:anchor="f_22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J(π;x)=E_x^π[∫_0^T c(t,X_t,a_t)dt+g(X_T)].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308. Controlled Markov family и policy law</w:t>
            </w:r>
          </w:p>
        </w:tc>
        <w:tc>
          <w:tcPr>
            <w:tcW w:type="dxa" w:w="907"/>
            <w:vAlign w:val="center"/>
            <w:tcMar>
              <w:top w:w="80" w:type="dxa"/>
              <w:start w:w="100" w:type="dxa"/>
              <w:bottom w:w="80" w:type="dxa"/>
              <w:end w:w="100" w:type="dxa"/>
            </w:tcMar>
          </w:tcPr>
          <w:p>
            <w:pPr>
              <w:spacing w:before="0" w:after="0" w:line="240" w:lineRule="auto"/>
            </w:pPr>
            <w:hyperlink w:anchor="f_22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∂_tV^*+inf_{a∈A}{L^aV^*+c(t,x,a)}=0, V^*(T,x)=g(x).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309. Dynamic programming и HJB-слой</w:t>
            </w:r>
          </w:p>
        </w:tc>
        <w:tc>
          <w:tcPr>
            <w:tcW w:type="dxa" w:w="907"/>
            <w:vAlign w:val="center"/>
            <w:tcMar>
              <w:top w:w="80" w:type="dxa"/>
              <w:start w:w="100" w:type="dxa"/>
              <w:bottom w:w="80" w:type="dxa"/>
              <w:end w:w="100" w:type="dxa"/>
            </w:tcMar>
          </w:tcPr>
          <w:p>
            <w:pPr>
              <w:spacing w:before="0" w:after="0" w:line="240" w:lineRule="auto"/>
            </w:pPr>
            <w:hyperlink w:anchor="f_22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X_{t+1}=F_t(X_{≤t},A_t,U_{t+1}), Y_t=G_t(X_{≤t},U_t).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312. Structural causal kernel и do-оператор</w:t>
            </w:r>
          </w:p>
        </w:tc>
        <w:tc>
          <w:tcPr>
            <w:tcW w:type="dxa" w:w="907"/>
            <w:vAlign w:val="center"/>
            <w:tcMar>
              <w:top w:w="80" w:type="dxa"/>
              <w:start w:w="100" w:type="dxa"/>
              <w:bottom w:w="80" w:type="dxa"/>
              <w:end w:w="100" w:type="dxa"/>
            </w:tcMar>
          </w:tcPr>
          <w:p>
            <w:pPr>
              <w:spacing w:before="0" w:after="0" w:line="240" w:lineRule="auto"/>
            </w:pPr>
            <w:hyperlink w:anchor="f_22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p(y^{a-bar}) = ∫ ∏_t p(l_{t+1}|l-bar_t,a-bar_t) p(y|l-bar_T,a-bar_T) d(l-bar).</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313. g-формула и условия идентификации</w:t>
            </w:r>
          </w:p>
        </w:tc>
        <w:tc>
          <w:tcPr>
            <w:tcW w:type="dxa" w:w="907"/>
            <w:vAlign w:val="center"/>
            <w:tcMar>
              <w:top w:w="80" w:type="dxa"/>
              <w:start w:w="100" w:type="dxa"/>
              <w:bottom w:w="80" w:type="dxa"/>
              <w:end w:w="100" w:type="dxa"/>
            </w:tcMar>
          </w:tcPr>
          <w:p>
            <w:pPr>
              <w:spacing w:before="0" w:after="0" w:line="240" w:lineRule="auto"/>
            </w:pPr>
            <w:hyperlink w:anchor="f_22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Rep_t(ω)=(R_t(ω),I_t(ω),U_t(ω);D_t(ω)).</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315. Стохастический Reper-path</w:t>
            </w:r>
          </w:p>
        </w:tc>
        <w:tc>
          <w:tcPr>
            <w:tcW w:type="dxa" w:w="907"/>
            <w:vAlign w:val="center"/>
            <w:tcMar>
              <w:top w:w="80" w:type="dxa"/>
              <w:start w:w="100" w:type="dxa"/>
              <w:bottom w:w="80" w:type="dxa"/>
              <w:end w:w="100" w:type="dxa"/>
            </w:tcMar>
          </w:tcPr>
          <w:p>
            <w:pPr>
              <w:spacing w:before="0" w:after="0" w:line="240" w:lineRule="auto"/>
            </w:pPr>
            <w:hyperlink w:anchor="f_22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dφ(X_t)=Lφ(X_t)dt+∇φ(X_t)σ(X_t)dW_t.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316. Ито-формула для гармонического дефекта</w:t>
            </w:r>
          </w:p>
        </w:tc>
        <w:tc>
          <w:tcPr>
            <w:tcW w:type="dxa" w:w="907"/>
            <w:vAlign w:val="center"/>
            <w:tcMar>
              <w:top w:w="80" w:type="dxa"/>
              <w:start w:w="100" w:type="dxa"/>
              <w:bottom w:w="80" w:type="dxa"/>
              <w:end w:w="100" w:type="dxa"/>
            </w:tcMar>
          </w:tcPr>
          <w:p>
            <w:pPr>
              <w:spacing w:before="0" w:after="0" w:line="240" w:lineRule="auto"/>
            </w:pPr>
            <w:hyperlink w:anchor="f_22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Lq=2φLφ+||σᵀ∇φ||².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316. Ито-формула для гармонического дефекта</w:t>
            </w:r>
          </w:p>
        </w:tc>
        <w:tc>
          <w:tcPr>
            <w:tcW w:type="dxa" w:w="907"/>
            <w:vAlign w:val="center"/>
            <w:tcMar>
              <w:top w:w="80" w:type="dxa"/>
              <w:start w:w="100" w:type="dxa"/>
              <w:bottom w:w="80" w:type="dxa"/>
              <w:end w:w="100" w:type="dxa"/>
            </w:tcMar>
          </w:tcPr>
          <w:p>
            <w:pPr>
              <w:spacing w:before="0" w:after="0" w:line="240" w:lineRule="auto"/>
            </w:pPr>
            <w:hyperlink w:anchor="f_22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σ_j(x)·∇φ(x)=0 для всех j, Lφ(x)=0, x∈M.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317. Условия стохастической инвариантности гармонического локуса</w:t>
            </w:r>
          </w:p>
        </w:tc>
        <w:tc>
          <w:tcPr>
            <w:tcW w:type="dxa" w:w="907"/>
            <w:vAlign w:val="center"/>
            <w:tcMar>
              <w:top w:w="80" w:type="dxa"/>
              <w:start w:w="100" w:type="dxa"/>
              <w:bottom w:w="80" w:type="dxa"/>
              <w:end w:w="100" w:type="dxa"/>
            </w:tcMar>
          </w:tcPr>
          <w:p>
            <w:pPr>
              <w:spacing w:before="0" w:after="0" w:line="240" w:lineRule="auto"/>
            </w:pPr>
            <w:hyperlink w:anchor="f_22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R_{s,t}^{f_k}=f_k(X_t)-f_k(X_s)-∫_s^t Lf_k(X_r)dr.</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318. Martingale residuals как вычислительные тесты генератора</w:t>
            </w:r>
          </w:p>
        </w:tc>
        <w:tc>
          <w:tcPr>
            <w:tcW w:type="dxa" w:w="907"/>
            <w:vAlign w:val="center"/>
            <w:tcMar>
              <w:top w:w="80" w:type="dxa"/>
              <w:start w:w="100" w:type="dxa"/>
              <w:bottom w:w="80" w:type="dxa"/>
              <w:end w:w="100" w:type="dxa"/>
            </w:tcMar>
          </w:tcPr>
          <w:p>
            <w:pPr>
              <w:spacing w:before="0" w:after="0" w:line="240" w:lineRule="auto"/>
            </w:pPr>
            <w:hyperlink w:anchor="f_22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P(sup_t E_t ≥ 1/α)≤α.</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319. Sequential evidence и остановочно-безопасный слой</w:t>
            </w:r>
          </w:p>
        </w:tc>
        <w:tc>
          <w:tcPr>
            <w:tcW w:type="dxa" w:w="907"/>
            <w:vAlign w:val="center"/>
            <w:tcMar>
              <w:top w:w="80" w:type="dxa"/>
              <w:start w:w="100" w:type="dxa"/>
              <w:bottom w:w="80" w:type="dxa"/>
              <w:end w:w="100" w:type="dxa"/>
            </w:tcMar>
          </w:tcPr>
          <w:p>
            <w:pPr>
              <w:spacing w:before="0" w:after="0" w:line="240" w:lineRule="auto"/>
            </w:pPr>
            <w:hyperlink w:anchor="f_22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Δ_stoch = Δ_MP ∪ Δ_Feller ∪ Δ_gen ∪ Δ_stop ∪ Δ_hit ∪ Δ_bar ∪ Δ_ctrl ∪ Δ_HJB ∪ Δ_do ∪ Δ_id ∪ Δ_λ ∪ Δ_cal ∪ Δ_ext.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320. Стохастический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22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Δ_safe^{v0.19}=Δ_safe^{v0.18}∪Δ_stoch.</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320. Стохастический переходный горизонт</w:t>
            </w:r>
          </w:p>
        </w:tc>
        <w:tc>
          <w:tcPr>
            <w:tcW w:type="dxa" w:w="907"/>
            <w:vAlign w:val="center"/>
            <w:tcMar>
              <w:top w:w="80" w:type="dxa"/>
              <w:start w:w="100" w:type="dxa"/>
              <w:bottom w:w="80" w:type="dxa"/>
              <w:end w:w="100" w:type="dxa"/>
            </w:tcMar>
          </w:tcPr>
          <w:p>
            <w:pPr>
              <w:spacing w:before="0" w:after="0" w:line="240" w:lineRule="auto"/>
            </w:pPr>
            <w:hyperlink w:anchor="f_22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V(0,x)=0 =&gt; NO-HIT-IN-MODEL; 0&lt;V(0,x)≤α =&gt; RISK-BOUND≤α.</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321. Главная условная теорема v0.19</w:t>
            </w:r>
          </w:p>
        </w:tc>
        <w:tc>
          <w:tcPr>
            <w:tcW w:type="dxa" w:w="907"/>
            <w:vAlign w:val="center"/>
            <w:tcMar>
              <w:top w:w="80" w:type="dxa"/>
              <w:start w:w="100" w:type="dxa"/>
              <w:bottom w:w="80" w:type="dxa"/>
              <w:end w:w="100" w:type="dxa"/>
            </w:tcMar>
          </w:tcPr>
          <w:p>
            <w:pPr>
              <w:spacing w:before="0" w:after="0" w:line="240" w:lineRule="auto"/>
            </w:pPr>
            <w:hyperlink w:anchor="f_22_2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Block_stoch=B_basis∪B_MP∪B_gen∪B_stop∪B_bar∪B_ctrl∪B_do∪B_id∪B_λ∪B_cal∪B_ext.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322. Blocker-safe verdict</w:t>
            </w:r>
          </w:p>
        </w:tc>
        <w:tc>
          <w:tcPr>
            <w:tcW w:type="dxa" w:w="907"/>
            <w:vAlign w:val="center"/>
            <w:tcMar>
              <w:top w:w="80" w:type="dxa"/>
              <w:start w:w="100" w:type="dxa"/>
              <w:bottom w:w="80" w:type="dxa"/>
              <w:end w:w="100" w:type="dxa"/>
            </w:tcMar>
          </w:tcPr>
          <w:p>
            <w:pPr>
              <w:spacing w:before="0" w:after="0" w:line="240" w:lineRule="auto"/>
            </w:pPr>
            <w:hyperlink w:anchor="f_22_2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T2-F-22.28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checkpoint=T2-RP-v0.19; next=T2-RP-v0.20.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327. Контрольная точка и граница вывода</w:t>
            </w:r>
          </w:p>
        </w:tc>
        <w:tc>
          <w:tcPr>
            <w:tcW w:type="dxa" w:w="907"/>
            <w:vAlign w:val="center"/>
            <w:tcMar>
              <w:top w:w="80" w:type="dxa"/>
              <w:start w:w="100" w:type="dxa"/>
              <w:bottom w:w="80" w:type="dxa"/>
              <w:end w:w="100" w:type="dxa"/>
            </w:tcMar>
          </w:tcPr>
          <w:p>
            <w:pPr>
              <w:spacing w:before="0" w:after="0" w:line="240" w:lineRule="auto"/>
            </w:pPr>
            <w:hyperlink w:anchor="f_22_2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source=T2-RP-v0.19; checkpoint=T2-RP-v0.20.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Глава 23. Large deviations, risk-sensitive semigroups, геометрия редких событий и конечновыборочная сертификац</w:t>
            </w:r>
          </w:p>
        </w:tc>
        <w:tc>
          <w:tcPr>
            <w:tcW w:type="dxa" w:w="907"/>
            <w:vAlign w:val="center"/>
            <w:tcMar>
              <w:top w:w="80" w:type="dxa"/>
              <w:start w:w="100" w:type="dxa"/>
              <w:bottom w:w="80" w:type="dxa"/>
              <w:end w:w="100" w:type="dxa"/>
            </w:tcMar>
          </w:tcPr>
          <w:p>
            <w:pPr>
              <w:spacing w:before="0" w:after="0" w:line="240" w:lineRule="auto"/>
            </w:pPr>
            <w:hyperlink w:anchor="f_23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-inf_{x∈A°} I(x) ≤ liminf_n a_n^{-1}log P(Z_n∈A) ≤ limsup_n a_n^{-1}log P(Z_n∈A) ≤ -inf_{x∈cl A}I(x).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330. Определение large-deviation principle</w:t>
            </w:r>
          </w:p>
        </w:tc>
        <w:tc>
          <w:tcPr>
            <w:tcW w:type="dxa" w:w="907"/>
            <w:vAlign w:val="center"/>
            <w:tcMar>
              <w:top w:w="80" w:type="dxa"/>
              <w:start w:w="100" w:type="dxa"/>
              <w:bottom w:w="80" w:type="dxa"/>
              <w:end w:w="100" w:type="dxa"/>
            </w:tcMar>
          </w:tcPr>
          <w:p>
            <w:pPr>
              <w:spacing w:before="0" w:after="0" w:line="240" w:lineRule="auto"/>
            </w:pPr>
            <w:hyperlink w:anchor="f_23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limsup_n a_n^{-1}log P(Z_n∉K_M) ≤ -M.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331. Экспоненциальная tightness и good rate</w:t>
            </w:r>
          </w:p>
        </w:tc>
        <w:tc>
          <w:tcPr>
            <w:tcW w:type="dxa" w:w="907"/>
            <w:vAlign w:val="center"/>
            <w:tcMar>
              <w:top w:w="80" w:type="dxa"/>
              <w:start w:w="100" w:type="dxa"/>
              <w:bottom w:w="80" w:type="dxa"/>
              <w:end w:w="100" w:type="dxa"/>
            </w:tcMar>
          </w:tcPr>
          <w:p>
            <w:pPr>
              <w:spacing w:before="0" w:after="0" w:line="240" w:lineRule="auto"/>
            </w:pPr>
            <w:hyperlink w:anchor="f_23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J(y)=inf{I(x):F(x)=y}, inf∅=∞.</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332. Contraction principle</w:t>
            </w:r>
          </w:p>
        </w:tc>
        <w:tc>
          <w:tcPr>
            <w:tcW w:type="dxa" w:w="907"/>
            <w:vAlign w:val="center"/>
            <w:tcMar>
              <w:top w:w="80" w:type="dxa"/>
              <w:start w:w="100" w:type="dxa"/>
              <w:bottom w:w="80" w:type="dxa"/>
              <w:end w:w="100" w:type="dxa"/>
            </w:tcMar>
          </w:tcPr>
          <w:p>
            <w:pPr>
              <w:spacing w:before="0" w:after="0" w:line="240" w:lineRule="auto"/>
            </w:pPr>
            <w:hyperlink w:anchor="f_23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lim_n a_n^{-1}log E exp(a_n F(Z_n)) = sup_{x∈𝒳}{F(x)-I(x)}.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333. Laplace principle и лемма Варадана</w:t>
            </w:r>
          </w:p>
        </w:tc>
        <w:tc>
          <w:tcPr>
            <w:tcW w:type="dxa" w:w="907"/>
            <w:vAlign w:val="center"/>
            <w:tcMar>
              <w:top w:w="80" w:type="dxa"/>
              <w:start w:w="100" w:type="dxa"/>
              <w:bottom w:w="80" w:type="dxa"/>
              <w:end w:w="100" w:type="dxa"/>
            </w:tcMar>
          </w:tcPr>
          <w:p>
            <w:pPr>
              <w:spacing w:before="0" w:after="0" w:line="240" w:lineRule="auto"/>
            </w:pPr>
            <w:hyperlink w:anchor="f_23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Λ(θ)=lim_n a_n^{-1}log E exp(a_n⟨θ,Z_n⟩).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334. Gärtner-Ellis theorem и границы применимости</w:t>
            </w:r>
          </w:p>
        </w:tc>
        <w:tc>
          <w:tcPr>
            <w:tcW w:type="dxa" w:w="907"/>
            <w:vAlign w:val="center"/>
            <w:tcMar>
              <w:top w:w="80" w:type="dxa"/>
              <w:start w:w="100" w:type="dxa"/>
              <w:bottom w:w="80" w:type="dxa"/>
              <w:end w:w="100" w:type="dxa"/>
            </w:tcMar>
          </w:tcPr>
          <w:p>
            <w:pPr>
              <w:spacing w:before="0" w:after="0" w:line="240" w:lineRule="auto"/>
            </w:pPr>
            <w:hyperlink w:anchor="f_23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I(Q)=D(Q||P),</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335. Sanov layer: эмпирическая мера и относительная энтропия</w:t>
            </w:r>
          </w:p>
        </w:tc>
        <w:tc>
          <w:tcPr>
            <w:tcW w:type="dxa" w:w="907"/>
            <w:vAlign w:val="center"/>
            <w:tcMar>
              <w:top w:w="80" w:type="dxa"/>
              <w:start w:w="100" w:type="dxa"/>
              <w:bottom w:w="80" w:type="dxa"/>
              <w:end w:w="100" w:type="dxa"/>
            </w:tcMar>
          </w:tcPr>
          <w:p>
            <w:pPr>
              <w:spacing w:before="0" w:after="0" w:line="240" w:lineRule="auto"/>
            </w:pPr>
            <w:hyperlink w:anchor="f_23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dX_t^ε=b(X_t^ε)dt+√ε σ(X_t^ε)dW_t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337. Freidlin-Wentzell action для малошумных диффузий</w:t>
            </w:r>
          </w:p>
        </w:tc>
        <w:tc>
          <w:tcPr>
            <w:tcW w:type="dxa" w:w="907"/>
            <w:vAlign w:val="center"/>
            <w:tcMar>
              <w:top w:w="80" w:type="dxa"/>
              <w:start w:w="100" w:type="dxa"/>
              <w:bottom w:w="80" w:type="dxa"/>
              <w:end w:w="100" w:type="dxa"/>
            </w:tcMar>
          </w:tcPr>
          <w:p>
            <w:pPr>
              <w:spacing w:before="0" w:after="0" w:line="240" w:lineRule="auto"/>
            </w:pPr>
            <w:hyperlink w:anchor="f_23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S_{0T}(φ)=1/2 ∫_0^T ⟨φ_dot-b(φ), a(φ)^{-1}(φ_dot-b(φ))⟩ dt,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337. Freidlin-Wentzell action для малошумных диффузий</w:t>
            </w:r>
          </w:p>
        </w:tc>
        <w:tc>
          <w:tcPr>
            <w:tcW w:type="dxa" w:w="907"/>
            <w:vAlign w:val="center"/>
            <w:tcMar>
              <w:top w:w="80" w:type="dxa"/>
              <w:start w:w="100" w:type="dxa"/>
              <w:bottom w:w="80" w:type="dxa"/>
              <w:end w:w="100" w:type="dxa"/>
            </w:tcMar>
          </w:tcPr>
          <w:p>
            <w:pPr>
              <w:spacing w:before="0" w:after="0" w:line="240" w:lineRule="auto"/>
            </w:pPr>
            <w:hyperlink w:anchor="f_23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V(x,y)=inf_{T&gt;0} inf_{φ(0)=x, φ(T)=y} S_{0T}(φ).</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338. Quasipotential и геометрия метастабильных переходов</w:t>
            </w:r>
          </w:p>
        </w:tc>
        <w:tc>
          <w:tcPr>
            <w:tcW w:type="dxa" w:w="907"/>
            <w:vAlign w:val="center"/>
            <w:tcMar>
              <w:top w:w="80" w:type="dxa"/>
              <w:start w:w="100" w:type="dxa"/>
              <w:bottom w:w="80" w:type="dxa"/>
              <w:end w:w="100" w:type="dxa"/>
            </w:tcMar>
          </w:tcPr>
          <w:p>
            <w:pPr>
              <w:spacing w:before="0" w:after="0" w:line="240" w:lineRule="auto"/>
            </w:pPr>
            <w:hyperlink w:anchor="f_23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z=(Rep, μ, Ass, o, λ, D, Dom).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339. Редкособытийная геометрия Reper-path</w:t>
            </w:r>
          </w:p>
        </w:tc>
        <w:tc>
          <w:tcPr>
            <w:tcW w:type="dxa" w:w="907"/>
            <w:vAlign w:val="center"/>
            <w:tcMar>
              <w:top w:w="80" w:type="dxa"/>
              <w:start w:w="100" w:type="dxa"/>
              <w:bottom w:w="80" w:type="dxa"/>
              <w:end w:w="100" w:type="dxa"/>
            </w:tcMar>
          </w:tcPr>
          <w:p>
            <w:pPr>
              <w:spacing w:before="0" w:after="0" w:line="240" w:lineRule="auto"/>
            </w:pPr>
            <w:hyperlink w:anchor="f_23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A_{ε,η}={z(·): inf_t |λ_t+1|≤ε, ||o_t||≤η, Valid(D_t)=1, Block_t=∅}.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339. Редкособытийная геометрия Reper-path</w:t>
            </w:r>
          </w:p>
        </w:tc>
        <w:tc>
          <w:tcPr>
            <w:tcW w:type="dxa" w:w="907"/>
            <w:vAlign w:val="center"/>
            <w:tcMar>
              <w:top w:w="80" w:type="dxa"/>
              <w:start w:w="100" w:type="dxa"/>
              <w:bottom w:w="80" w:type="dxa"/>
              <w:end w:w="100" w:type="dxa"/>
            </w:tcMar>
          </w:tcPr>
          <w:p>
            <w:pPr>
              <w:spacing w:before="0" w:after="0" w:line="240" w:lineRule="auto"/>
            </w:pPr>
            <w:hyperlink w:anchor="f_23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c_{ε,η}=inf_{z(·)∈cl A_{ε,η}} I_path(z).</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339. Редкособытийная геометрия Reper-path</w:t>
            </w:r>
          </w:p>
        </w:tc>
        <w:tc>
          <w:tcPr>
            <w:tcW w:type="dxa" w:w="907"/>
            <w:vAlign w:val="center"/>
            <w:tcMar>
              <w:top w:w="80" w:type="dxa"/>
              <w:start w:w="100" w:type="dxa"/>
              <w:bottom w:w="80" w:type="dxa"/>
              <w:end w:w="100" w:type="dxa"/>
            </w:tcMar>
          </w:tcPr>
          <w:p>
            <w:pPr>
              <w:spacing w:before="0" w:after="0" w:line="240" w:lineRule="auto"/>
            </w:pPr>
            <w:hyperlink w:anchor="f_23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L_T=(1/T)∫_0^T δ_{X_t}dt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341. Donsker-Varadhan layer для эмпирических мер Markov-процесса</w:t>
            </w:r>
          </w:p>
        </w:tc>
        <w:tc>
          <w:tcPr>
            <w:tcW w:type="dxa" w:w="907"/>
            <w:vAlign w:val="center"/>
            <w:tcMar>
              <w:top w:w="80" w:type="dxa"/>
              <w:start w:w="100" w:type="dxa"/>
              <w:bottom w:w="80" w:type="dxa"/>
              <w:end w:w="100" w:type="dxa"/>
            </w:tcMar>
          </w:tcPr>
          <w:p>
            <w:pPr>
              <w:spacing w:before="0" w:after="0" w:line="240" w:lineRule="auto"/>
            </w:pPr>
            <w:hyperlink w:anchor="f_23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I_DV(μ)= -inf_{u&gt;0} ∫ (Lu/u)dμ.</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341. Donsker-Varadhan layer для эмпирических мер Markov-процесса</w:t>
            </w:r>
          </w:p>
        </w:tc>
        <w:tc>
          <w:tcPr>
            <w:tcW w:type="dxa" w:w="907"/>
            <w:vAlign w:val="center"/>
            <w:tcMar>
              <w:top w:w="80" w:type="dxa"/>
              <w:start w:w="100" w:type="dxa"/>
              <w:bottom w:w="80" w:type="dxa"/>
              <w:end w:w="100" w:type="dxa"/>
            </w:tcMar>
          </w:tcPr>
          <w:p>
            <w:pPr>
              <w:spacing w:before="0" w:after="0" w:line="240" w:lineRule="auto"/>
            </w:pPr>
            <w:hyperlink w:anchor="f_23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(Q_t^V f)(x)=E_x[exp(∫_0^t V(X_s)ds) f(X_t)].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342. Feynman-Kac semigroup</w:t>
            </w:r>
          </w:p>
        </w:tc>
        <w:tc>
          <w:tcPr>
            <w:tcW w:type="dxa" w:w="907"/>
            <w:vAlign w:val="center"/>
            <w:tcMar>
              <w:top w:w="80" w:type="dxa"/>
              <w:start w:w="100" w:type="dxa"/>
              <w:bottom w:w="80" w:type="dxa"/>
              <w:end w:w="100" w:type="dxa"/>
            </w:tcMar>
          </w:tcPr>
          <w:p>
            <w:pPr>
              <w:spacing w:before="0" w:after="0" w:line="240" w:lineRule="auto"/>
            </w:pPr>
            <w:hyperlink w:anchor="f_23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(S_t^{θ,V}g)(x)=θ^{-1} log E_x exp(θ[g(X_t)+∫_0^t V(X_s)ds]).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343. Risk-sensitive логарифмический semigroup</w:t>
            </w:r>
          </w:p>
        </w:tc>
        <w:tc>
          <w:tcPr>
            <w:tcW w:type="dxa" w:w="907"/>
            <w:vAlign w:val="center"/>
            <w:tcMar>
              <w:top w:w="80" w:type="dxa"/>
              <w:start w:w="100" w:type="dxa"/>
              <w:bottom w:w="80" w:type="dxa"/>
              <w:end w:w="100" w:type="dxa"/>
            </w:tcMar>
          </w:tcPr>
          <w:p>
            <w:pPr>
              <w:spacing w:before="0" w:after="0" w:line="240" w:lineRule="auto"/>
            </w:pPr>
            <w:hyperlink w:anchor="f_23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H_θ f = θ^{-1}e^{-θf}L(e^{θf})+V.</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344. Нелинейный генератор risk-sensitive слоя</w:t>
            </w:r>
          </w:p>
        </w:tc>
        <w:tc>
          <w:tcPr>
            <w:tcW w:type="dxa" w:w="907"/>
            <w:vAlign w:val="center"/>
            <w:tcMar>
              <w:top w:w="80" w:type="dxa"/>
              <w:start w:w="100" w:type="dxa"/>
              <w:bottom w:w="80" w:type="dxa"/>
              <w:end w:w="100" w:type="dxa"/>
            </w:tcMar>
          </w:tcPr>
          <w:p>
            <w:pPr>
              <w:spacing w:before="0" w:after="0" w:line="240" w:lineRule="auto"/>
            </w:pPr>
            <w:hyperlink w:anchor="f_23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H_θ f = Lf +(θ/2)||σᵀ∇f||²+V.</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344. Нелинейный генератор risk-sensitive слоя</w:t>
            </w:r>
          </w:p>
        </w:tc>
        <w:tc>
          <w:tcPr>
            <w:tcW w:type="dxa" w:w="907"/>
            <w:vAlign w:val="center"/>
            <w:tcMar>
              <w:top w:w="80" w:type="dxa"/>
              <w:start w:w="100" w:type="dxa"/>
              <w:bottom w:w="80" w:type="dxa"/>
              <w:end w:w="100" w:type="dxa"/>
            </w:tcMar>
          </w:tcPr>
          <w:p>
            <w:pPr>
              <w:spacing w:before="0" w:after="0" w:line="240" w:lineRule="auto"/>
            </w:pPr>
            <w:hyperlink w:anchor="f_23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ρ(θ)=lim_{t→∞}(1/t)log E_x exp(θ∫_0^t V(X_s)ds).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345. Long-time eigenvalue и multiplicative ergodic limit</w:t>
            </w:r>
          </w:p>
        </w:tc>
        <w:tc>
          <w:tcPr>
            <w:tcW w:type="dxa" w:w="907"/>
            <w:vAlign w:val="center"/>
            <w:tcMar>
              <w:top w:w="80" w:type="dxa"/>
              <w:start w:w="100" w:type="dxa"/>
              <w:bottom w:w="80" w:type="dxa"/>
              <w:end w:w="100" w:type="dxa"/>
            </w:tcMar>
          </w:tcPr>
          <w:p>
            <w:pPr>
              <w:spacing w:before="0" w:after="0" w:line="240" w:lineRule="auto"/>
            </w:pPr>
            <w:hyperlink w:anchor="f_23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log E_P e^F = sup_{Q&lt;&lt;P}{E_Q F-D(Q||P)}.</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346. Энтропийная вариационная формула</w:t>
            </w:r>
          </w:p>
        </w:tc>
        <w:tc>
          <w:tcPr>
            <w:tcW w:type="dxa" w:w="907"/>
            <w:vAlign w:val="center"/>
            <w:tcMar>
              <w:top w:w="80" w:type="dxa"/>
              <w:start w:w="100" w:type="dxa"/>
              <w:bottom w:w="80" w:type="dxa"/>
              <w:end w:w="100" w:type="dxa"/>
            </w:tcMar>
          </w:tcPr>
          <w:p>
            <w:pPr>
              <w:spacing w:before="0" w:after="0" w:line="240" w:lineRule="auto"/>
            </w:pPr>
            <w:hyperlink w:anchor="f_23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J_θ(a)=limsup_{T→∞}(1/(θT))log E^a exp(θ∫_0^T c(X_t,a_t)dt)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347. Risk-sensitive control и HJB eigenproblem</w:t>
            </w:r>
          </w:p>
        </w:tc>
        <w:tc>
          <w:tcPr>
            <w:tcW w:type="dxa" w:w="907"/>
            <w:vAlign w:val="center"/>
            <w:tcMar>
              <w:top w:w="80" w:type="dxa"/>
              <w:start w:w="100" w:type="dxa"/>
              <w:bottom w:w="80" w:type="dxa"/>
              <w:end w:w="100" w:type="dxa"/>
            </w:tcMar>
          </w:tcPr>
          <w:p>
            <w:pPr>
              <w:spacing w:before="0" w:after="0" w:line="240" w:lineRule="auto"/>
            </w:pPr>
            <w:hyperlink w:anchor="f_23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ρ+inf_a{L^a v+c(x,a)+(θ/2)||σ_aᵀ∇v||²}=0.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347. Risk-sensitive control и HJB eigenproblem</w:t>
            </w:r>
          </w:p>
        </w:tc>
        <w:tc>
          <w:tcPr>
            <w:tcW w:type="dxa" w:w="907"/>
            <w:vAlign w:val="center"/>
            <w:tcMar>
              <w:top w:w="80" w:type="dxa"/>
              <w:start w:w="100" w:type="dxa"/>
              <w:bottom w:w="80" w:type="dxa"/>
              <w:end w:w="100" w:type="dxa"/>
            </w:tcMar>
          </w:tcPr>
          <w:p>
            <w:pPr>
              <w:spacing w:before="0" w:after="0" w:line="240" w:lineRule="auto"/>
            </w:pPr>
            <w:hyperlink w:anchor="f_23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lim_n a_n^{-1}log p_n=-c, c&gt;0</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348. Асимптотический exponent не является finite-n probability</w:t>
            </w:r>
          </w:p>
        </w:tc>
        <w:tc>
          <w:tcPr>
            <w:tcW w:type="dxa" w:w="907"/>
            <w:vAlign w:val="center"/>
            <w:tcMar>
              <w:top w:w="80" w:type="dxa"/>
              <w:start w:w="100" w:type="dxa"/>
              <w:bottom w:w="80" w:type="dxa"/>
              <w:end w:w="100" w:type="dxa"/>
            </w:tcMar>
          </w:tcPr>
          <w:p>
            <w:pPr>
              <w:spacing w:before="0" w:after="0" w:line="240" w:lineRule="auto"/>
            </w:pPr>
            <w:hyperlink w:anchor="f_23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p=P(A)=E_Q[1_A 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349. Importance sampling и unbiased rare-event estimator</w:t>
            </w:r>
          </w:p>
        </w:tc>
        <w:tc>
          <w:tcPr>
            <w:tcW w:type="dxa" w:w="907"/>
            <w:vAlign w:val="center"/>
            <w:tcMar>
              <w:top w:w="80" w:type="dxa"/>
              <w:start w:w="100" w:type="dxa"/>
              <w:bottom w:w="80" w:type="dxa"/>
              <w:end w:w="100" w:type="dxa"/>
            </w:tcMar>
          </w:tcPr>
          <w:p>
            <w:pPr>
              <w:spacing w:before="0" w:after="0" w:line="240" w:lineRule="auto"/>
            </w:pPr>
            <w:hyperlink w:anchor="f_23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U_N(ρ)={Q: d(Q,P_hat_N)≤ρ, Q∈𝒫_adm}.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352. Ambiguity sets: робастный слой</w:t>
            </w:r>
          </w:p>
        </w:tc>
        <w:tc>
          <w:tcPr>
            <w:tcW w:type="dxa" w:w="907"/>
            <w:vAlign w:val="center"/>
            <w:tcMar>
              <w:top w:w="80" w:type="dxa"/>
              <w:start w:w="100" w:type="dxa"/>
              <w:bottom w:w="80" w:type="dxa"/>
              <w:end w:w="100" w:type="dxa"/>
            </w:tcMar>
          </w:tcPr>
          <w:p>
            <w:pPr>
              <w:spacing w:before="0" w:after="0" w:line="240" w:lineRule="auto"/>
            </w:pPr>
            <w:hyperlink w:anchor="f_23_2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sup_{D(Q||P_hat)≤ρ} E_Qℓ ≤ inf_{η&gt;0}{ηρ+η log E_{P_hat} exp(ℓ/η)}.</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353. KL и f-divergence ambiguity</w:t>
            </w:r>
          </w:p>
        </w:tc>
        <w:tc>
          <w:tcPr>
            <w:tcW w:type="dxa" w:w="907"/>
            <w:vAlign w:val="center"/>
            <w:tcMar>
              <w:top w:w="80" w:type="dxa"/>
              <w:start w:w="100" w:type="dxa"/>
              <w:bottom w:w="80" w:type="dxa"/>
              <w:end w:w="100" w:type="dxa"/>
            </w:tcMar>
          </w:tcPr>
          <w:p>
            <w:pPr>
              <w:spacing w:before="0" w:after="0" w:line="240" w:lineRule="auto"/>
            </w:pPr>
            <w:hyperlink w:anchor="f_23_2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sup_{W_c(Q,P_hat)≤ρ}E_Qℓ = inf_{η≥0}{ηρ+E_{P_hat}[sup_z(ℓ(z)-ηc(z,ξ))]}.</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354. Wasserstein ambiguity и геометрия новых состояний</w:t>
            </w:r>
          </w:p>
        </w:tc>
        <w:tc>
          <w:tcPr>
            <w:tcW w:type="dxa" w:w="907"/>
            <w:vAlign w:val="center"/>
            <w:tcMar>
              <w:top w:w="80" w:type="dxa"/>
              <w:start w:w="100" w:type="dxa"/>
              <w:bottom w:w="80" w:type="dxa"/>
              <w:end w:w="100" w:type="dxa"/>
            </w:tcMar>
          </w:tcPr>
          <w:p>
            <w:pPr>
              <w:spacing w:before="0" w:after="0" w:line="240" w:lineRule="auto"/>
            </w:pPr>
            <w:hyperlink w:anchor="f_23_2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T2-F-23.29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P_data(P_*∈U_N(ρ_N(β)))≥1-β.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355. Finite-sample coverage ambiguity set</w:t>
            </w:r>
          </w:p>
        </w:tc>
        <w:tc>
          <w:tcPr>
            <w:tcW w:type="dxa" w:w="907"/>
            <w:vAlign w:val="center"/>
            <w:tcMar>
              <w:top w:w="80" w:type="dxa"/>
              <w:start w:w="100" w:type="dxa"/>
              <w:bottom w:w="80" w:type="dxa"/>
              <w:end w:w="100" w:type="dxa"/>
            </w:tcMar>
          </w:tcPr>
          <w:p>
            <w:pPr>
              <w:spacing w:before="0" w:after="0" w:line="240" w:lineRule="auto"/>
            </w:pPr>
            <w:hyperlink w:anchor="f_23_2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P_*(A)≤sup_{Q∈U_N}Q(A).</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355. Finite-sample coverage ambiguity set</w:t>
            </w:r>
          </w:p>
        </w:tc>
        <w:tc>
          <w:tcPr>
            <w:tcW w:type="dxa" w:w="907"/>
            <w:vAlign w:val="center"/>
            <w:tcMar>
              <w:top w:w="80" w:type="dxa"/>
              <w:start w:w="100" w:type="dxa"/>
              <w:bottom w:w="80" w:type="dxa"/>
              <w:end w:w="100" w:type="dxa"/>
            </w:tcMar>
          </w:tcPr>
          <w:p>
            <w:pPr>
              <w:spacing w:before="0" w:after="0" w:line="240" w:lineRule="auto"/>
            </w:pPr>
            <w:hyperlink w:anchor="f_23_3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P_data(P_*(A)≤B_N(A))≥1-β.</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356. Distributionally robust chance certificate</w:t>
            </w:r>
          </w:p>
        </w:tc>
        <w:tc>
          <w:tcPr>
            <w:tcW w:type="dxa" w:w="907"/>
            <w:vAlign w:val="center"/>
            <w:tcMar>
              <w:top w:w="80" w:type="dxa"/>
              <w:start w:w="100" w:type="dxa"/>
              <w:bottom w:w="80" w:type="dxa"/>
              <w:end w:w="100" w:type="dxa"/>
            </w:tcMar>
          </w:tcPr>
          <w:p>
            <w:pPr>
              <w:spacing w:before="0" w:after="0" w:line="240" w:lineRule="auto"/>
            </w:pPr>
            <w:hyperlink w:anchor="f_23_3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p_U=1-α^{1/N}, coverage ≥1-α.</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357. Точный биномиальный сертификат редкого события</w:t>
            </w:r>
          </w:p>
        </w:tc>
        <w:tc>
          <w:tcPr>
            <w:tcW w:type="dxa" w:w="907"/>
            <w:vAlign w:val="center"/>
            <w:tcMar>
              <w:top w:w="80" w:type="dxa"/>
              <w:start w:w="100" w:type="dxa"/>
              <w:bottom w:w="80" w:type="dxa"/>
              <w:end w:w="100" w:type="dxa"/>
            </w:tcMar>
          </w:tcPr>
          <w:p>
            <w:pPr>
              <w:spacing w:before="0" w:after="0" w:line="240" w:lineRule="auto"/>
            </w:pPr>
            <w:hyperlink w:anchor="f_23_3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E[X]≤X_bar_N+sqrt(log(1/β)/(2N)).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358. Bounded-loss concentration и empirical risk</w:t>
            </w:r>
          </w:p>
        </w:tc>
        <w:tc>
          <w:tcPr>
            <w:tcW w:type="dxa" w:w="907"/>
            <w:vAlign w:val="center"/>
            <w:tcMar>
              <w:top w:w="80" w:type="dxa"/>
              <w:start w:w="100" w:type="dxa"/>
              <w:bottom w:w="80" w:type="dxa"/>
              <w:end w:w="100" w:type="dxa"/>
            </w:tcMar>
          </w:tcPr>
          <w:p>
            <w:pPr>
              <w:spacing w:before="0" w:after="0" w:line="240" w:lineRule="auto"/>
            </w:pPr>
            <w:hyperlink w:anchor="f_23_3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p_n(A) ≤ min{B_N^{rob}(A), C_n exp[-a_n(c_A-δ)]},</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360. Слияние asymptotic и finite-sample слоёв</w:t>
            </w:r>
          </w:p>
        </w:tc>
        <w:tc>
          <w:tcPr>
            <w:tcW w:type="dxa" w:w="907"/>
            <w:vAlign w:val="center"/>
            <w:tcMar>
              <w:top w:w="80" w:type="dxa"/>
              <w:start w:w="100" w:type="dxa"/>
              <w:bottom w:w="80" w:type="dxa"/>
              <w:end w:w="100" w:type="dxa"/>
            </w:tcMar>
          </w:tcPr>
          <w:p>
            <w:pPr>
              <w:spacing w:before="0" w:after="0" w:line="240" w:lineRule="auto"/>
            </w:pPr>
            <w:hyperlink w:anchor="f_23_3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Rep_rate=(I_hat, topology, speed, solver, residuals; D_rate).</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362. Rate-function estimation и epistemic uncertainty</w:t>
            </w:r>
          </w:p>
        </w:tc>
        <w:tc>
          <w:tcPr>
            <w:tcW w:type="dxa" w:w="907"/>
            <w:vAlign w:val="center"/>
            <w:tcMar>
              <w:top w:w="80" w:type="dxa"/>
              <w:start w:w="100" w:type="dxa"/>
              <w:bottom w:w="80" w:type="dxa"/>
              <w:end w:w="100" w:type="dxa"/>
            </w:tcMar>
          </w:tcPr>
          <w:p>
            <w:pPr>
              <w:spacing w:before="0" w:after="0" w:line="240" w:lineRule="auto"/>
            </w:pPr>
            <w:hyperlink w:anchor="f_23_3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Cert_LD=(𝒳,τ,a_n,P_n,I,A,c_A,R_n,U_N,B_N,IS,λ,D,Dom,src,code,hash).</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363. Robust rare-event Reper certificate</w:t>
            </w:r>
          </w:p>
        </w:tc>
        <w:tc>
          <w:tcPr>
            <w:tcW w:type="dxa" w:w="907"/>
            <w:vAlign w:val="center"/>
            <w:tcMar>
              <w:top w:w="80" w:type="dxa"/>
              <w:start w:w="100" w:type="dxa"/>
              <w:bottom w:w="80" w:type="dxa"/>
              <w:end w:w="100" w:type="dxa"/>
            </w:tcMar>
          </w:tcPr>
          <w:p>
            <w:pPr>
              <w:spacing w:before="0" w:after="0" w:line="240" w:lineRule="auto"/>
            </w:pPr>
            <w:hyperlink w:anchor="f_23_3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Δ_LD=Δ_speed∪Δ_top∪Δ_tight∪Δ_rate∪Δ_contract∪Δ_pole∪Δ_action∪Δ_inst.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364. Large-deviation и finite-sample горизонты</w:t>
            </w:r>
          </w:p>
        </w:tc>
        <w:tc>
          <w:tcPr>
            <w:tcW w:type="dxa" w:w="907"/>
            <w:vAlign w:val="center"/>
            <w:tcMar>
              <w:top w:w="80" w:type="dxa"/>
              <w:start w:w="100" w:type="dxa"/>
              <w:bottom w:w="80" w:type="dxa"/>
              <w:end w:w="100" w:type="dxa"/>
            </w:tcMar>
          </w:tcPr>
          <w:p>
            <w:pPr>
              <w:spacing w:before="0" w:after="0" w:line="240" w:lineRule="auto"/>
            </w:pPr>
            <w:hyperlink w:anchor="f_23_3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Δ_RS=Δ_FK∪Δ_expint∪Δ_eig∪Δ_HJB∪Δ_tilt∪Δ_IS.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364. Large-deviation и finite-sample горизонты</w:t>
            </w:r>
          </w:p>
        </w:tc>
        <w:tc>
          <w:tcPr>
            <w:tcW w:type="dxa" w:w="907"/>
            <w:vAlign w:val="center"/>
            <w:tcMar>
              <w:top w:w="80" w:type="dxa"/>
              <w:start w:w="100" w:type="dxa"/>
              <w:bottom w:w="80" w:type="dxa"/>
              <w:end w:w="100" w:type="dxa"/>
            </w:tcMar>
          </w:tcPr>
          <w:p>
            <w:pPr>
              <w:spacing w:before="0" w:after="0" w:line="240" w:lineRule="auto"/>
            </w:pPr>
            <w:hyperlink w:anchor="f_23_3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T2-F-23.39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Δ_FS=Δ_iid∪Δ_dep∪Δ_tail∪Δ_amb∪Δ_cov∪Δ_sel∪Δ_stop∪Δ_shift∪Δ_ext.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364. Large-deviation и finite-sample горизонты</w:t>
            </w:r>
          </w:p>
        </w:tc>
        <w:tc>
          <w:tcPr>
            <w:tcW w:type="dxa" w:w="907"/>
            <w:vAlign w:val="center"/>
            <w:tcMar>
              <w:top w:w="80" w:type="dxa"/>
              <w:start w:w="100" w:type="dxa"/>
              <w:bottom w:w="80" w:type="dxa"/>
              <w:end w:w="100" w:type="dxa"/>
            </w:tcMar>
          </w:tcPr>
          <w:p>
            <w:pPr>
              <w:spacing w:before="0" w:after="0" w:line="240" w:lineRule="auto"/>
            </w:pPr>
            <w:hyperlink w:anchor="f_23_3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T2-F-23.40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Δ_safe^{v0.20}=Δ_safe^{v0.19}∪Δ_LD∪Δ_RS∪Δ_FS.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364. Large-deviation и finite-sample горизонты</w:t>
            </w:r>
          </w:p>
        </w:tc>
        <w:tc>
          <w:tcPr>
            <w:tcW w:type="dxa" w:w="907"/>
            <w:vAlign w:val="center"/>
            <w:tcMar>
              <w:top w:w="80" w:type="dxa"/>
              <w:start w:w="100" w:type="dxa"/>
              <w:bottom w:w="80" w:type="dxa"/>
              <w:end w:w="100" w:type="dxa"/>
            </w:tcMar>
          </w:tcPr>
          <w:p>
            <w:pPr>
              <w:spacing w:before="0" w:after="0" w:line="240" w:lineRule="auto"/>
            </w:pPr>
            <w:hyperlink w:anchor="f_23_4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T2-F-23.41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checkpoint=T2-RP-v0.20; next=T2-RP-v0.21.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370. Контрольная точка и граница вывода</w:t>
            </w:r>
          </w:p>
        </w:tc>
        <w:tc>
          <w:tcPr>
            <w:tcW w:type="dxa" w:w="907"/>
            <w:vAlign w:val="center"/>
            <w:tcMar>
              <w:top w:w="80" w:type="dxa"/>
              <w:start w:w="100" w:type="dxa"/>
              <w:bottom w:w="80" w:type="dxa"/>
              <w:end w:w="100" w:type="dxa"/>
            </w:tcMar>
          </w:tcPr>
          <w:p>
            <w:pPr>
              <w:spacing w:before="0" w:after="0" w:line="240" w:lineRule="auto"/>
            </w:pPr>
            <w:hyperlink w:anchor="f_23_4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source=T2-RP-v0.20; checkpoint=T2-RP-v0.21.</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Глава 24. End-to-end предсказательный оператор KLT-RBD, композиция бюджетов и итоговая фальсифицируемость</w:t>
            </w:r>
          </w:p>
        </w:tc>
        <w:tc>
          <w:tcPr>
            <w:tcW w:type="dxa" w:w="907"/>
            <w:vAlign w:val="center"/>
            <w:tcMar>
              <w:top w:w="80" w:type="dxa"/>
              <w:start w:w="100" w:type="dxa"/>
              <w:bottom w:w="80" w:type="dxa"/>
              <w:end w:w="100" w:type="dxa"/>
            </w:tcMar>
          </w:tcPr>
          <w:p>
            <w:pPr>
              <w:spacing w:before="0" w:after="0" w:line="240" w:lineRule="auto"/>
            </w:pPr>
            <w:hyperlink w:anchor="f_24_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Q = (S_src, Ω, T, Y, A, Loss, Mode, α, β, L, D, Dom, Split, Policy).</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372. Предсказательный запрос как типизированный объект</w:t>
            </w:r>
          </w:p>
        </w:tc>
        <w:tc>
          <w:tcPr>
            <w:tcW w:type="dxa" w:w="907"/>
            <w:vAlign w:val="center"/>
            <w:tcMar>
              <w:top w:w="80" w:type="dxa"/>
              <w:start w:w="100" w:type="dxa"/>
              <w:bottom w:w="80" w:type="dxa"/>
              <w:end w:w="100" w:type="dxa"/>
            </w:tcMar>
          </w:tcPr>
          <w:p>
            <w:pPr>
              <w:spacing w:before="0" w:after="0" w:line="240" w:lineRule="auto"/>
            </w:pPr>
            <w:hyperlink w:anchor="f_24_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Z_j = (X_j, P_j, B_j, C_j, G_j, H_j, V_j),</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373. Сертифицированное состояние вычисления</w:t>
            </w:r>
          </w:p>
        </w:tc>
        <w:tc>
          <w:tcPr>
            <w:tcW w:type="dxa" w:w="907"/>
            <w:vAlign w:val="center"/>
            <w:tcMar>
              <w:top w:w="80" w:type="dxa"/>
              <w:start w:w="100" w:type="dxa"/>
              <w:bottom w:w="80" w:type="dxa"/>
              <w:end w:w="100" w:type="dxa"/>
            </w:tcMar>
          </w:tcPr>
          <w:p>
            <w:pPr>
              <w:spacing w:before="0" w:after="0" w:line="240" w:lineRule="auto"/>
            </w:pPr>
            <w:hyperlink w:anchor="f_24_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Λ_Rep = [N:Q] = [(U-R)(I-D) : (U-D)(I-R)] ∈ P¹,</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374. Однородная Reper-координата без искусственного полюса</w:t>
            </w:r>
          </w:p>
        </w:tc>
        <w:tc>
          <w:tcPr>
            <w:tcW w:type="dxa" w:w="907"/>
            <w:vAlign w:val="center"/>
            <w:tcMar>
              <w:top w:w="80" w:type="dxa"/>
              <w:start w:w="100" w:type="dxa"/>
              <w:bottom w:w="80" w:type="dxa"/>
              <w:end w:w="100" w:type="dxa"/>
            </w:tcMar>
          </w:tcPr>
          <w:p>
            <w:pPr>
              <w:spacing w:before="0" w:after="0" w:line="240" w:lineRule="auto"/>
            </w:pPr>
            <w:hyperlink w:anchor="f_24_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Result(Y)=OK(Y,Cert,B) ⊔ ABSTAIN(Block) ⊔ FAIL(Witness).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375. Результатный тип: OK, ABSTAIN и FAIL</w:t>
            </w:r>
          </w:p>
        </w:tc>
        <w:tc>
          <w:tcPr>
            <w:tcW w:type="dxa" w:w="907"/>
            <w:vAlign w:val="center"/>
            <w:tcMar>
              <w:top w:w="80" w:type="dxa"/>
              <w:start w:w="100" w:type="dxa"/>
              <w:bottom w:w="80" w:type="dxa"/>
              <w:end w:w="100" w:type="dxa"/>
            </w:tcMar>
          </w:tcPr>
          <w:p>
            <w:pPr>
              <w:spacing w:before="0" w:after="0" w:line="240" w:lineRule="auto"/>
            </w:pPr>
            <w:hyperlink w:anchor="f_24_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F=(f, Pre_F, Post_F, T_F, E_F, Audit_F),</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376. Категория сертифицированных частичных операторов</w:t>
            </w:r>
          </w:p>
        </w:tc>
        <w:tc>
          <w:tcPr>
            <w:tcW w:type="dxa" w:w="907"/>
            <w:vAlign w:val="center"/>
            <w:tcMar>
              <w:top w:w="80" w:type="dxa"/>
              <w:start w:w="100" w:type="dxa"/>
              <w:bottom w:w="80" w:type="dxa"/>
              <w:end w:w="100" w:type="dxa"/>
            </w:tcMar>
          </w:tcPr>
          <w:p>
            <w:pPr>
              <w:spacing w:before="0" w:after="0" w:line="240" w:lineRule="auto"/>
            </w:pPr>
            <w:hyperlink w:anchor="f_24_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(G⊙F)(x)= G(y), если F(x)=OK(y,C_F,B_F); иначе возвращается та же ветвь ABSTAIN или FAIL.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377. Композиция операторов и поглощающие ветви</w:t>
            </w:r>
          </w:p>
        </w:tc>
        <w:tc>
          <w:tcPr>
            <w:tcW w:type="dxa" w:w="907"/>
            <w:vAlign w:val="center"/>
            <w:tcMar>
              <w:top w:w="80" w:type="dxa"/>
              <w:start w:w="100" w:type="dxa"/>
              <w:bottom w:w="80" w:type="dxa"/>
              <w:end w:w="100" w:type="dxa"/>
            </w:tcMar>
          </w:tcPr>
          <w:p>
            <w:pPr>
              <w:spacing w:before="0" w:after="0" w:line="240" w:lineRule="auto"/>
            </w:pPr>
            <w:hyperlink w:anchor="f_24_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B_{G⊙F}=T_G(T_F(B_in) ⊕ E_F) ⊕ E_G.</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377. Композиция операторов и поглощающие ветви</w:t>
            </w:r>
          </w:p>
        </w:tc>
        <w:tc>
          <w:tcPr>
            <w:tcW w:type="dxa" w:w="907"/>
            <w:vAlign w:val="center"/>
            <w:tcMar>
              <w:top w:w="80" w:type="dxa"/>
              <w:start w:w="100" w:type="dxa"/>
              <w:bottom w:w="80" w:type="dxa"/>
              <w:end w:w="100" w:type="dxa"/>
            </w:tcMar>
          </w:tcPr>
          <w:p>
            <w:pPr>
              <w:spacing w:before="0" w:after="0" w:line="240" w:lineRule="auto"/>
            </w:pPr>
            <w:hyperlink w:anchor="f_24_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B=(b_type,b_dom,b_alg,b_top,b_num,α_stat,𝒰_shift,b_causal,b_ext,σ_proof).</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379. Векторный бюджет неопределённости</w:t>
            </w:r>
          </w:p>
        </w:tc>
        <w:tc>
          <w:tcPr>
            <w:tcW w:type="dxa" w:w="907"/>
            <w:vAlign w:val="center"/>
            <w:tcMar>
              <w:top w:w="80" w:type="dxa"/>
              <w:start w:w="100" w:type="dxa"/>
              <w:bottom w:w="80" w:type="dxa"/>
              <w:end w:w="100" w:type="dxa"/>
            </w:tcMar>
          </w:tcPr>
          <w:p>
            <w:pPr>
              <w:spacing w:before="0" w:after="0" w:line="240" w:lineRule="auto"/>
            </w:pPr>
            <w:hyperlink w:anchor="f_24_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ε_out ≤ (Π_{k=1}^m L_k)ε_in + Σ_{j=1}^m (Π_{k=j+1}^m L_k) ε_j.</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380. Детерминированный перенос ошибки</w:t>
            </w:r>
          </w:p>
        </w:tc>
        <w:tc>
          <w:tcPr>
            <w:tcW w:type="dxa" w:w="907"/>
            <w:vAlign w:val="center"/>
            <w:tcMar>
              <w:top w:w="80" w:type="dxa"/>
              <w:start w:w="100" w:type="dxa"/>
              <w:bottom w:w="80" w:type="dxa"/>
              <w:end w:w="100" w:type="dxa"/>
            </w:tcMar>
          </w:tcPr>
          <w:p>
            <w:pPr>
              <w:spacing w:before="0" w:after="0" w:line="240" w:lineRule="auto"/>
            </w:pPr>
            <w:hyperlink w:anchor="f_24_1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P(∪_{j=1}^m E_j) ≤ Σ_{j=1}^m α_j, α_tot=min(1,Σα_j).</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381. Вероятностный бюджет без предположения независимости</w:t>
            </w:r>
          </w:p>
        </w:tc>
        <w:tc>
          <w:tcPr>
            <w:tcW w:type="dxa" w:w="907"/>
            <w:vAlign w:val="center"/>
            <w:tcMar>
              <w:top w:w="80" w:type="dxa"/>
              <w:start w:w="100" w:type="dxa"/>
              <w:bottom w:w="80" w:type="dxa"/>
              <w:end w:w="100" w:type="dxa"/>
            </w:tcMar>
          </w:tcPr>
          <w:p>
            <w:pPr>
              <w:spacing w:before="0" w:after="0" w:line="240" w:lineRule="auto"/>
            </w:pPr>
            <w:hyperlink w:anchor="f_24_1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P_{H0}(∃t: E_t ≥ 1/α) ≤ α.</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382. Последовательный бюджет и необязательная остановка</w:t>
            </w:r>
          </w:p>
        </w:tc>
        <w:tc>
          <w:tcPr>
            <w:tcW w:type="dxa" w:w="907"/>
            <w:vAlign w:val="center"/>
            <w:tcMar>
              <w:top w:w="80" w:type="dxa"/>
              <w:start w:w="100" w:type="dxa"/>
              <w:bottom w:w="80" w:type="dxa"/>
              <w:end w:w="100" w:type="dxa"/>
            </w:tcMar>
          </w:tcPr>
          <w:p>
            <w:pPr>
              <w:spacing w:before="0" w:after="0" w:line="240" w:lineRule="auto"/>
            </w:pPr>
            <w:hyperlink w:anchor="f_24_1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𝒰_out ⊇ F_#(𝒰_in) ⊕ 𝒱_F.</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383. Робастный и транспортный бюджет</w:t>
            </w:r>
          </w:p>
        </w:tc>
        <w:tc>
          <w:tcPr>
            <w:tcW w:type="dxa" w:w="907"/>
            <w:vAlign w:val="center"/>
            <w:tcMar>
              <w:top w:w="80" w:type="dxa"/>
              <w:start w:w="100" w:type="dxa"/>
              <w:bottom w:w="80" w:type="dxa"/>
              <w:end w:w="100" w:type="dxa"/>
            </w:tcMar>
          </w:tcPr>
          <w:p>
            <w:pPr>
              <w:spacing w:before="0" w:after="0" w:line="240" w:lineRule="auto"/>
            </w:pPr>
            <w:hyperlink w:anchor="f_24_1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C_comp=(value, interval, residual, dual_gap, discretization, seed, environment, code_hash, data_hash).</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384. Вычислительный бюджет и proof-carrying output</w:t>
            </w:r>
          </w:p>
        </w:tc>
        <w:tc>
          <w:tcPr>
            <w:tcW w:type="dxa" w:w="907"/>
            <w:vAlign w:val="center"/>
            <w:tcMar>
              <w:top w:w="80" w:type="dxa"/>
              <w:start w:w="100" w:type="dxa"/>
              <w:bottom w:w="80" w:type="dxa"/>
              <w:end w:w="100" w:type="dxa"/>
            </w:tcMar>
          </w:tcPr>
          <w:p>
            <w:pPr>
              <w:spacing w:before="0" w:after="0" w:line="240" w:lineRule="auto"/>
            </w:pPr>
            <w:hyperlink w:anchor="f_24_1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OPEN ≼ CONJ ≼ MODEL ≼ COMP ≼ COND ≼ THM, PHY-HYP образует отдельную ветвь.</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385. Решётка доказательных статусов</w:t>
            </w:r>
          </w:p>
        </w:tc>
        <w:tc>
          <w:tcPr>
            <w:tcW w:type="dxa" w:w="907"/>
            <w:vAlign w:val="center"/>
            <w:tcMar>
              <w:top w:w="80" w:type="dxa"/>
              <w:start w:w="100" w:type="dxa"/>
              <w:bottom w:w="80" w:type="dxa"/>
              <w:end w:w="100" w:type="dxa"/>
            </w:tcMar>
          </w:tcPr>
          <w:p>
            <w:pPr>
              <w:spacing w:before="0" w:after="0" w:line="240" w:lineRule="auto"/>
            </w:pPr>
            <w:hyperlink w:anchor="f_24_1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Interface(F,G;A)=PASS ⇔ Post_F ⇒ Pre_G∘A и Budget_G∘A определён.</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388. Интерфейсный контракт между модулями</w:t>
            </w:r>
          </w:p>
        </w:tc>
        <w:tc>
          <w:tcPr>
            <w:tcW w:type="dxa" w:w="907"/>
            <w:vAlign w:val="center"/>
            <w:tcMar>
              <w:top w:w="80" w:type="dxa"/>
              <w:start w:w="100" w:type="dxa"/>
              <w:bottom w:w="80" w:type="dxa"/>
              <w:end w:w="100" w:type="dxa"/>
            </w:tcMar>
          </w:tcPr>
          <w:p>
            <w:pPr>
              <w:spacing w:before="0" w:after="0" w:line="240" w:lineRule="auto"/>
            </w:pPr>
            <w:hyperlink w:anchor="f_24_1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M_rel=(Q, Modules, Edges, Notation, Budgets, Policies, Sources, Code, Data, Env, HashRoot).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389. Глобальный контракт выпуска</w:t>
            </w:r>
          </w:p>
        </w:tc>
        <w:tc>
          <w:tcPr>
            <w:tcW w:type="dxa" w:w="907"/>
            <w:vAlign w:val="center"/>
            <w:tcMar>
              <w:top w:w="80" w:type="dxa"/>
              <w:start w:w="100" w:type="dxa"/>
              <w:bottom w:w="80" w:type="dxa"/>
              <w:end w:w="100" w:type="dxa"/>
            </w:tcMar>
          </w:tcPr>
          <w:p>
            <w:pPr>
              <w:spacing w:before="0" w:after="0" w:line="240" w:lineRule="auto"/>
            </w:pPr>
            <w:hyperlink w:anchor="f_24_1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𝔓_KLT(Q)=Gate_release ⊙ F_10 ⊙ ··· ⊙ F_1 ⊙ F_0 (Q).</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390. Определение end-to-end оператора KLT-RBD</w:t>
            </w:r>
          </w:p>
        </w:tc>
        <w:tc>
          <w:tcPr>
            <w:tcW w:type="dxa" w:w="907"/>
            <w:vAlign w:val="center"/>
            <w:tcMar>
              <w:top w:w="80" w:type="dxa"/>
              <w:start w:w="100" w:type="dxa"/>
              <w:bottom w:w="80" w:type="dxa"/>
              <w:end w:w="100" w:type="dxa"/>
            </w:tcMar>
          </w:tcPr>
          <w:p>
            <w:pPr>
              <w:spacing w:before="0" w:after="0" w:line="240" w:lineRule="auto"/>
            </w:pPr>
            <w:hyperlink w:anchor="f_24_1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T2-F-24.19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𝔓_KLT = Release ⊙ Validate ⊙ Robust ⊙ Rare ⊙ Causal ⊙ Stoch ⊙ Evol ⊙ Global ⊙ Obstruct ⊙ NAPG ⊙ Reper ⊙ Ingest.</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390. Определение end-to-end оператора KLT-RBD</w:t>
            </w:r>
          </w:p>
        </w:tc>
        <w:tc>
          <w:tcPr>
            <w:tcW w:type="dxa" w:w="907"/>
            <w:vAlign w:val="center"/>
            <w:tcMar>
              <w:top w:w="80" w:type="dxa"/>
              <w:start w:w="100" w:type="dxa"/>
              <w:bottom w:w="80" w:type="dxa"/>
              <w:end w:w="100" w:type="dxa"/>
            </w:tcMar>
          </w:tcPr>
          <w:p>
            <w:pPr>
              <w:spacing w:before="0" w:after="0" w:line="240" w:lineRule="auto"/>
            </w:pPr>
            <w:hyperlink w:anchor="f_24_1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F₀(S)=OK(S*, Cert_src, B₀) или FAIL(HASH-MISMATCH) или ABSTAIN(SOURCE-AMBIGUOUS).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392. F₀: источник, идентичность и происхождение</w:t>
            </w:r>
          </w:p>
        </w:tc>
        <w:tc>
          <w:tcPr>
            <w:tcW w:type="dxa" w:w="907"/>
            <w:vAlign w:val="center"/>
            <w:tcMar>
              <w:top w:w="80" w:type="dxa"/>
              <w:start w:w="100" w:type="dxa"/>
              <w:bottom w:w="80" w:type="dxa"/>
              <w:end w:w="100" w:type="dxa"/>
            </w:tcMar>
          </w:tcPr>
          <w:p>
            <w:pPr>
              <w:spacing w:before="0" w:after="0" w:line="240" w:lineRule="auto"/>
            </w:pPr>
            <w:hyperlink w:anchor="f_24_2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F₁(x)=OK(Rep_x,Λ_x,Cert_D) только если Valid(D_x)∧Admissible(Dom_x).</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393. F₁: Reper-lift и D/Dom authorization</w:t>
            </w:r>
          </w:p>
        </w:tc>
        <w:tc>
          <w:tcPr>
            <w:tcW w:type="dxa" w:w="907"/>
            <w:vAlign w:val="center"/>
            <w:tcMar>
              <w:top w:w="80" w:type="dxa"/>
              <w:start w:w="100" w:type="dxa"/>
              <w:bottom w:w="80" w:type="dxa"/>
              <w:end w:w="100" w:type="dxa"/>
            </w:tcMar>
          </w:tcPr>
          <w:p>
            <w:pPr>
              <w:spacing w:before="0" w:after="0" w:line="240" w:lineRule="auto"/>
            </w:pPr>
            <w:hyperlink w:anchor="f_24_2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Cert_NAPG=(Ass_⊙, nuclei, invariants, atlas, cocycle, ∇,R_∇,Hol_D; Dom).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394. F₂-F₃: алгебро-геометрическое ядро NAPG</w:t>
            </w:r>
          </w:p>
        </w:tc>
        <w:tc>
          <w:tcPr>
            <w:tcW w:type="dxa" w:w="907"/>
            <w:vAlign w:val="center"/>
            <w:tcMar>
              <w:top w:w="80" w:type="dxa"/>
              <w:start w:w="100" w:type="dxa"/>
              <w:bottom w:w="80" w:type="dxa"/>
              <w:end w:w="100" w:type="dxa"/>
            </w:tcMar>
          </w:tcPr>
          <w:p>
            <w:pPr>
              <w:spacing w:before="0" w:after="0" w:line="240" w:lineRule="auto"/>
            </w:pPr>
            <w:hyperlink w:anchor="f_24_2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Π_E: 𝒪_B ⇀ H³(E), status(Π_E)≤COND до закрытия B1-B8.</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395. F₄: препятствия, когомологии и внешний E-мост</w:t>
            </w:r>
          </w:p>
        </w:tc>
        <w:tc>
          <w:tcPr>
            <w:tcW w:type="dxa" w:w="907"/>
            <w:vAlign w:val="center"/>
            <w:tcMar>
              <w:top w:w="80" w:type="dxa"/>
              <w:start w:w="100" w:type="dxa"/>
              <w:bottom w:w="80" w:type="dxa"/>
              <w:end w:w="100" w:type="dxa"/>
            </w:tcMar>
          </w:tcPr>
          <w:p>
            <w:pPr>
              <w:spacing w:before="0" w:after="0" w:line="240" w:lineRule="auto"/>
            </w:pPr>
            <w:hyperlink w:anchor="f_24_2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GlobalOK ⇔ Descent∧Coherence∧Orientation∧Transport∧NoRequiredBlocker.</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396. F₅: global/derived/virtual слой</w:t>
            </w:r>
          </w:p>
        </w:tc>
        <w:tc>
          <w:tcPr>
            <w:tcW w:type="dxa" w:w="907"/>
            <w:vAlign w:val="center"/>
            <w:tcMar>
              <w:top w:w="80" w:type="dxa"/>
              <w:start w:w="100" w:type="dxa"/>
              <w:bottom w:w="80" w:type="dxa"/>
              <w:end w:w="100" w:type="dxa"/>
            </w:tcMar>
          </w:tcPr>
          <w:p>
            <w:pPr>
              <w:spacing w:before="0" w:after="0" w:line="240" w:lineRule="auto"/>
            </w:pPr>
            <w:hyperlink w:anchor="f_24_24"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T2-F-24.25</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𝒰(t,r)𝒰(r,s)=𝒰(t,s), s≤r≤t, при согласованных Dom.</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397. F₆: временной интерфейс и эволюция</w:t>
            </w:r>
          </w:p>
        </w:tc>
        <w:tc>
          <w:tcPr>
            <w:tcW w:type="dxa" w:w="907"/>
            <w:vAlign w:val="center"/>
            <w:tcMar>
              <w:top w:w="80" w:type="dxa"/>
              <w:start w:w="100" w:type="dxa"/>
              <w:bottom w:w="80" w:type="dxa"/>
              <w:end w:w="100" w:type="dxa"/>
            </w:tcMar>
          </w:tcPr>
          <w:p>
            <w:pPr>
              <w:spacing w:before="0" w:after="0" w:line="240" w:lineRule="auto"/>
            </w:pPr>
            <w:hyperlink w:anchor="f_24_25"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T2-F-24.26</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P_obs(Y|X) ≠ P(Y|do(X)) без структурного моста.</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398. F₇-F₈: стохастический закон и причинный firewall</w:t>
            </w:r>
          </w:p>
        </w:tc>
        <w:tc>
          <w:tcPr>
            <w:tcW w:type="dxa" w:w="907"/>
            <w:vAlign w:val="center"/>
            <w:tcMar>
              <w:top w:w="80" w:type="dxa"/>
              <w:start w:w="100" w:type="dxa"/>
              <w:bottom w:w="80" w:type="dxa"/>
              <w:end w:w="100" w:type="dxa"/>
            </w:tcMar>
          </w:tcPr>
          <w:p>
            <w:pPr>
              <w:spacing w:before="0" w:after="0" w:line="240" w:lineRule="auto"/>
            </w:pPr>
            <w:hyperlink w:anchor="f_24_26"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T2-F-24.27</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V_rare∈{IMPOSSIBLE-IN-MODEL, FINITE-SAMPLE-RISK-BOUND, EXPONENTIALLY-SUPPRESSED-IN-MODEL, CANDIDATE-RARE-TRANSITION, ABSTAIN}.</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399. F₉: rare-event и robust finite-sample слой</w:t>
            </w:r>
          </w:p>
        </w:tc>
        <w:tc>
          <w:tcPr>
            <w:tcW w:type="dxa" w:w="907"/>
            <w:vAlign w:val="center"/>
            <w:tcMar>
              <w:top w:w="80" w:type="dxa"/>
              <w:start w:w="100" w:type="dxa"/>
              <w:bottom w:w="80" w:type="dxa"/>
              <w:end w:w="100" w:type="dxa"/>
            </w:tcMar>
          </w:tcPr>
          <w:p>
            <w:pPr>
              <w:spacing w:before="0" w:after="0" w:line="240" w:lineRule="auto"/>
            </w:pPr>
            <w:hyperlink w:anchor="f_24_27"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T2-F-24.28</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Release=OK ⇔ Required(V,Q)=PASS ∧ B≤B* ∧ Block_required=∅ ∧ HashChain=VALID.</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400. F₁₀-F₁₁: внешняя проверка и release gate</w:t>
            </w:r>
          </w:p>
        </w:tc>
        <w:tc>
          <w:tcPr>
            <w:tcW w:type="dxa" w:w="907"/>
            <w:vAlign w:val="center"/>
            <w:tcMar>
              <w:top w:w="80" w:type="dxa"/>
              <w:start w:w="100" w:type="dxa"/>
              <w:bottom w:w="80" w:type="dxa"/>
              <w:end w:w="100" w:type="dxa"/>
            </w:tcMar>
          </w:tcPr>
          <w:p>
            <w:pPr>
              <w:spacing w:before="0" w:after="0" w:line="240" w:lineRule="auto"/>
            </w:pPr>
            <w:hyperlink w:anchor="f_24_28"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T2-F-24.29</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V=(V_struct,V_geom,V_ob,V_global,V_dyn,V_prob,V_causal,V_phys).</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401. Составной вердикт вместо одного ярлыка</w:t>
            </w:r>
          </w:p>
        </w:tc>
        <w:tc>
          <w:tcPr>
            <w:tcW w:type="dxa" w:w="907"/>
            <w:vAlign w:val="center"/>
            <w:tcMar>
              <w:top w:w="80" w:type="dxa"/>
              <w:start w:w="100" w:type="dxa"/>
              <w:bottom w:w="80" w:type="dxa"/>
              <w:end w:w="100" w:type="dxa"/>
            </w:tcMar>
          </w:tcPr>
          <w:p>
            <w:pPr>
              <w:spacing w:before="0" w:after="0" w:line="240" w:lineRule="auto"/>
            </w:pPr>
            <w:hyperlink w:anchor="f_24_29"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T2-F-24.30</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Pred(Q)= {z∈𝒞(Q): margin(z,Δ_safe)≥m*, B(z)≼B*, Valid(D_z), Dom_z}.</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402. Прогноз как множество сертифицированных продолжений</w:t>
            </w:r>
          </w:p>
        </w:tc>
        <w:tc>
          <w:tcPr>
            <w:tcW w:type="dxa" w:w="907"/>
            <w:vAlign w:val="center"/>
            <w:tcMar>
              <w:top w:w="80" w:type="dxa"/>
              <w:start w:w="100" w:type="dxa"/>
              <w:bottom w:w="80" w:type="dxa"/>
              <w:end w:w="100" w:type="dxa"/>
            </w:tcMar>
          </w:tcPr>
          <w:p>
            <w:pPr>
              <w:spacing w:before="0" w:after="0" w:line="240" w:lineRule="auto"/>
            </w:pPr>
            <w:hyperlink w:anchor="f_24_30"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T2-F-24.31</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10×0,05=0,50, а не 0,05.</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408. Контрпример: инфляция вероятностного бюджета</w:t>
            </w:r>
          </w:p>
        </w:tc>
        <w:tc>
          <w:tcPr>
            <w:tcW w:type="dxa" w:w="907"/>
            <w:vAlign w:val="center"/>
            <w:tcMar>
              <w:top w:w="80" w:type="dxa"/>
              <w:start w:w="100" w:type="dxa"/>
              <w:bottom w:w="80" w:type="dxa"/>
              <w:end w:w="100" w:type="dxa"/>
            </w:tcMar>
          </w:tcPr>
          <w:p>
            <w:pPr>
              <w:spacing w:before="0" w:after="0" w:line="240" w:lineRule="auto"/>
            </w:pPr>
            <w:hyperlink w:anchor="f_24_31"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T2-F-24.32</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INPUT Q, release_manifest M VERIFY source identities, schemas, notation and immutable hashes Z ← INGEST(Q) FOR F in [REPER,NAPG,GEOMETRY,OBSTRUCTION,GLOBAL,EVOLUTION,STOCHASTIC,CAUSAL,RARE,VALIDATE]: IF F is required by Q.Mode or M.policy: r ← F(Z) IF r = FAIL</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416. Канонический псевдокод</w:t>
            </w:r>
          </w:p>
        </w:tc>
        <w:tc>
          <w:tcPr>
            <w:tcW w:type="dxa" w:w="907"/>
            <w:vAlign w:val="center"/>
            <w:tcMar>
              <w:top w:w="80" w:type="dxa"/>
              <w:start w:w="100" w:type="dxa"/>
              <w:bottom w:w="80" w:type="dxa"/>
              <w:end w:w="100" w:type="dxa"/>
            </w:tcMar>
          </w:tcPr>
          <w:p>
            <w:pPr>
              <w:spacing w:before="0" w:after="0" w:line="240" w:lineRule="auto"/>
            </w:pPr>
            <w:hyperlink w:anchor="f_24_32"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T2-F-24.33</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h_j = H(h_{j-1} || module_id || input_hash || output_hash || cert_hash || budget_hash).</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417. Воспроизводимость и корневой хеш</w:t>
            </w:r>
          </w:p>
        </w:tc>
        <w:tc>
          <w:tcPr>
            <w:tcW w:type="dxa" w:w="907"/>
            <w:vAlign w:val="center"/>
            <w:tcMar>
              <w:top w:w="80" w:type="dxa"/>
              <w:start w:w="100" w:type="dxa"/>
              <w:bottom w:w="80" w:type="dxa"/>
              <w:end w:w="100" w:type="dxa"/>
            </w:tcMar>
          </w:tcPr>
          <w:p>
            <w:pPr>
              <w:spacing w:before="0" w:after="0" w:line="240" w:lineRule="auto"/>
            </w:pPr>
            <w:hyperlink w:anchor="f_24_33" w:history="1">
              <w:r>
                <w:rPr>
                  <w:color w:val="2F75B5"/>
                  <w:u w:val="single"/>
                  <w:sz w:val="14"/>
                </w:rPr>
                <w:t>перейти</w:t>
              </w:r>
            </w:hyperlink>
          </w:p>
        </w:tc>
      </w:tr>
      <w:tr>
        <w:trPr>
          <w:cantSplit/>
        </w:trPr>
        <w:tc>
          <w:tcPr>
            <w:tcW w:type="dxa" w:w="158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T2-F-24.34</w:t>
            </w:r>
          </w:p>
        </w:tc>
        <w:tc>
          <w:tcPr>
            <w:tcW w:type="dxa" w:w="5102"/>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truth_layer_promotion=0; checkpoint=T2-RP-v0.21; source=T2-RP-v0.20; next=T2-RP-v0.22.</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420. Контрольная точка, итог Тома II и граница вывода</w:t>
            </w:r>
          </w:p>
        </w:tc>
        <w:tc>
          <w:tcPr>
            <w:tcW w:type="dxa" w:w="907"/>
            <w:vAlign w:val="center"/>
            <w:tcMar>
              <w:top w:w="80" w:type="dxa"/>
              <w:start w:w="100" w:type="dxa"/>
              <w:bottom w:w="80" w:type="dxa"/>
              <w:end w:w="100" w:type="dxa"/>
            </w:tcMar>
          </w:tcPr>
          <w:p>
            <w:pPr>
              <w:spacing w:before="0" w:after="0" w:line="240" w:lineRule="auto"/>
            </w:pPr>
            <w:hyperlink w:anchor="f_24_34" w:history="1">
              <w:r>
                <w:rPr>
                  <w:color w:val="2F75B5"/>
                  <w:u w:val="single"/>
                  <w:sz w:val="14"/>
                </w:rPr>
                <w:t>перейти</w:t>
              </w:r>
            </w:hyperlink>
          </w:p>
        </w:tc>
      </w:tr>
    </w:tbl>
    <w:p>
      <w:r>
        <w:br w:type="page"/>
      </w:r>
    </w:p>
    <w:p>
      <w:bookmarkStart w:id="2620" w:name="h_3714"/>
      <w:pPr>
        <w:pStyle w:val="Heading1"/>
      </w:pPr>
      <w:r>
        <w:t>Приложение T2-D. Предметный указатель</w:t>
      </w:r>
      <w:bookmarkEnd w:id="2620"/>
    </w:p>
    <w:p>
      <w:pPr>
        <w:pStyle w:val="Lead"/>
      </w:pPr>
      <w:r>
        <w:t>Ссылки ведут к основным разделам. Выбор locator не означает, что термин отсутствует в других главах.</w:t>
      </w:r>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2268"/>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Термин</w:t>
            </w:r>
          </w:p>
        </w:tc>
        <w:tc>
          <w:tcPr>
            <w:tcW w:type="dxa" w:w="4876"/>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Основные локаторы</w:t>
            </w:r>
          </w:p>
        </w:tc>
        <w:tc>
          <w:tcPr>
            <w:tcW w:type="dxa" w:w="3061"/>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4"/>
              </w:rPr>
              <w:t>Комментарий</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ABSTAIN</w:t>
            </w:r>
          </w:p>
        </w:tc>
        <w:tc>
          <w:tcPr>
            <w:tcW w:type="dxa" w:w="4876"/>
            <w:vAlign w:val="center"/>
            <w:tcMar>
              <w:top w:w="80" w:type="dxa"/>
              <w:start w:w="100" w:type="dxa"/>
              <w:bottom w:w="80" w:type="dxa"/>
              <w:end w:w="100" w:type="dxa"/>
            </w:tcMar>
          </w:tcPr>
          <w:p>
            <w:pPr>
              <w:spacing w:before="0" w:after="0" w:line="240" w:lineRule="auto"/>
            </w:pPr>
            <w:hyperlink w:anchor="h_345" w:history="1">
              <w:r>
                <w:rPr>
                  <w:color w:val="2F75B5"/>
                  <w:u w:val="single"/>
                  <w:sz w:val="14"/>
                </w:rPr>
                <w:t>12. Глава 4. Градуированная пакетная алгебра и строгий селек</w:t>
              </w:r>
            </w:hyperlink>
            <w:r>
              <w:rPr>
                <w:rFonts w:ascii="Liberation Serif" w:hAnsi="Liberation Serif" w:cs="Liberation Serif"/>
                <w:b w:val="0"/>
                <w:sz w:val="14"/>
              </w:rPr>
              <w:t xml:space="preserve">; </w:t>
            </w:r>
            <w:hyperlink w:anchor="h_646" w:history="1">
              <w:r>
                <w:rPr>
                  <w:color w:val="2F75B5"/>
                  <w:u w:val="single"/>
                  <w:sz w:val="14"/>
                </w:rPr>
                <w:t>31. Двойной предсказательный шлюз KLT-RBD</w:t>
              </w:r>
            </w:hyperlink>
            <w:r>
              <w:rPr>
                <w:rFonts w:ascii="Liberation Serif" w:hAnsi="Liberation Serif" w:cs="Liberation Serif"/>
                <w:b w:val="0"/>
                <w:sz w:val="14"/>
              </w:rPr>
              <w:t xml:space="preserve">; </w:t>
            </w:r>
            <w:hyperlink w:anchor="h_691" w:history="1">
              <w:r>
                <w:rPr>
                  <w:color w:val="2F75B5"/>
                  <w:u w:val="single"/>
                  <w:sz w:val="14"/>
                </w:rPr>
                <w:t>33. Вычислительный сертификат v0.4</w:t>
              </w:r>
            </w:hyperlink>
            <w:r>
              <w:rPr>
                <w:rFonts w:ascii="Liberation Serif" w:hAnsi="Liberation Serif" w:cs="Liberation Serif"/>
                <w:b w:val="0"/>
                <w:sz w:val="14"/>
              </w:rPr>
              <w:t xml:space="preserve">; </w:t>
            </w:r>
            <w:hyperlink w:anchor="h_764" w:history="1">
              <w:r>
                <w:rPr>
                  <w:color w:val="2F75B5"/>
                  <w:u w:val="single"/>
                  <w:sz w:val="14"/>
                </w:rPr>
                <w:t>38. Пакетные, реперные и Hodge-расслоения</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Воздержание при незакрытом обязательном blocker.</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CertKLT</w:t>
            </w:r>
          </w:p>
        </w:tc>
        <w:tc>
          <w:tcPr>
            <w:tcW w:type="dxa" w:w="4876"/>
            <w:vAlign w:val="center"/>
            <w:tcMar>
              <w:top w:w="80" w:type="dxa"/>
              <w:start w:w="100" w:type="dxa"/>
              <w:bottom w:w="80" w:type="dxa"/>
              <w:end w:w="100" w:type="dxa"/>
            </w:tcMar>
          </w:tcPr>
          <w:p>
            <w:pPr>
              <w:spacing w:before="0" w:after="0" w:line="240" w:lineRule="auto"/>
            </w:pPr>
            <w:hyperlink w:anchor="h_3406" w:history="1">
              <w:r>
                <w:rPr>
                  <w:color w:val="2F75B5"/>
                  <w:u w:val="single"/>
                  <w:sz w:val="14"/>
                </w:rPr>
                <w:t>376. Категория сертифицированных частичных операторов</w:t>
              </w:r>
            </w:hyperlink>
            <w:r>
              <w:rPr>
                <w:rFonts w:ascii="Liberation Serif" w:hAnsi="Liberation Serif" w:cs="Liberation Serif"/>
                <w:b w:val="0"/>
                <w:sz w:val="14"/>
              </w:rPr>
              <w:t xml:space="preserve">; </w:t>
            </w:r>
            <w:hyperlink w:anchor="h_3422" w:history="1">
              <w:r>
                <w:rPr>
                  <w:color w:val="2F75B5"/>
                  <w:u w:val="single"/>
                  <w:sz w:val="14"/>
                </w:rPr>
                <w:t>378. Теорема о корректности категории CertKLT</w:t>
              </w:r>
            </w:hyperlink>
            <w:r>
              <w:rPr>
                <w:rFonts w:ascii="Liberation Serif" w:hAnsi="Liberation Serif" w:cs="Liberation Serif"/>
                <w:b w:val="0"/>
                <w:sz w:val="14"/>
              </w:rPr>
              <w:t xml:space="preserve">; </w:t>
            </w:r>
            <w:hyperlink w:anchor="h_3482" w:history="1">
              <w:r>
                <w:rPr>
                  <w:color w:val="2F75B5"/>
                  <w:u w:val="single"/>
                  <w:sz w:val="14"/>
                </w:rPr>
                <w:t>390. Определение end-to-end оператора KLT-RBD</w:t>
              </w:r>
            </w:hyperlink>
            <w:r>
              <w:rPr>
                <w:rFonts w:ascii="Liberation Serif" w:hAnsi="Liberation Serif" w:cs="Liberation Serif"/>
                <w:b w:val="0"/>
                <w:sz w:val="14"/>
              </w:rPr>
              <w:t xml:space="preserve">; </w:t>
            </w:r>
            <w:hyperlink w:anchor="h_3569" w:history="1">
              <w:r>
                <w:rPr>
                  <w:color w:val="2F75B5"/>
                  <w:u w:val="single"/>
                  <w:sz w:val="14"/>
                </w:rPr>
                <w:t>405. Доказательство Теоремы 24.4</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Категория сертифицированных частичных операторов.</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CGI</w:t>
            </w:r>
          </w:p>
        </w:tc>
        <w:tc>
          <w:tcPr>
            <w:tcW w:type="dxa" w:w="4876"/>
            <w:vAlign w:val="center"/>
            <w:tcMar>
              <w:top w:w="80" w:type="dxa"/>
              <w:start w:w="100" w:type="dxa"/>
              <w:bottom w:w="80" w:type="dxa"/>
              <w:end w:w="100" w:type="dxa"/>
            </w:tcMar>
          </w:tcPr>
          <w:p>
            <w:pPr>
              <w:spacing w:before="0" w:after="0" w:line="240" w:lineRule="auto"/>
            </w:pPr>
            <w:hyperlink w:anchor="h_1090" w:history="1">
              <w:r>
                <w:rPr>
                  <w:color w:val="2F75B5"/>
                  <w:u w:val="single"/>
                  <w:sz w:val="14"/>
                </w:rPr>
                <w:t>65. Голономные инварианты предсказательного метода</w:t>
              </w:r>
            </w:hyperlink>
            <w:r>
              <w:rPr>
                <w:rFonts w:ascii="Liberation Serif" w:hAnsi="Liberation Serif" w:cs="Liberation Serif"/>
                <w:b w:val="0"/>
                <w:sz w:val="14"/>
              </w:rPr>
              <w:t xml:space="preserve">; </w:t>
            </w:r>
            <w:hyperlink w:anchor="h_2189" w:history="1">
              <w:r>
                <w:rPr>
                  <w:color w:val="2F75B5"/>
                  <w:u w:val="single"/>
                  <w:sz w:val="14"/>
                </w:rPr>
                <w:t>186. Переходный индекс и проективно-гармонический слой</w:t>
              </w:r>
            </w:hyperlink>
            <w:r>
              <w:rPr>
                <w:rFonts w:ascii="Liberation Serif" w:hAnsi="Liberation Serif" w:cs="Liberation Serif"/>
                <w:b w:val="0"/>
                <w:sz w:val="14"/>
              </w:rPr>
              <w:t xml:space="preserve">; </w:t>
            </w:r>
            <w:hyperlink w:anchor="h_2334" w:history="1">
              <w:r>
                <w:rPr>
                  <w:color w:val="2F75B5"/>
                  <w:u w:val="single"/>
                  <w:sz w:val="14"/>
                </w:rPr>
                <w:t>208. Глобальный структурный профиль</w:t>
              </w:r>
            </w:hyperlink>
            <w:r>
              <w:rPr>
                <w:rFonts w:ascii="Liberation Serif" w:hAnsi="Liberation Serif" w:cs="Liberation Serif"/>
                <w:b w:val="0"/>
                <w:sz w:val="14"/>
              </w:rPr>
              <w:t xml:space="preserve">; </w:t>
            </w:r>
            <w:hyperlink w:anchor="h_2450" w:history="1">
              <w:r>
                <w:rPr>
                  <w:color w:val="2F75B5"/>
                  <w:u w:val="single"/>
                  <w:sz w:val="14"/>
                </w:rPr>
                <w:t>226. Вероятностный мост</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Индекс причинного/структурного разрыва.</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 / достаточное основание</w:t>
            </w:r>
          </w:p>
        </w:tc>
        <w:tc>
          <w:tcPr>
            <w:tcW w:type="dxa" w:w="4876"/>
            <w:vAlign w:val="center"/>
            <w:tcMar>
              <w:top w:w="80" w:type="dxa"/>
              <w:start w:w="100" w:type="dxa"/>
              <w:bottom w:w="80" w:type="dxa"/>
              <w:end w:w="100" w:type="dxa"/>
            </w:tcMar>
          </w:tcPr>
          <w:p>
            <w:pPr>
              <w:spacing w:before="0" w:after="0" w:line="240" w:lineRule="auto"/>
            </w:pPr>
            <w:hyperlink w:anchor="h_739" w:history="1">
              <w:r>
                <w:rPr>
                  <w:color w:val="2F75B5"/>
                  <w:u w:val="single"/>
                  <w:sz w:val="14"/>
                </w:rPr>
                <w:t>36. NAPG-атласы и группоид переходов</w:t>
              </w:r>
            </w:hyperlink>
            <w:r>
              <w:rPr>
                <w:rFonts w:ascii="Liberation Serif" w:hAnsi="Liberation Serif" w:cs="Liberation Serif"/>
                <w:b w:val="0"/>
                <w:sz w:val="14"/>
              </w:rPr>
              <w:t xml:space="preserve">; </w:t>
            </w:r>
            <w:hyperlink w:anchor="h_764" w:history="1">
              <w:r>
                <w:rPr>
                  <w:color w:val="2F75B5"/>
                  <w:u w:val="single"/>
                  <w:sz w:val="14"/>
                </w:rPr>
                <w:t>38. Пакетные, реперные и Hodge-расслоения</w:t>
              </w:r>
            </w:hyperlink>
            <w:r>
              <w:rPr>
                <w:rFonts w:ascii="Liberation Serif" w:hAnsi="Liberation Serif" w:cs="Liberation Serif"/>
                <w:b w:val="0"/>
                <w:sz w:val="14"/>
              </w:rPr>
              <w:t xml:space="preserve">; </w:t>
            </w:r>
            <w:hyperlink w:anchor="h_779" w:history="1">
              <w:r>
                <w:rPr>
                  <w:color w:val="2F75B5"/>
                  <w:u w:val="single"/>
                  <w:sz w:val="14"/>
                </w:rPr>
                <w:t>39. Когомологические препятствия глобализации</w:t>
              </w:r>
            </w:hyperlink>
            <w:r>
              <w:rPr>
                <w:rFonts w:ascii="Liberation Serif" w:hAnsi="Liberation Serif" w:cs="Liberation Serif"/>
                <w:b w:val="0"/>
                <w:sz w:val="14"/>
              </w:rPr>
              <w:t xml:space="preserve">; </w:t>
            </w:r>
            <w:hyperlink w:anchor="h_805" w:history="1">
              <w:r>
                <w:rPr>
                  <w:color w:val="2F75B5"/>
                  <w:u w:val="single"/>
                  <w:sz w:val="14"/>
                </w:rPr>
                <w:t>41. Предсказательное реперное расслоение</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Доказательный пакет и происхождение.</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Dom / область допустимости</w:t>
            </w:r>
          </w:p>
        </w:tc>
        <w:tc>
          <w:tcPr>
            <w:tcW w:type="dxa" w:w="4876"/>
            <w:vAlign w:val="center"/>
            <w:tcMar>
              <w:top w:w="80" w:type="dxa"/>
              <w:start w:w="100" w:type="dxa"/>
              <w:bottom w:w="80" w:type="dxa"/>
              <w:end w:w="100" w:type="dxa"/>
            </w:tcMar>
          </w:tcPr>
          <w:p>
            <w:pPr>
              <w:spacing w:before="0" w:after="0" w:line="240" w:lineRule="auto"/>
            </w:pPr>
            <w:hyperlink w:anchor="h_291" w:history="1">
              <w:r>
                <w:rPr>
                  <w:color w:val="2F75B5"/>
                  <w:u w:val="single"/>
                  <w:sz w:val="14"/>
                </w:rPr>
                <w:t>10. Глава 2. Замороженный реестр обозначений</w:t>
              </w:r>
            </w:hyperlink>
            <w:r>
              <w:rPr>
                <w:rFonts w:ascii="Liberation Serif" w:hAnsi="Liberation Serif" w:cs="Liberation Serif"/>
                <w:b w:val="0"/>
                <w:sz w:val="14"/>
              </w:rPr>
              <w:t xml:space="preserve">; </w:t>
            </w:r>
            <w:hyperlink w:anchor="h_345" w:history="1">
              <w:r>
                <w:rPr>
                  <w:color w:val="2F75B5"/>
                  <w:u w:val="single"/>
                  <w:sz w:val="14"/>
                </w:rPr>
                <w:t>12. Глава 4. Градуированная пакетная алгебра и строгий селек</w:t>
              </w:r>
            </w:hyperlink>
            <w:r>
              <w:rPr>
                <w:rFonts w:ascii="Liberation Serif" w:hAnsi="Liberation Serif" w:cs="Liberation Serif"/>
                <w:b w:val="0"/>
                <w:sz w:val="14"/>
              </w:rPr>
              <w:t xml:space="preserve">; </w:t>
            </w:r>
            <w:hyperlink w:anchor="h_412" w:history="1">
              <w:r>
                <w:rPr>
                  <w:color w:val="2F75B5"/>
                  <w:u w:val="single"/>
                  <w:sz w:val="14"/>
                </w:rPr>
                <w:t>16. Библиографическая синхронизация v0.2</w:t>
              </w:r>
            </w:hyperlink>
            <w:r>
              <w:rPr>
                <w:rFonts w:ascii="Liberation Serif" w:hAnsi="Liberation Serif" w:cs="Liberation Serif"/>
                <w:b w:val="0"/>
                <w:sz w:val="14"/>
              </w:rPr>
              <w:t xml:space="preserve">; </w:t>
            </w:r>
            <w:hyperlink w:anchor="h_430" w:history="1">
              <w:r>
                <w:rPr>
                  <w:color w:val="2F75B5"/>
                  <w:u w:val="single"/>
                  <w:sz w:val="14"/>
                </w:rPr>
                <w:t>19. Глава 5. Ассоциатор, R⋆R, ядра, центры и инварианты</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Типизированная область применимости.</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EXT-RUN</w:t>
            </w:r>
          </w:p>
        </w:tc>
        <w:tc>
          <w:tcPr>
            <w:tcW w:type="dxa" w:w="4876"/>
            <w:vAlign w:val="center"/>
            <w:tcMar>
              <w:top w:w="80" w:type="dxa"/>
              <w:start w:w="100" w:type="dxa"/>
              <w:bottom w:w="80" w:type="dxa"/>
              <w:end w:w="100" w:type="dxa"/>
            </w:tcMar>
          </w:tcPr>
          <w:p>
            <w:pPr>
              <w:spacing w:before="0" w:after="0" w:line="240" w:lineRule="auto"/>
            </w:pPr>
            <w:hyperlink w:anchor="h_2690" w:history="1">
              <w:r>
                <w:rPr>
                  <w:color w:val="2F75B5"/>
                  <w:u w:val="single"/>
                  <w:sz w:val="14"/>
                </w:rPr>
                <w:t>260. Контрпримеры и разделяющие модели</w:t>
              </w:r>
            </w:hyperlink>
            <w:r>
              <w:rPr>
                <w:rFonts w:ascii="Liberation Serif" w:hAnsi="Liberation Serif" w:cs="Liberation Serif"/>
                <w:b w:val="0"/>
                <w:sz w:val="14"/>
              </w:rPr>
              <w:t xml:space="preserve">; </w:t>
            </w:r>
            <w:hyperlink w:anchor="h_2703" w:history="1">
              <w:r>
                <w:rPr>
                  <w:color w:val="2F75B5"/>
                  <w:u w:val="single"/>
                  <w:sz w:val="14"/>
                </w:rPr>
                <w:t>261. Вычислительный сертификат MOT-REF-SER-DYN v0.17</w:t>
              </w:r>
            </w:hyperlink>
            <w:r>
              <w:rPr>
                <w:rFonts w:ascii="Liberation Serif" w:hAnsi="Liberation Serif" w:cs="Liberation Serif"/>
                <w:b w:val="0"/>
                <w:sz w:val="14"/>
              </w:rPr>
              <w:t xml:space="preserve">; </w:t>
            </w:r>
            <w:hyperlink w:anchor="h_2849" w:history="1">
              <w:r>
                <w:rPr>
                  <w:color w:val="2F75B5"/>
                  <w:u w:val="single"/>
                  <w:sz w:val="14"/>
                </w:rPr>
                <w:t>286. Теорема постоянства временного профиля</w:t>
              </w:r>
            </w:hyperlink>
            <w:r>
              <w:rPr>
                <w:rFonts w:ascii="Liberation Serif" w:hAnsi="Liberation Serif" w:cs="Liberation Serif"/>
                <w:b w:val="0"/>
                <w:sz w:val="14"/>
              </w:rPr>
              <w:t xml:space="preserve">; </w:t>
            </w:r>
            <w:hyperlink w:anchor="h_3051" w:history="1">
              <w:r>
                <w:rPr>
                  <w:color w:val="2F75B5"/>
                  <w:u w:val="single"/>
                  <w:sz w:val="14"/>
                </w:rPr>
                <w:t>321. Главная условная теорема v0.19</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Независимый внешний запуск.</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F-1–F-14</w:t>
            </w:r>
          </w:p>
        </w:tc>
        <w:tc>
          <w:tcPr>
            <w:tcW w:type="dxa" w:w="4876"/>
            <w:vAlign w:val="center"/>
            <w:tcMar>
              <w:top w:w="80" w:type="dxa"/>
              <w:start w:w="100" w:type="dxa"/>
              <w:bottom w:w="80" w:type="dxa"/>
              <w:end w:w="100" w:type="dxa"/>
            </w:tcMar>
          </w:tcPr>
          <w:p>
            <w:pPr>
              <w:spacing w:before="0" w:after="0" w:line="240" w:lineRule="auto"/>
            </w:pPr>
            <w:hyperlink w:anchor="h_264" w:history="1">
              <w:r>
                <w:rPr>
                  <w:color w:val="2F75B5"/>
                  <w:u w:val="single"/>
                  <w:sz w:val="14"/>
                </w:rPr>
                <w:t>Контрольная точка T2-RP-v0.1</w:t>
              </w:r>
            </w:hyperlink>
            <w:r>
              <w:rPr>
                <w:rFonts w:ascii="Liberation Serif" w:hAnsi="Liberation Serif" w:cs="Liberation Serif"/>
                <w:b w:val="0"/>
                <w:sz w:val="14"/>
              </w:rPr>
              <w:t xml:space="preserve">; </w:t>
            </w:r>
            <w:hyperlink w:anchor="h_1303" w:history="1">
              <w:r>
                <w:rPr>
                  <w:color w:val="2F75B5"/>
                  <w:u w:val="single"/>
                  <w:sz w:val="14"/>
                </w:rPr>
                <w:t>81. Вычислительный сертификат DIFF-NAPG v0.8</w:t>
              </w:r>
            </w:hyperlink>
            <w:r>
              <w:rPr>
                <w:rFonts w:ascii="Liberation Serif" w:hAnsi="Liberation Serif" w:cs="Liberation Serif"/>
                <w:b w:val="0"/>
                <w:sz w:val="14"/>
              </w:rPr>
              <w:t xml:space="preserve">; </w:t>
            </w:r>
            <w:hyperlink w:anchor="h_1630" w:history="1">
              <w:r>
                <w:rPr>
                  <w:color w:val="2F75B5"/>
                  <w:u w:val="single"/>
                  <w:sz w:val="14"/>
                </w:rPr>
                <w:t>115. Итог главы и контрольная точка T2-RP-v0.10</w:t>
              </w:r>
            </w:hyperlink>
            <w:r>
              <w:rPr>
                <w:rFonts w:ascii="Liberation Serif" w:hAnsi="Liberation Serif" w:cs="Liberation Serif"/>
                <w:b w:val="0"/>
                <w:sz w:val="14"/>
              </w:rPr>
              <w:t xml:space="preserve">; </w:t>
            </w:r>
            <w:hyperlink w:anchor="h_2734" w:history="1">
              <w:r>
                <w:rPr>
                  <w:color w:val="2F75B5"/>
                  <w:u w:val="single"/>
                  <w:sz w:val="14"/>
                </w:rPr>
                <w:t>Глава 21. Нелинейные эволюционные полугруппы, transfer opera</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Физические гипотезы без повышения статуса.</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Fano barrier</w:t>
            </w:r>
          </w:p>
        </w:tc>
        <w:tc>
          <w:tcPr>
            <w:tcW w:type="dxa" w:w="4876"/>
            <w:vAlign w:val="center"/>
            <w:tcMar>
              <w:top w:w="80" w:type="dxa"/>
              <w:start w:w="100" w:type="dxa"/>
              <w:bottom w:w="80" w:type="dxa"/>
              <w:end w:w="100" w:type="dxa"/>
            </w:tcMar>
          </w:tcPr>
          <w:p>
            <w:pPr>
              <w:spacing w:before="0" w:after="0" w:line="240" w:lineRule="auto"/>
            </w:pPr>
            <w:hyperlink w:anchor="h_208" w:history="1">
              <w:r>
                <w:rPr>
                  <w:color w:val="2F75B5"/>
                  <w:u w:val="single"/>
                  <w:sz w:val="14"/>
                </w:rPr>
                <w:t>Глава 19. Fano barrier и конечные проективные носители</w:t>
              </w:r>
            </w:hyperlink>
            <w:r>
              <w:rPr>
                <w:rFonts w:ascii="Liberation Serif" w:hAnsi="Liberation Serif" w:cs="Liberation Serif"/>
                <w:b w:val="0"/>
                <w:sz w:val="14"/>
              </w:rPr>
              <w:t xml:space="preserve">; </w:t>
            </w:r>
            <w:hyperlink w:anchor="h_1696" w:history="1">
              <w:r>
                <w:rPr>
                  <w:color w:val="2F75B5"/>
                  <w:u w:val="single"/>
                  <w:sz w:val="14"/>
                </w:rPr>
                <w:t>121. Локальные носители и Fano globalization firewall</w:t>
              </w:r>
            </w:hyperlink>
            <w:r>
              <w:rPr>
                <w:rFonts w:ascii="Liberation Serif" w:hAnsi="Liberation Serif" w:cs="Liberation Serif"/>
                <w:b w:val="0"/>
                <w:sz w:val="14"/>
              </w:rPr>
              <w:t xml:space="preserve">; </w:t>
            </w:r>
            <w:hyperlink w:anchor="h_1743" w:history="1">
              <w:r>
                <w:rPr>
                  <w:color w:val="2F75B5"/>
                  <w:u w:val="single"/>
                  <w:sz w:val="14"/>
                </w:rPr>
                <w:t>130. Prior art и граница авторского вклада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Локально-глобальный барьер носителей препятствий.</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Fredholm</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1246" w:history="1">
              <w:r>
                <w:rPr>
                  <w:color w:val="2F75B5"/>
                  <w:u w:val="single"/>
                  <w:sz w:val="14"/>
                </w:rPr>
                <w:t>76. Hodge-слой: кодифференциал и лапласиан без подмены обозн</w:t>
              </w:r>
            </w:hyperlink>
            <w:r>
              <w:rPr>
                <w:rFonts w:ascii="Liberation Serif" w:hAnsi="Liberation Serif" w:cs="Liberation Serif"/>
                <w:b w:val="0"/>
                <w:sz w:val="14"/>
              </w:rPr>
              <w:t xml:space="preserve">; </w:t>
            </w:r>
            <w:hyperlink w:anchor="h_1752" w:history="1">
              <w:r>
                <w:rPr>
                  <w:color w:val="2F75B5"/>
                  <w:u w:val="single"/>
                  <w:sz w:val="14"/>
                </w:rPr>
                <w:t>131. Итог главы и контрольная точка T2-RP-v0.11</w:t>
              </w:r>
            </w:hyperlink>
            <w:r>
              <w:rPr>
                <w:rFonts w:ascii="Liberation Serif" w:hAnsi="Liberation Serif" w:cs="Liberation Serif"/>
                <w:b w:val="0"/>
                <w:sz w:val="14"/>
              </w:rPr>
              <w:t xml:space="preserve">; </w:t>
            </w:r>
            <w:hyperlink w:anchor="h_1804" w:history="1">
              <w:r>
                <w:rPr>
                  <w:color w:val="2F75B5"/>
                  <w:u w:val="single"/>
                  <w:sz w:val="14"/>
                </w:rPr>
                <w:t>135. Эллиптические комплексы и операторы лапласовского типа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Замкнутые образы, индекс, compact resolvent.</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Hodge</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130" w:history="1">
              <w:r>
                <w:rPr>
                  <w:color w:val="2F75B5"/>
                  <w:u w:val="single"/>
                  <w:sz w:val="14"/>
                </w:rPr>
                <w:t>Глава 11. Hodge-слой, δ_Hdg и Δ_Hdg</w:t>
              </w:r>
            </w:hyperlink>
            <w:r>
              <w:rPr>
                <w:rFonts w:ascii="Liberation Serif" w:hAnsi="Liberation Serif" w:cs="Liberation Serif"/>
                <w:b w:val="0"/>
                <w:sz w:val="14"/>
              </w:rPr>
              <w:t xml:space="preserve">; </w:t>
            </w:r>
            <w:hyperlink w:anchor="h_271" w:history="1">
              <w:r>
                <w:rPr>
                  <w:color w:val="2F75B5"/>
                  <w:u w:val="single"/>
                  <w:sz w:val="14"/>
                </w:rPr>
                <w:t>Библиографическая стартовая полка</w:t>
              </w:r>
            </w:hyperlink>
            <w:r>
              <w:rPr>
                <w:rFonts w:ascii="Liberation Serif" w:hAnsi="Liberation Serif" w:cs="Liberation Serif"/>
                <w:b w:val="0"/>
                <w:sz w:val="14"/>
              </w:rPr>
              <w:t xml:space="preserve">; </w:t>
            </w:r>
            <w:hyperlink w:anchor="h_430" w:history="1">
              <w:r>
                <w:rPr>
                  <w:color w:val="2F75B5"/>
                  <w:u w:val="single"/>
                  <w:sz w:val="14"/>
                </w:rPr>
                <w:t>19. Глава 5. Ассоциатор, R⋆R, ядра, центры и инварианты</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Hodge-оператор, разложение и спектральный зазор.</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KLT-RBD</w:t>
            </w:r>
          </w:p>
        </w:tc>
        <w:tc>
          <w:tcPr>
            <w:tcW w:type="dxa" w:w="4876"/>
            <w:vAlign w:val="center"/>
            <w:tcMar>
              <w:top w:w="80" w:type="dxa"/>
              <w:start w:w="100" w:type="dxa"/>
              <w:bottom w:w="80" w:type="dxa"/>
              <w:end w:w="100" w:type="dxa"/>
            </w:tcMar>
          </w:tcPr>
          <w:p>
            <w:pPr>
              <w:spacing w:before="0" w:after="0" w:line="240" w:lineRule="auto"/>
            </w:pPr>
            <w:hyperlink w:anchor="h_271" w:history="1">
              <w:r>
                <w:rPr>
                  <w:color w:val="2F75B5"/>
                  <w:u w:val="single"/>
                  <w:sz w:val="14"/>
                </w:rPr>
                <w:t>Библиографическая стартовая полка</w:t>
              </w:r>
            </w:hyperlink>
            <w:r>
              <w:rPr>
                <w:rFonts w:ascii="Liberation Serif" w:hAnsi="Liberation Serif" w:cs="Liberation Serif"/>
                <w:b w:val="0"/>
                <w:sz w:val="14"/>
              </w:rPr>
              <w:t xml:space="preserve">; </w:t>
            </w:r>
            <w:hyperlink w:anchor="h_412" w:history="1">
              <w:r>
                <w:rPr>
                  <w:color w:val="2F75B5"/>
                  <w:u w:val="single"/>
                  <w:sz w:val="14"/>
                </w:rPr>
                <w:t>16. Библиографическая синхронизация v0.2</w:t>
              </w:r>
            </w:hyperlink>
            <w:r>
              <w:rPr>
                <w:rFonts w:ascii="Liberation Serif" w:hAnsi="Liberation Serif" w:cs="Liberation Serif"/>
                <w:b w:val="0"/>
                <w:sz w:val="14"/>
              </w:rPr>
              <w:t xml:space="preserve">; </w:t>
            </w:r>
            <w:hyperlink w:anchor="h_430" w:history="1">
              <w:r>
                <w:rPr>
                  <w:color w:val="2F75B5"/>
                  <w:u w:val="single"/>
                  <w:sz w:val="14"/>
                </w:rPr>
                <w:t>19. Глава 5. Ассоциатор, R⋆R, ядра, центры и инварианты</w:t>
              </w:r>
            </w:hyperlink>
            <w:r>
              <w:rPr>
                <w:rFonts w:ascii="Liberation Serif" w:hAnsi="Liberation Serif" w:cs="Liberation Serif"/>
                <w:b w:val="0"/>
                <w:sz w:val="14"/>
              </w:rPr>
              <w:t xml:space="preserve">; </w:t>
            </w:r>
            <w:hyperlink w:anchor="h_514" w:history="1">
              <w:r>
                <w:rPr>
                  <w:color w:val="2F75B5"/>
                  <w:u w:val="single"/>
                  <w:sz w:val="14"/>
                </w:rPr>
                <w:t>22. Библиографическая синхронизация v0.3</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Вычислительная и доказательная архитектура.</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Kuranishi</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1944" w:history="1">
              <w:r>
                <w:rPr>
                  <w:color w:val="2F75B5"/>
                  <w:u w:val="single"/>
                  <w:sz w:val="14"/>
                </w:rPr>
                <w:t>149. Глава 16. Деформационные функторы, пространства модулей</w:t>
              </w:r>
            </w:hyperlink>
            <w:r>
              <w:rPr>
                <w:rFonts w:ascii="Liberation Serif" w:hAnsi="Liberation Serif" w:cs="Liberation Serif"/>
                <w:b w:val="0"/>
                <w:sz w:val="14"/>
              </w:rPr>
              <w:t xml:space="preserve">; </w:t>
            </w:r>
            <w:hyperlink w:anchor="h_1991" w:history="1">
              <w:r>
                <w:rPr>
                  <w:color w:val="2F75B5"/>
                  <w:u w:val="single"/>
                  <w:sz w:val="14"/>
                </w:rPr>
                <w:t>157. Hodge-Green contraction data</w:t>
              </w:r>
            </w:hyperlink>
            <w:r>
              <w:rPr>
                <w:rFonts w:ascii="Liberation Serif" w:hAnsi="Liberation Serif" w:cs="Liberation Serif"/>
                <w:b w:val="0"/>
                <w:sz w:val="14"/>
              </w:rPr>
              <w:t xml:space="preserve">; </w:t>
            </w:r>
            <w:hyperlink w:anchor="h_1999" w:history="1">
              <w:r>
                <w:rPr>
                  <w:color w:val="2F75B5"/>
                  <w:u w:val="single"/>
                  <w:sz w:val="14"/>
                </w:rPr>
                <w:t>158. Рекурсия Кураниши</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Локальная модель пространства модулей.</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LDP / large deviations</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3105" w:history="1">
              <w:r>
                <w:rPr>
                  <w:color w:val="2F75B5"/>
                  <w:u w:val="single"/>
                  <w:sz w:val="14"/>
                </w:rPr>
                <w:t>327. Контрольная точка и граница вывода</w:t>
              </w:r>
            </w:hyperlink>
            <w:r>
              <w:rPr>
                <w:rFonts w:ascii="Liberation Serif" w:hAnsi="Liberation Serif" w:cs="Liberation Serif"/>
                <w:b w:val="0"/>
                <w:sz w:val="14"/>
              </w:rPr>
              <w:t xml:space="preserve">; </w:t>
            </w:r>
            <w:hyperlink w:anchor="h_3112" w:history="1">
              <w:r>
                <w:rPr>
                  <w:color w:val="2F75B5"/>
                  <w:u w:val="single"/>
                  <w:sz w:val="14"/>
                </w:rPr>
                <w:t>Глава 23. Large deviations, risk-sensitive semigroups, геоме</w:t>
              </w:r>
            </w:hyperlink>
            <w:r>
              <w:rPr>
                <w:rFonts w:ascii="Liberation Serif" w:hAnsi="Liberation Serif" w:cs="Liberation Serif"/>
                <w:b w:val="0"/>
                <w:sz w:val="14"/>
              </w:rPr>
              <w:t xml:space="preserve">; </w:t>
            </w:r>
            <w:hyperlink w:anchor="h_3341" w:history="1">
              <w:r>
                <w:rPr>
                  <w:color w:val="2F75B5"/>
                  <w:u w:val="single"/>
                  <w:sz w:val="14"/>
                </w:rPr>
                <w:t>369. Prior art и граница авторского вклада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Асимптотика редких событий.</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martingale problem</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2905" w:history="1">
              <w:r>
                <w:rPr>
                  <w:color w:val="2F75B5"/>
                  <w:u w:val="single"/>
                  <w:sz w:val="14"/>
                </w:rPr>
                <w:t>292. Контрольная точка и граница вывода</w:t>
              </w:r>
            </w:hyperlink>
            <w:r>
              <w:rPr>
                <w:rFonts w:ascii="Liberation Serif" w:hAnsi="Liberation Serif" w:cs="Liberation Serif"/>
                <w:b w:val="0"/>
                <w:sz w:val="14"/>
              </w:rPr>
              <w:t xml:space="preserve">; </w:t>
            </w:r>
            <w:hyperlink w:anchor="h_2911" w:history="1">
              <w:r>
                <w:rPr>
                  <w:color w:val="2F75B5"/>
                  <w:u w:val="single"/>
                  <w:sz w:val="14"/>
                </w:rPr>
                <w:t>Глава 22. Стохастические эволюции, martingale problems, stop</w:t>
              </w:r>
            </w:hyperlink>
            <w:r>
              <w:rPr>
                <w:rFonts w:ascii="Liberation Serif" w:hAnsi="Liberation Serif" w:cs="Liberation Serif"/>
                <w:b w:val="0"/>
                <w:sz w:val="14"/>
              </w:rPr>
              <w:t xml:space="preserve">; </w:t>
            </w:r>
            <w:hyperlink w:anchor="h_2927" w:history="1">
              <w:r>
                <w:rPr>
                  <w:color w:val="2F75B5"/>
                  <w:u w:val="single"/>
                  <w:sz w:val="14"/>
                </w:rPr>
                <w:t>296. Резольвента и уравнения Колмогорова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Спецификация закона процесса.</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NAPG</w:t>
            </w:r>
          </w:p>
        </w:tc>
        <w:tc>
          <w:tcPr>
            <w:tcW w:type="dxa" w:w="4876"/>
            <w:vAlign w:val="center"/>
            <w:tcMar>
              <w:top w:w="80" w:type="dxa"/>
              <w:start w:w="100" w:type="dxa"/>
              <w:bottom w:w="80" w:type="dxa"/>
              <w:end w:w="100" w:type="dxa"/>
            </w:tcMar>
          </w:tcPr>
          <w:p>
            <w:pPr>
              <w:spacing w:before="0" w:after="0" w:line="240" w:lineRule="auto"/>
            </w:pPr>
            <w:hyperlink w:anchor="h_66" w:history="1">
              <w:r>
                <w:rPr>
                  <w:color w:val="2F75B5"/>
                  <w:u w:val="single"/>
                  <w:sz w:val="14"/>
                </w:rPr>
                <w:t>Глава 3. Категория NAPG, объекты, морфизмы и области определ</w:t>
              </w:r>
            </w:hyperlink>
            <w:r>
              <w:rPr>
                <w:rFonts w:ascii="Liberation Serif" w:hAnsi="Liberation Serif" w:cs="Liberation Serif"/>
                <w:b w:val="0"/>
                <w:sz w:val="14"/>
              </w:rPr>
              <w:t xml:space="preserve">; </w:t>
            </w:r>
            <w:hyperlink w:anchor="h_152" w:history="1">
              <w:r>
                <w:rPr>
                  <w:color w:val="2F75B5"/>
                  <w:u w:val="single"/>
                  <w:sz w:val="14"/>
                </w:rPr>
                <w:t>Глава 13. Внешний E-слой и отображение Π_E</w:t>
              </w:r>
            </w:hyperlink>
            <w:r>
              <w:rPr>
                <w:rFonts w:ascii="Liberation Serif" w:hAnsi="Liberation Serif" w:cs="Liberation Serif"/>
                <w:b w:val="0"/>
                <w:sz w:val="14"/>
              </w:rPr>
              <w:t xml:space="preserve">; </w:t>
            </w:r>
            <w:hyperlink w:anchor="h_271" w:history="1">
              <w:r>
                <w:rPr>
                  <w:color w:val="2F75B5"/>
                  <w:u w:val="single"/>
                  <w:sz w:val="14"/>
                </w:rPr>
                <w:t>Библиографическая стартовая полка</w:t>
              </w:r>
            </w:hyperlink>
            <w:r>
              <w:rPr>
                <w:rFonts w:ascii="Liberation Serif" w:hAnsi="Liberation Serif" w:cs="Liberation Serif"/>
                <w:b w:val="0"/>
                <w:sz w:val="14"/>
              </w:rPr>
              <w:t xml:space="preserve">; </w:t>
            </w:r>
            <w:hyperlink w:anchor="h_291" w:history="1">
              <w:r>
                <w:rPr>
                  <w:color w:val="2F75B5"/>
                  <w:u w:val="single"/>
                  <w:sz w:val="14"/>
                </w:rPr>
                <w:t>10. Глава 2. Замороженный реестр обозначений</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Неассоциативная пакетная реперная геометрия.</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PILOT-01</w:t>
            </w:r>
          </w:p>
        </w:tc>
        <w:tc>
          <w:tcPr>
            <w:tcW w:type="dxa" w:w="4876"/>
            <w:vAlign w:val="center"/>
            <w:tcMar>
              <w:top w:w="80" w:type="dxa"/>
              <w:start w:w="100" w:type="dxa"/>
              <w:bottom w:w="80" w:type="dxa"/>
              <w:end w:w="100" w:type="dxa"/>
            </w:tcMar>
          </w:tcPr>
          <w:p>
            <w:pPr>
              <w:spacing w:before="0" w:after="0" w:line="240" w:lineRule="auto"/>
            </w:pPr>
            <w:hyperlink w:anchor="h_271" w:history="1">
              <w:r>
                <w:rPr>
                  <w:color w:val="2F75B5"/>
                  <w:u w:val="single"/>
                  <w:sz w:val="14"/>
                </w:rPr>
                <w:t>Библиографическая стартовая полка</w:t>
              </w:r>
            </w:hyperlink>
            <w:r>
              <w:rPr>
                <w:rFonts w:ascii="Liberation Serif" w:hAnsi="Liberation Serif" w:cs="Liberation Serif"/>
                <w:b w:val="0"/>
                <w:sz w:val="14"/>
              </w:rPr>
              <w:t xml:space="preserve">; </w:t>
            </w:r>
            <w:hyperlink w:anchor="h_412" w:history="1">
              <w:r>
                <w:rPr>
                  <w:color w:val="2F75B5"/>
                  <w:u w:val="single"/>
                  <w:sz w:val="14"/>
                </w:rPr>
                <w:t>16. Библиографическая синхронизация v0.2</w:t>
              </w:r>
            </w:hyperlink>
            <w:r>
              <w:rPr>
                <w:rFonts w:ascii="Liberation Serif" w:hAnsi="Liberation Serif" w:cs="Liberation Serif"/>
                <w:b w:val="0"/>
                <w:sz w:val="14"/>
              </w:rPr>
              <w:t xml:space="preserve">; </w:t>
            </w:r>
            <w:hyperlink w:anchor="h_1147" w:history="1">
              <w:r>
                <w:rPr>
                  <w:color w:val="2F75B5"/>
                  <w:u w:val="single"/>
                  <w:sz w:val="14"/>
                </w:rPr>
                <w:t>69. Доказательные обязательства, библиография и контрольная </w:t>
              </w:r>
            </w:hyperlink>
            <w:r>
              <w:rPr>
                <w:rFonts w:ascii="Liberation Serif" w:hAnsi="Liberation Serif" w:cs="Liberation Serif"/>
                <w:b w:val="0"/>
                <w:sz w:val="14"/>
              </w:rPr>
              <w:t xml:space="preserve">; </w:t>
            </w:r>
            <w:hyperlink w:anchor="h_1322" w:history="1">
              <w:r>
                <w:rPr>
                  <w:color w:val="2F75B5"/>
                  <w:u w:val="single"/>
                  <w:sz w:val="14"/>
                </w:rPr>
                <w:t>82. Доказательные обязательства, источники и контрольная точ</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Аудит формульных цепочек.</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PN.2 / ПН.2</w:t>
            </w:r>
          </w:p>
        </w:tc>
        <w:tc>
          <w:tcPr>
            <w:tcW w:type="dxa" w:w="4876"/>
            <w:vAlign w:val="center"/>
            <w:tcMar>
              <w:top w:w="80" w:type="dxa"/>
              <w:start w:w="100" w:type="dxa"/>
              <w:bottom w:w="80" w:type="dxa"/>
              <w:end w:w="100" w:type="dxa"/>
            </w:tcMar>
          </w:tcPr>
          <w:p>
            <w:pPr>
              <w:spacing w:before="0" w:after="0" w:line="240" w:lineRule="auto"/>
            </w:pPr>
            <w:hyperlink w:anchor="h_264" w:history="1">
              <w:r>
                <w:rPr>
                  <w:color w:val="2F75B5"/>
                  <w:u w:val="single"/>
                  <w:sz w:val="14"/>
                </w:rPr>
                <w:t>Контрольная точка T2-RP-v0.1</w:t>
              </w:r>
            </w:hyperlink>
            <w:r>
              <w:rPr>
                <w:rFonts w:ascii="Liberation Serif" w:hAnsi="Liberation Serif" w:cs="Liberation Serif"/>
                <w:b w:val="0"/>
                <w:sz w:val="14"/>
              </w:rPr>
              <w:t xml:space="preserve">; </w:t>
            </w:r>
            <w:hyperlink w:anchor="h_271" w:history="1">
              <w:r>
                <w:rPr>
                  <w:color w:val="2F75B5"/>
                  <w:u w:val="single"/>
                  <w:sz w:val="14"/>
                </w:rPr>
                <w:t>Библиографическая стартовая полка</w:t>
              </w:r>
            </w:hyperlink>
            <w:r>
              <w:rPr>
                <w:rFonts w:ascii="Liberation Serif" w:hAnsi="Liberation Serif" w:cs="Liberation Serif"/>
                <w:b w:val="0"/>
                <w:sz w:val="14"/>
              </w:rPr>
              <w:t xml:space="preserve">; </w:t>
            </w:r>
            <w:hyperlink w:anchor="h_1630" w:history="1">
              <w:r>
                <w:rPr>
                  <w:color w:val="2F75B5"/>
                  <w:u w:val="single"/>
                  <w:sz w:val="14"/>
                </w:rPr>
                <w:t>115. Итог главы и контрольная точка T2-RP-v0.10</w:t>
              </w:r>
            </w:hyperlink>
            <w:r>
              <w:rPr>
                <w:rFonts w:ascii="Liberation Serif" w:hAnsi="Liberation Serif" w:cs="Liberation Serif"/>
                <w:b w:val="0"/>
                <w:sz w:val="14"/>
              </w:rPr>
              <w:t xml:space="preserve">; </w:t>
            </w:r>
            <w:hyperlink w:anchor="h_2734" w:history="1">
              <w:r>
                <w:rPr>
                  <w:color w:val="2F75B5"/>
                  <w:u w:val="single"/>
                  <w:sz w:val="14"/>
                </w:rPr>
                <w:t>Глава 21. Нелинейные эволюционные полугруппы, transfer opera</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Минимаксный принцип в зафиксированной модели.</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Reper</w:t>
            </w:r>
          </w:p>
        </w:tc>
        <w:tc>
          <w:tcPr>
            <w:tcW w:type="dxa" w:w="4876"/>
            <w:vAlign w:val="center"/>
            <w:tcMar>
              <w:top w:w="80" w:type="dxa"/>
              <w:start w:w="100" w:type="dxa"/>
              <w:bottom w:w="80" w:type="dxa"/>
              <w:end w:w="100" w:type="dxa"/>
            </w:tcMar>
          </w:tcPr>
          <w:p>
            <w:pPr>
              <w:spacing w:before="0" w:after="0" w:line="240" w:lineRule="auto"/>
            </w:pPr>
            <w:hyperlink w:anchor="h_291" w:history="1">
              <w:r>
                <w:rPr>
                  <w:color w:val="2F75B5"/>
                  <w:u w:val="single"/>
                  <w:sz w:val="14"/>
                </w:rPr>
                <w:t>10. Глава 2. Замороженный реестр обозначений</w:t>
              </w:r>
            </w:hyperlink>
            <w:r>
              <w:rPr>
                <w:rFonts w:ascii="Liberation Serif" w:hAnsi="Liberation Serif" w:cs="Liberation Serif"/>
                <w:b w:val="0"/>
                <w:sz w:val="14"/>
              </w:rPr>
              <w:t xml:space="preserve">; </w:t>
            </w:r>
            <w:hyperlink w:anchor="h_345" w:history="1">
              <w:r>
                <w:rPr>
                  <w:color w:val="2F75B5"/>
                  <w:u w:val="single"/>
                  <w:sz w:val="14"/>
                </w:rPr>
                <w:t>12. Глава 4. Градуированная пакетная алгебра и строгий селек</w:t>
              </w:r>
            </w:hyperlink>
            <w:r>
              <w:rPr>
                <w:rFonts w:ascii="Liberation Serif" w:hAnsi="Liberation Serif" w:cs="Liberation Serif"/>
                <w:b w:val="0"/>
                <w:sz w:val="14"/>
              </w:rPr>
              <w:t xml:space="preserve">; </w:t>
            </w:r>
            <w:hyperlink w:anchor="h_430" w:history="1">
              <w:r>
                <w:rPr>
                  <w:color w:val="2F75B5"/>
                  <w:u w:val="single"/>
                  <w:sz w:val="14"/>
                </w:rPr>
                <w:t>19. Глава 5. Ассоциатор, R⋆R, ядра, центры и инварианты</w:t>
              </w:r>
            </w:hyperlink>
            <w:r>
              <w:rPr>
                <w:rFonts w:ascii="Liberation Serif" w:hAnsi="Liberation Serif" w:cs="Liberation Serif"/>
                <w:b w:val="0"/>
                <w:sz w:val="14"/>
              </w:rPr>
              <w:t xml:space="preserve">; </w:t>
            </w:r>
            <w:hyperlink w:anchor="h_534" w:history="1">
              <w:r>
                <w:rPr>
                  <w:color w:val="2F75B5"/>
                  <w:u w:val="single"/>
                  <w:sz w:val="14"/>
                </w:rPr>
                <w:t>25. Глава 6. Пакетно-реперная алгебро-геометрическая двойств</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Четвёрка (R,I,U;D) и её морфизмы.</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R⋆R</w:t>
            </w:r>
          </w:p>
        </w:tc>
        <w:tc>
          <w:tcPr>
            <w:tcW w:type="dxa" w:w="4876"/>
            <w:vAlign w:val="center"/>
            <w:tcMar>
              <w:top w:w="80" w:type="dxa"/>
              <w:start w:w="100" w:type="dxa"/>
              <w:bottom w:w="80" w:type="dxa"/>
              <w:end w:w="100" w:type="dxa"/>
            </w:tcMar>
          </w:tcPr>
          <w:p>
            <w:pPr>
              <w:spacing w:before="0" w:after="0" w:line="240" w:lineRule="auto"/>
            </w:pPr>
            <w:hyperlink w:anchor="h_82" w:history="1">
              <w:r>
                <w:rPr>
                  <w:color w:val="2F75B5"/>
                  <w:u w:val="single"/>
                  <w:sz w:val="14"/>
                </w:rPr>
                <w:t>Глава 5. Ассоциатор, R⋆R, ядра, центры и инварианты</w:t>
              </w:r>
            </w:hyperlink>
            <w:r>
              <w:rPr>
                <w:rFonts w:ascii="Liberation Serif" w:hAnsi="Liberation Serif" w:cs="Liberation Serif"/>
                <w:b w:val="0"/>
                <w:sz w:val="14"/>
              </w:rPr>
              <w:t xml:space="preserve">; </w:t>
            </w:r>
            <w:hyperlink w:anchor="h_430" w:history="1">
              <w:r>
                <w:rPr>
                  <w:color w:val="2F75B5"/>
                  <w:u w:val="single"/>
                  <w:sz w:val="14"/>
                </w:rPr>
                <w:t>19. Глава 5. Ассоциатор, R⋆R, ядра, центры и инварианты</w:t>
              </w:r>
            </w:hyperlink>
            <w:r>
              <w:rPr>
                <w:rFonts w:ascii="Liberation Serif" w:hAnsi="Liberation Serif" w:cs="Liberation Serif"/>
                <w:b w:val="0"/>
                <w:sz w:val="14"/>
              </w:rPr>
              <w:t xml:space="preserve">; </w:t>
            </w:r>
            <w:hyperlink w:anchor="h_514" w:history="1">
              <w:r>
                <w:rPr>
                  <w:color w:val="2F75B5"/>
                  <w:u w:val="single"/>
                  <w:sz w:val="14"/>
                </w:rPr>
                <w:t>22. Библиографическая синхронизация v0.3</w:t>
              </w:r>
            </w:hyperlink>
            <w:r>
              <w:rPr>
                <w:rFonts w:ascii="Liberation Serif" w:hAnsi="Liberation Serif" w:cs="Liberation Serif"/>
                <w:b w:val="0"/>
                <w:sz w:val="14"/>
              </w:rPr>
              <w:t xml:space="preserve">; </w:t>
            </w:r>
            <w:hyperlink w:anchor="h_675" w:history="1">
              <w:r>
                <w:rPr>
                  <w:color w:val="2F75B5"/>
                  <w:u w:val="single"/>
                  <w:sz w:val="14"/>
                </w:rPr>
                <w:t>32. Геометрический смысл R-star-R</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Квадратично-чередующийся сертификат ассоциатора.</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wall-crossing</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2098" w:history="1">
              <w:r>
                <w:rPr>
                  <w:color w:val="2F75B5"/>
                  <w:u w:val="single"/>
                  <w:sz w:val="14"/>
                </w:rPr>
                <w:t>173. Prior art, граница авторского вклада и контрольная точк</w:t>
              </w:r>
            </w:hyperlink>
            <w:r>
              <w:rPr>
                <w:rFonts w:ascii="Liberation Serif" w:hAnsi="Liberation Serif" w:cs="Liberation Serif"/>
                <w:b w:val="0"/>
                <w:sz w:val="14"/>
              </w:rPr>
              <w:t xml:space="preserve">; </w:t>
            </w:r>
            <w:hyperlink w:anchor="h_2136" w:history="1">
              <w:r>
                <w:rPr>
                  <w:color w:val="2F75B5"/>
                  <w:u w:val="single"/>
                  <w:sz w:val="14"/>
                </w:rPr>
                <w:t>177. Wall-crossing operator и предел его корректности</w:t>
              </w:r>
            </w:hyperlink>
            <w:r>
              <w:rPr>
                <w:rFonts w:ascii="Liberation Serif" w:hAnsi="Liberation Serif" w:cs="Liberation Serif"/>
                <w:b w:val="0"/>
                <w:sz w:val="14"/>
              </w:rPr>
              <w:t xml:space="preserve">; </w:t>
            </w:r>
            <w:hyperlink w:anchor="h_2172" w:history="1">
              <w:r>
                <w:rPr>
                  <w:color w:val="2F75B5"/>
                  <w:u w:val="single"/>
                  <w:sz w:val="14"/>
                </w:rPr>
                <w:t>183. Wall-crossing и монодромия: path dependence</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Смена камер, ветвей и инвариантов.</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λ-гармоничность</w:t>
            </w:r>
          </w:p>
        </w:tc>
        <w:tc>
          <w:tcPr>
            <w:tcW w:type="dxa" w:w="4876"/>
            <w:vAlign w:val="center"/>
            <w:tcMar>
              <w:top w:w="80" w:type="dxa"/>
              <w:start w:w="100" w:type="dxa"/>
              <w:bottom w:w="80" w:type="dxa"/>
              <w:end w:w="100" w:type="dxa"/>
            </w:tcMar>
          </w:tcPr>
          <w:p>
            <w:pPr>
              <w:spacing w:before="0" w:after="0" w:line="240" w:lineRule="auto"/>
            </w:pPr>
            <w:hyperlink w:anchor="h_739" w:history="1">
              <w:r>
                <w:rPr>
                  <w:color w:val="2F75B5"/>
                  <w:u w:val="single"/>
                  <w:sz w:val="14"/>
                </w:rPr>
                <w:t>36. NAPG-атласы и группоид переходов</w:t>
              </w:r>
            </w:hyperlink>
            <w:r>
              <w:rPr>
                <w:rFonts w:ascii="Liberation Serif" w:hAnsi="Liberation Serif" w:cs="Liberation Serif"/>
                <w:b w:val="0"/>
                <w:sz w:val="14"/>
              </w:rPr>
              <w:t xml:space="preserve">; </w:t>
            </w:r>
            <w:hyperlink w:anchor="h_764" w:history="1">
              <w:r>
                <w:rPr>
                  <w:color w:val="2F75B5"/>
                  <w:u w:val="single"/>
                  <w:sz w:val="14"/>
                </w:rPr>
                <w:t>38. Пакетные, реперные и Hodge-расслоения</w:t>
              </w:r>
            </w:hyperlink>
            <w:r>
              <w:rPr>
                <w:rFonts w:ascii="Liberation Serif" w:hAnsi="Liberation Serif" w:cs="Liberation Serif"/>
                <w:b w:val="0"/>
                <w:sz w:val="14"/>
              </w:rPr>
              <w:t xml:space="preserve">; </w:t>
            </w:r>
            <w:hyperlink w:anchor="h_937" w:history="1">
              <w:r>
                <w:rPr>
                  <w:color w:val="2F75B5"/>
                  <w:u w:val="single"/>
                  <w:sz w:val="14"/>
                </w:rPr>
                <w:t>53. Дифференциал проективно-гармонической координаты</w:t>
              </w:r>
            </w:hyperlink>
            <w:r>
              <w:rPr>
                <w:rFonts w:ascii="Liberation Serif" w:hAnsi="Liberation Serif" w:cs="Liberation Serif"/>
                <w:b w:val="0"/>
                <w:sz w:val="14"/>
              </w:rPr>
              <w:t xml:space="preserve">; </w:t>
            </w:r>
            <w:hyperlink w:anchor="h_955" w:history="1">
              <w:r>
                <w:rPr>
                  <w:color w:val="2F75B5"/>
                  <w:u w:val="single"/>
                  <w:sz w:val="14"/>
                </w:rPr>
                <w:t>55. Вычислительный сертификат tangent/cotangent v0.6</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Проективно-гармонический кандидат.</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аккретивный генератор</w:t>
            </w:r>
          </w:p>
        </w:tc>
        <w:tc>
          <w:tcPr>
            <w:tcW w:type="dxa" w:w="4876"/>
            <w:vAlign w:val="center"/>
            <w:tcMar>
              <w:top w:w="80" w:type="dxa"/>
              <w:start w:w="100" w:type="dxa"/>
              <w:bottom w:w="80" w:type="dxa"/>
              <w:end w:w="100" w:type="dxa"/>
            </w:tcMar>
          </w:tcPr>
          <w:p>
            <w:pPr>
              <w:spacing w:before="0" w:after="0" w:line="240" w:lineRule="auto"/>
            </w:pPr>
            <w:hyperlink w:anchor="h_2750" w:history="1">
              <w:r>
                <w:rPr>
                  <w:color w:val="2F75B5"/>
                  <w:u w:val="single"/>
                  <w:sz w:val="14"/>
                </w:rPr>
                <w:t>267. Аккретивные и m-аккретивные генераторы</w:t>
              </w:r>
            </w:hyperlink>
            <w:r>
              <w:rPr>
                <w:rFonts w:ascii="Liberation Serif" w:hAnsi="Liberation Serif" w:cs="Liberation Serif"/>
                <w:b w:val="0"/>
                <w:sz w:val="14"/>
              </w:rPr>
              <w:t xml:space="preserve">; </w:t>
            </w:r>
            <w:hyperlink w:anchor="h_2832" w:history="1">
              <w:r>
                <w:rPr>
                  <w:color w:val="2F75B5"/>
                  <w:u w:val="single"/>
                  <w:sz w:val="14"/>
                </w:rPr>
                <w:t>283. Устойчивость к возмущениям и ошибка траектории</w:t>
              </w:r>
            </w:hyperlink>
            <w:r>
              <w:rPr>
                <w:rFonts w:ascii="Liberation Serif" w:hAnsi="Liberation Serif" w:cs="Liberation Serif"/>
                <w:b w:val="0"/>
                <w:sz w:val="14"/>
              </w:rPr>
              <w:t xml:space="preserve">; </w:t>
            </w:r>
            <w:hyperlink w:anchor="h_2849" w:history="1">
              <w:r>
                <w:rPr>
                  <w:color w:val="2F75B5"/>
                  <w:u w:val="single"/>
                  <w:sz w:val="14"/>
                </w:rPr>
                <w:t>286. Теорема постоянства временного профиля</w:t>
              </w:r>
            </w:hyperlink>
            <w:r>
              <w:rPr>
                <w:rFonts w:ascii="Liberation Serif" w:hAnsi="Liberation Serif" w:cs="Liberation Serif"/>
                <w:b w:val="0"/>
                <w:sz w:val="14"/>
              </w:rPr>
              <w:t xml:space="preserve">; </w:t>
            </w:r>
            <w:hyperlink w:anchor="h_2894" w:history="1">
              <w:r>
                <w:rPr>
                  <w:color w:val="2F75B5"/>
                  <w:u w:val="single"/>
                  <w:sz w:val="14"/>
                </w:rPr>
                <w:t>291. Prior art и граница авторского вклада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Нелинейные полугруппы.</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ассоциатор</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82" w:history="1">
              <w:r>
                <w:rPr>
                  <w:color w:val="2F75B5"/>
                  <w:u w:val="single"/>
                  <w:sz w:val="14"/>
                </w:rPr>
                <w:t>Глава 5. Ассоциатор, R⋆R, ядра, центры и инварианты</w:t>
              </w:r>
            </w:hyperlink>
            <w:r>
              <w:rPr>
                <w:rFonts w:ascii="Liberation Serif" w:hAnsi="Liberation Serif" w:cs="Liberation Serif"/>
                <w:b w:val="0"/>
                <w:sz w:val="14"/>
              </w:rPr>
              <w:t xml:space="preserve">; </w:t>
            </w:r>
            <w:hyperlink w:anchor="h_114" w:history="1">
              <w:r>
                <w:rPr>
                  <w:color w:val="2F75B5"/>
                  <w:u w:val="single"/>
                  <w:sz w:val="14"/>
                </w:rPr>
                <w:t>Глава 9. Связности, кривизна, голономия и ассоциаторная крив</w:t>
              </w:r>
            </w:hyperlink>
            <w:r>
              <w:rPr>
                <w:rFonts w:ascii="Liberation Serif" w:hAnsi="Liberation Serif" w:cs="Liberation Serif"/>
                <w:b w:val="0"/>
                <w:sz w:val="14"/>
              </w:rPr>
              <w:t xml:space="preserve">; </w:t>
            </w:r>
            <w:hyperlink w:anchor="h_152" w:history="1">
              <w:r>
                <w:rPr>
                  <w:color w:val="2F75B5"/>
                  <w:u w:val="single"/>
                  <w:sz w:val="14"/>
                </w:rPr>
                <w:t>Глава 13. Внешний E-слой и отображение Π_E</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Нарушение ассоциативности и инварианты.</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атлас</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98" w:history="1">
              <w:r>
                <w:rPr>
                  <w:color w:val="2F75B5"/>
                  <w:u w:val="single"/>
                  <w:sz w:val="14"/>
                </w:rPr>
                <w:t>Глава 7. Атласы, расслоения и пакетные многообразия</w:t>
              </w:r>
            </w:hyperlink>
            <w:r>
              <w:rPr>
                <w:rFonts w:ascii="Liberation Serif" w:hAnsi="Liberation Serif" w:cs="Liberation Serif"/>
                <w:b w:val="0"/>
                <w:sz w:val="14"/>
              </w:rPr>
              <w:t xml:space="preserve">; </w:t>
            </w:r>
            <w:hyperlink w:anchor="h_534" w:history="1">
              <w:r>
                <w:rPr>
                  <w:color w:val="2F75B5"/>
                  <w:u w:val="single"/>
                  <w:sz w:val="14"/>
                </w:rPr>
                <w:t>25. Глава 6. Пакетно-реперная алгебро-геометрическая двойств</w:t>
              </w:r>
            </w:hyperlink>
            <w:r>
              <w:rPr>
                <w:rFonts w:ascii="Liberation Serif" w:hAnsi="Liberation Serif" w:cs="Liberation Serif"/>
                <w:b w:val="0"/>
                <w:sz w:val="14"/>
              </w:rPr>
              <w:t xml:space="preserve">; </w:t>
            </w:r>
            <w:hyperlink w:anchor="h_613" w:history="1">
              <w:r>
                <w:rPr>
                  <w:color w:val="2F75B5"/>
                  <w:u w:val="single"/>
                  <w:sz w:val="14"/>
                </w:rPr>
                <w:t>29. Проективно-реперные атласы и глобальная harmonic coordin</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Локальные карты и переходы.</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барьерная функция</w:t>
            </w:r>
          </w:p>
        </w:tc>
        <w:tc>
          <w:tcPr>
            <w:tcW w:type="dxa" w:w="4876"/>
            <w:vAlign w:val="center"/>
            <w:tcMar>
              <w:top w:w="80" w:type="dxa"/>
              <w:start w:w="100" w:type="dxa"/>
              <w:bottom w:w="80" w:type="dxa"/>
              <w:end w:w="100" w:type="dxa"/>
            </w:tcMar>
          </w:tcPr>
          <w:p>
            <w:pPr>
              <w:spacing w:before="0" w:after="0" w:line="240" w:lineRule="auto"/>
            </w:pPr>
            <w:hyperlink w:anchor="h_208" w:history="1">
              <w:r>
                <w:rPr>
                  <w:color w:val="2F75B5"/>
                  <w:u w:val="single"/>
                  <w:sz w:val="14"/>
                </w:rPr>
                <w:t>Глава 19. Fano barrier и конечные проективные носители</w:t>
              </w:r>
            </w:hyperlink>
            <w:r>
              <w:rPr>
                <w:rFonts w:ascii="Liberation Serif" w:hAnsi="Liberation Serif" w:cs="Liberation Serif"/>
                <w:b w:val="0"/>
                <w:sz w:val="14"/>
              </w:rPr>
              <w:t xml:space="preserve">; </w:t>
            </w:r>
            <w:hyperlink w:anchor="h_1696" w:history="1">
              <w:r>
                <w:rPr>
                  <w:color w:val="2F75B5"/>
                  <w:u w:val="single"/>
                  <w:sz w:val="14"/>
                </w:rPr>
                <w:t>121. Локальные носители и Fano globalization firewall</w:t>
              </w:r>
            </w:hyperlink>
            <w:r>
              <w:rPr>
                <w:rFonts w:ascii="Liberation Serif" w:hAnsi="Liberation Serif" w:cs="Liberation Serif"/>
                <w:b w:val="0"/>
                <w:sz w:val="14"/>
              </w:rPr>
              <w:t xml:space="preserve">; </w:t>
            </w:r>
            <w:hyperlink w:anchor="h_1743" w:history="1">
              <w:r>
                <w:rPr>
                  <w:color w:val="2F75B5"/>
                  <w:u w:val="single"/>
                  <w:sz w:val="14"/>
                </w:rPr>
                <w:t>130. Prior art и граница авторского вклада</w:t>
              </w:r>
            </w:hyperlink>
            <w:r>
              <w:rPr>
                <w:rFonts w:ascii="Liberation Serif" w:hAnsi="Liberation Serif" w:cs="Liberation Serif"/>
                <w:b w:val="0"/>
                <w:sz w:val="14"/>
              </w:rPr>
              <w:t xml:space="preserve">; </w:t>
            </w:r>
            <w:hyperlink w:anchor="h_2969" w:history="1">
              <w:r>
                <w:rPr>
                  <w:color w:val="2F75B5"/>
                  <w:u w:val="single"/>
                  <w:sz w:val="14"/>
                </w:rPr>
                <w:t>306. Стохастический барьерный сертификат</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Границы вероятности попадания.</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бюджет ошибок</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3354" w:history="1">
              <w:r>
                <w:rPr>
                  <w:color w:val="2F75B5"/>
                  <w:u w:val="single"/>
                  <w:sz w:val="14"/>
                </w:rPr>
                <w:t>370. Контрольная точка и граница вывода</w:t>
              </w:r>
            </w:hyperlink>
            <w:r>
              <w:rPr>
                <w:rFonts w:ascii="Liberation Serif" w:hAnsi="Liberation Serif" w:cs="Liberation Serif"/>
                <w:b w:val="0"/>
                <w:sz w:val="14"/>
              </w:rPr>
              <w:t xml:space="preserve">; </w:t>
            </w:r>
            <w:hyperlink w:anchor="h_3362" w:history="1">
              <w:r>
                <w:rPr>
                  <w:color w:val="2F75B5"/>
                  <w:u w:val="single"/>
                  <w:sz w:val="14"/>
                </w:rPr>
                <w:t>Глава 24. End-to-end предсказательный оператор KLT-RBD, комп</w:t>
              </w:r>
            </w:hyperlink>
            <w:r>
              <w:rPr>
                <w:rFonts w:ascii="Liberation Serif" w:hAnsi="Liberation Serif" w:cs="Liberation Serif"/>
                <w:b w:val="0"/>
                <w:sz w:val="14"/>
              </w:rPr>
              <w:t xml:space="preserve">; </w:t>
            </w:r>
            <w:hyperlink w:anchor="h_3367" w:history="1">
              <w:r>
                <w:rPr>
                  <w:color w:val="2F75B5"/>
                  <w:u w:val="single"/>
                  <w:sz w:val="14"/>
                </w:rPr>
                <w:t>372. Предсказательный запрос как типизированный объект</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Векторная композиция погрешностей.</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виртуальный класс</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2256" w:history="1">
              <w:r>
                <w:rPr>
                  <w:color w:val="2F75B5"/>
                  <w:u w:val="single"/>
                  <w:sz w:val="14"/>
                </w:rPr>
                <w:t>194. Три уровня глобального пространства модулей</w:t>
              </w:r>
            </w:hyperlink>
            <w:r>
              <w:rPr>
                <w:rFonts w:ascii="Liberation Serif" w:hAnsi="Liberation Serif" w:cs="Liberation Serif"/>
                <w:b w:val="0"/>
                <w:sz w:val="14"/>
              </w:rPr>
              <w:t xml:space="preserve">; </w:t>
            </w:r>
            <w:hyperlink w:anchor="h_2261" w:history="1">
              <w:r>
                <w:rPr>
                  <w:color w:val="2F75B5"/>
                  <w:u w:val="single"/>
                  <w:sz w:val="14"/>
                </w:rPr>
                <w:t>195. Локальные карты Кураниши и footprints</w:t>
              </w:r>
            </w:hyperlink>
            <w:r>
              <w:rPr>
                <w:rFonts w:ascii="Liberation Serif" w:hAnsi="Liberation Serif" w:cs="Liberation Serif"/>
                <w:b w:val="0"/>
                <w:sz w:val="14"/>
              </w:rPr>
              <w:t xml:space="preserve">; </w:t>
            </w:r>
            <w:hyperlink w:anchor="h_2280" w:history="1">
              <w:r>
                <w:rPr>
                  <w:color w:val="2F75B5"/>
                  <w:u w:val="single"/>
                  <w:sz w:val="14"/>
                </w:rPr>
                <w:t>198. Виртуальный касательный комплекс</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Virtual cycles и enumerative layer.</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внешний E-мост</w:t>
            </w:r>
          </w:p>
        </w:tc>
        <w:tc>
          <w:tcPr>
            <w:tcW w:type="dxa" w:w="4876"/>
            <w:vAlign w:val="center"/>
            <w:tcMar>
              <w:top w:w="80" w:type="dxa"/>
              <w:start w:w="100" w:type="dxa"/>
              <w:bottom w:w="80" w:type="dxa"/>
              <w:end w:w="100" w:type="dxa"/>
            </w:tcMar>
          </w:tcPr>
          <w:p>
            <w:pPr>
              <w:spacing w:before="0" w:after="0" w:line="240" w:lineRule="auto"/>
            </w:pPr>
            <w:hyperlink w:anchor="h_152" w:history="1">
              <w:r>
                <w:rPr>
                  <w:color w:val="2F75B5"/>
                  <w:u w:val="single"/>
                  <w:sz w:val="14"/>
                </w:rPr>
                <w:t>Глава 13. Внешний E-слой и отображение Π_E</w:t>
              </w:r>
            </w:hyperlink>
            <w:r>
              <w:rPr>
                <w:rFonts w:ascii="Liberation Serif" w:hAnsi="Liberation Serif" w:cs="Liberation Serif"/>
                <w:b w:val="0"/>
                <w:sz w:val="14"/>
              </w:rPr>
              <w:t xml:space="preserve">; </w:t>
            </w:r>
            <w:hyperlink w:anchor="h_1233" w:history="1">
              <w:r>
                <w:rPr>
                  <w:color w:val="2F75B5"/>
                  <w:u w:val="single"/>
                  <w:sz w:val="14"/>
                </w:rPr>
                <w:t>75. Внутренний и внешний слои: total operator и mixed defect</w:t>
              </w:r>
            </w:hyperlink>
            <w:r>
              <w:rPr>
                <w:rFonts w:ascii="Liberation Serif" w:hAnsi="Liberation Serif" w:cs="Liberation Serif"/>
                <w:b w:val="0"/>
                <w:sz w:val="14"/>
              </w:rPr>
              <w:t xml:space="preserve">; </w:t>
            </w:r>
            <w:hyperlink w:anchor="h_1287" w:history="1">
              <w:r>
                <w:rPr>
                  <w:color w:val="2F75B5"/>
                  <w:u w:val="single"/>
                  <w:sz w:val="14"/>
                </w:rPr>
                <w:t>80. Главная условная теорема v0.8</w:t>
              </w:r>
            </w:hyperlink>
            <w:r>
              <w:rPr>
                <w:rFonts w:ascii="Liberation Serif" w:hAnsi="Liberation Serif" w:cs="Liberation Serif"/>
                <w:b w:val="0"/>
                <w:sz w:val="14"/>
              </w:rPr>
              <w:t xml:space="preserve">; </w:t>
            </w:r>
            <w:hyperlink w:anchor="h_1434" w:history="1">
              <w:r>
                <w:rPr>
                  <w:color w:val="2F75B5"/>
                  <w:u w:val="single"/>
                  <w:sz w:val="14"/>
                </w:rPr>
                <w:t>93. Главная условная теорема предсказательного метода v0.9</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Отображение внутреннего препятствия во внешний комплекс.</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голономия</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114" w:history="1">
              <w:r>
                <w:rPr>
                  <w:color w:val="2F75B5"/>
                  <w:u w:val="single"/>
                  <w:sz w:val="14"/>
                </w:rPr>
                <w:t>Глава 9. Связности, кривизна, голономия и ассоциаторная крив</w:t>
              </w:r>
            </w:hyperlink>
            <w:r>
              <w:rPr>
                <w:rFonts w:ascii="Liberation Serif" w:hAnsi="Liberation Serif" w:cs="Liberation Serif"/>
                <w:b w:val="0"/>
                <w:sz w:val="14"/>
              </w:rPr>
              <w:t xml:space="preserve">; </w:t>
            </w:r>
            <w:hyperlink w:anchor="h_997" w:history="1">
              <w:r>
                <w:rPr>
                  <w:color w:val="2F75B5"/>
                  <w:u w:val="single"/>
                  <w:sz w:val="14"/>
                </w:rPr>
                <w:t>58. Глава 9: связности, кривизна, голономия и ассоциаторная </w:t>
              </w:r>
            </w:hyperlink>
            <w:r>
              <w:rPr>
                <w:rFonts w:ascii="Liberation Serif" w:hAnsi="Liberation Serif" w:cs="Liberation Serif"/>
                <w:b w:val="0"/>
                <w:sz w:val="14"/>
              </w:rPr>
              <w:t xml:space="preserve">; </w:t>
            </w:r>
            <w:hyperlink w:anchor="h_1002" w:history="1">
              <w:r>
                <w:rPr>
                  <w:color w:val="2F75B5"/>
                  <w:u w:val="single"/>
                  <w:sz w:val="14"/>
                </w:rPr>
                <w:t>59. Типизированная NAPG-связность и D-допустимые пути</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Параллельный перенос по замкнутым контурам.</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градуированная алгебра</w:t>
            </w:r>
          </w:p>
        </w:tc>
        <w:tc>
          <w:tcPr>
            <w:tcW w:type="dxa" w:w="4876"/>
            <w:vAlign w:val="center"/>
            <w:tcMar>
              <w:top w:w="80" w:type="dxa"/>
              <w:start w:w="100" w:type="dxa"/>
              <w:bottom w:w="80" w:type="dxa"/>
              <w:end w:w="100" w:type="dxa"/>
            </w:tcMar>
          </w:tcPr>
          <w:p>
            <w:pPr>
              <w:spacing w:before="0" w:after="0" w:line="240" w:lineRule="auto"/>
            </w:pPr>
            <w:hyperlink w:anchor="h_74" w:history="1">
              <w:r>
                <w:rPr>
                  <w:color w:val="2F75B5"/>
                  <w:u w:val="single"/>
                  <w:sz w:val="14"/>
                </w:rPr>
                <w:t>Глава 4. Градуированная алгебра (𝕂, 𝒜•, ⊙, 𝔊)</w:t>
              </w:r>
            </w:hyperlink>
            <w:r>
              <w:rPr>
                <w:rFonts w:ascii="Liberation Serif" w:hAnsi="Liberation Serif" w:cs="Liberation Serif"/>
                <w:b w:val="0"/>
                <w:sz w:val="14"/>
              </w:rPr>
              <w:t xml:space="preserve">; </w:t>
            </w:r>
            <w:hyperlink w:anchor="h_345" w:history="1">
              <w:r>
                <w:rPr>
                  <w:color w:val="2F75B5"/>
                  <w:u w:val="single"/>
                  <w:sz w:val="14"/>
                </w:rPr>
                <w:t>12. Глава 4. Градуированная пакетная алгебра и строгий селек</w:t>
              </w:r>
            </w:hyperlink>
            <w:r>
              <w:rPr>
                <w:rFonts w:ascii="Liberation Serif" w:hAnsi="Liberation Serif" w:cs="Liberation Serif"/>
                <w:b w:val="0"/>
                <w:sz w:val="14"/>
              </w:rPr>
              <w:t xml:space="preserve">; </w:t>
            </w:r>
            <w:hyperlink w:anchor="h_883" w:history="1">
              <w:r>
                <w:rPr>
                  <w:color w:val="2F75B5"/>
                  <w:u w:val="single"/>
                  <w:sz w:val="14"/>
                </w:rPr>
                <w:t>48. Касательный конус и сингулярный сектор</w:t>
              </w:r>
            </w:hyperlink>
            <w:r>
              <w:rPr>
                <w:rFonts w:ascii="Liberation Serif" w:hAnsi="Liberation Serif" w:cs="Liberation Serif"/>
                <w:b w:val="0"/>
                <w:sz w:val="14"/>
              </w:rPr>
              <w:t xml:space="preserve">; </w:t>
            </w:r>
            <w:hyperlink w:anchor="h_1181" w:history="1">
              <w:r>
                <w:rPr>
                  <w:color w:val="2F75B5"/>
                  <w:u w:val="single"/>
                  <w:sz w:val="14"/>
                </w:rPr>
                <w:t>72. Graded Leibniz calculus и дефект дифференцирования</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Алгебраический носитель NAPG.</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граф зависимостей</w:t>
            </w:r>
          </w:p>
        </w:tc>
        <w:tc>
          <w:tcPr>
            <w:tcW w:type="dxa" w:w="4876"/>
            <w:vAlign w:val="center"/>
            <w:tcMar>
              <w:top w:w="80" w:type="dxa"/>
              <w:start w:w="100" w:type="dxa"/>
              <w:bottom w:w="80" w:type="dxa"/>
              <w:end w:w="100" w:type="dxa"/>
            </w:tcMar>
          </w:tcPr>
          <w:p>
            <w:pPr>
              <w:spacing w:before="0" w:after="0" w:line="240" w:lineRule="auto"/>
            </w:pPr>
            <w:hyperlink w:anchor="h_43" w:history="1">
              <w:r>
                <w:rPr>
                  <w:color w:val="2F75B5"/>
                  <w:u w:val="single"/>
                  <w:sz w:val="14"/>
                </w:rPr>
                <w:t>Карта зависимостей</w:t>
              </w:r>
            </w:hyperlink>
            <w:r>
              <w:rPr>
                <w:rFonts w:ascii="Liberation Serif" w:hAnsi="Liberation Serif" w:cs="Liberation Serif"/>
                <w:b w:val="0"/>
                <w:sz w:val="14"/>
              </w:rPr>
              <w:t xml:space="preserve">; </w:t>
            </w:r>
            <w:hyperlink w:anchor="h_227" w:history="1">
              <w:r>
                <w:rPr>
                  <w:color w:val="2F75B5"/>
                  <w:u w:val="single"/>
                  <w:sz w:val="14"/>
                </w:rPr>
                <w:t>Глава 21. Реестр теорем и граф зависимостей</w:t>
              </w:r>
            </w:hyperlink>
            <w:r>
              <w:rPr>
                <w:rFonts w:ascii="Liberation Serif" w:hAnsi="Liberation Serif" w:cs="Liberation Serif"/>
                <w:b w:val="0"/>
                <w:sz w:val="14"/>
              </w:rPr>
              <w:t xml:space="preserve">; </w:t>
            </w:r>
            <w:hyperlink w:anchor="h_3477" w:history="1">
              <w:r>
                <w:rPr>
                  <w:color w:val="2F75B5"/>
                  <w:u w:val="single"/>
                  <w:sz w:val="14"/>
                </w:rPr>
                <w:t>389. Глобальный контракт выпуска</w:t>
              </w:r>
            </w:hyperlink>
            <w:r>
              <w:rPr>
                <w:rFonts w:ascii="Liberation Serif" w:hAnsi="Liberation Serif" w:cs="Liberation Serif"/>
                <w:b w:val="0"/>
                <w:sz w:val="14"/>
              </w:rPr>
              <w:t xml:space="preserve">; </w:t>
            </w:r>
            <w:hyperlink w:anchor="h_3601" w:history="1">
              <w:r>
                <w:rPr>
                  <w:color w:val="2F75B5"/>
                  <w:u w:val="single"/>
                  <w:sz w:val="14"/>
                </w:rPr>
                <w:t>412. Протокол фальсифицируемости</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Область повреждения при фальсификации.</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деформационный функтор</w:t>
            </w:r>
          </w:p>
        </w:tc>
        <w:tc>
          <w:tcPr>
            <w:tcW w:type="dxa" w:w="4876"/>
            <w:vAlign w:val="center"/>
            <w:tcMar>
              <w:top w:w="80" w:type="dxa"/>
              <w:start w:w="100" w:type="dxa"/>
              <w:bottom w:w="80" w:type="dxa"/>
              <w:end w:w="100" w:type="dxa"/>
            </w:tcMar>
          </w:tcPr>
          <w:p>
            <w:pPr>
              <w:spacing w:before="0" w:after="0" w:line="240" w:lineRule="auto"/>
            </w:pPr>
            <w:hyperlink w:anchor="h_566" w:history="1">
              <w:r>
                <w:rPr>
                  <w:color w:val="2F75B5"/>
                  <w:u w:val="single"/>
                  <w:sz w:val="14"/>
                </w:rPr>
                <w:t>27. Условная пара Spec_R / Gamma_R</w:t>
              </w:r>
            </w:hyperlink>
            <w:r>
              <w:rPr>
                <w:rFonts w:ascii="Liberation Serif" w:hAnsi="Liberation Serif" w:cs="Liberation Serif"/>
                <w:b w:val="0"/>
                <w:sz w:val="14"/>
              </w:rPr>
              <w:t xml:space="preserve">; </w:t>
            </w:r>
            <w:hyperlink w:anchor="h_779" w:history="1">
              <w:r>
                <w:rPr>
                  <w:color w:val="2F75B5"/>
                  <w:u w:val="single"/>
                  <w:sz w:val="14"/>
                </w:rPr>
                <w:t>39. Когомологические препятствия глобализации</w:t>
              </w:r>
            </w:hyperlink>
            <w:r>
              <w:rPr>
                <w:rFonts w:ascii="Liberation Serif" w:hAnsi="Liberation Serif" w:cs="Liberation Serif"/>
                <w:b w:val="0"/>
                <w:sz w:val="14"/>
              </w:rPr>
              <w:t xml:space="preserve">; </w:t>
            </w:r>
            <w:hyperlink w:anchor="h_1263" w:history="1">
              <w:r>
                <w:rPr>
                  <w:color w:val="2F75B5"/>
                  <w:u w:val="single"/>
                  <w:sz w:val="14"/>
                </w:rPr>
                <w:t>77. Differential Reper и λ-гармония</w:t>
              </w:r>
            </w:hyperlink>
            <w:r>
              <w:rPr>
                <w:rFonts w:ascii="Liberation Serif" w:hAnsi="Liberation Serif" w:cs="Liberation Serif"/>
                <w:b w:val="0"/>
                <w:sz w:val="14"/>
              </w:rPr>
              <w:t xml:space="preserve">; </w:t>
            </w:r>
            <w:hyperlink w:anchor="h_1946" w:history="1">
              <w:r>
                <w:rPr>
                  <w:color w:val="2F75B5"/>
                  <w:u w:val="single"/>
                  <w:sz w:val="14"/>
                </w:rPr>
                <w:t>150. Категория артиевых баз и деформационный функтор</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Деформации над Artin rings.</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дифференциальные формы</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122" w:history="1">
              <w:r>
                <w:rPr>
                  <w:color w:val="2F75B5"/>
                  <w:u w:val="single"/>
                  <w:sz w:val="14"/>
                </w:rPr>
                <w:t>Глава 10. Дифференциальные формы и типизированные дифференци</w:t>
              </w:r>
            </w:hyperlink>
            <w:r>
              <w:rPr>
                <w:rFonts w:ascii="Liberation Serif" w:hAnsi="Liberation Serif" w:cs="Liberation Serif"/>
                <w:b w:val="0"/>
                <w:sz w:val="14"/>
              </w:rPr>
              <w:t xml:space="preserve">; </w:t>
            </w:r>
            <w:hyperlink w:anchor="h_764" w:history="1">
              <w:r>
                <w:rPr>
                  <w:color w:val="2F75B5"/>
                  <w:u w:val="single"/>
                  <w:sz w:val="14"/>
                </w:rPr>
                <w:t>38. Пакетные, реперные и Hodge-расслоения</w:t>
              </w:r>
            </w:hyperlink>
            <w:r>
              <w:rPr>
                <w:rFonts w:ascii="Liberation Serif" w:hAnsi="Liberation Serif" w:cs="Liberation Serif"/>
                <w:b w:val="0"/>
                <w:sz w:val="14"/>
              </w:rPr>
              <w:t xml:space="preserve">; </w:t>
            </w:r>
            <w:hyperlink w:anchor="h_870" w:history="1">
              <w:r>
                <w:rPr>
                  <w:color w:val="2F75B5"/>
                  <w:u w:val="single"/>
                  <w:sz w:val="14"/>
                </w:rPr>
                <w:t>47. Четыре конструкции касательного объекта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Precomplex, d² и Leibniz firewall.</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доказательное обязательство</w:t>
            </w:r>
          </w:p>
        </w:tc>
        <w:tc>
          <w:tcPr>
            <w:tcW w:type="dxa" w:w="4876"/>
            <w:vAlign w:val="center"/>
            <w:tcMar>
              <w:top w:w="80" w:type="dxa"/>
              <w:start w:w="100" w:type="dxa"/>
              <w:bottom w:w="80" w:type="dxa"/>
              <w:end w:w="100" w:type="dxa"/>
            </w:tcMar>
          </w:tcPr>
          <w:p>
            <w:pPr>
              <w:spacing w:before="0" w:after="0" w:line="240" w:lineRule="auto"/>
            </w:pPr>
            <w:hyperlink w:anchor="h_12" w:history="1">
              <w:r>
                <w:rPr>
                  <w:color w:val="2F75B5"/>
                  <w:u w:val="single"/>
                  <w:sz w:val="14"/>
                </w:rPr>
                <w:t>Паспорт выпуска tom2_v0_22</w:t>
              </w:r>
            </w:hyperlink>
            <w:r>
              <w:rPr>
                <w:rFonts w:ascii="Liberation Serif" w:hAnsi="Liberation Serif" w:cs="Liberation Serif"/>
                <w:b w:val="0"/>
                <w:sz w:val="14"/>
              </w:rPr>
              <w:t xml:space="preserve">; </w:t>
            </w:r>
            <w:hyperlink w:anchor="h_1079" w:history="1">
              <w:r>
                <w:rPr>
                  <w:color w:val="2F75B5"/>
                  <w:u w:val="single"/>
                  <w:sz w:val="14"/>
                </w:rPr>
                <w:t>64. Akivis/Sabinin-мост и его доказательные обязательства</w:t>
              </w:r>
            </w:hyperlink>
            <w:r>
              <w:rPr>
                <w:rFonts w:ascii="Liberation Serif" w:hAnsi="Liberation Serif" w:cs="Liberation Serif"/>
                <w:b w:val="0"/>
                <w:sz w:val="14"/>
              </w:rPr>
              <w:t xml:space="preserve">; </w:t>
            </w:r>
            <w:hyperlink w:anchor="h_1233" w:history="1">
              <w:r>
                <w:rPr>
                  <w:color w:val="2F75B5"/>
                  <w:u w:val="single"/>
                  <w:sz w:val="14"/>
                </w:rPr>
                <w:t>75. Внутренний и внешний слои: total operator и mixed defect</w:t>
              </w:r>
            </w:hyperlink>
            <w:r>
              <w:rPr>
                <w:rFonts w:ascii="Liberation Serif" w:hAnsi="Liberation Serif" w:cs="Liberation Serif"/>
                <w:b w:val="0"/>
                <w:sz w:val="14"/>
              </w:rPr>
              <w:t xml:space="preserve">; </w:t>
            </w:r>
            <w:hyperlink w:anchor="h_1674" w:history="1">
              <w:r>
                <w:rPr>
                  <w:color w:val="2F75B5"/>
                  <w:u w:val="single"/>
                  <w:sz w:val="14"/>
                </w:rPr>
                <w:t>119. Стратификация obstruction carrier</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Реестр условий закрытия.</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инвариантность λ</w:t>
            </w:r>
          </w:p>
        </w:tc>
        <w:tc>
          <w:tcPr>
            <w:tcW w:type="dxa" w:w="4876"/>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см. общий корпус</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Проективная инвариантность cross-ratio.</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каузальность</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2728" w:history="1">
              <w:r>
                <w:rPr>
                  <w:color w:val="2F75B5"/>
                  <w:u w:val="single"/>
                  <w:sz w:val="14"/>
                </w:rPr>
                <w:t>264. Контрольная точка и граница вывода</w:t>
              </w:r>
            </w:hyperlink>
            <w:r>
              <w:rPr>
                <w:rFonts w:ascii="Liberation Serif" w:hAnsi="Liberation Serif" w:cs="Liberation Serif"/>
                <w:b w:val="0"/>
                <w:sz w:val="14"/>
              </w:rPr>
              <w:t xml:space="preserve">; </w:t>
            </w:r>
            <w:hyperlink w:anchor="h_2841" w:history="1">
              <w:r>
                <w:rPr>
                  <w:color w:val="2F75B5"/>
                  <w:u w:val="single"/>
                  <w:sz w:val="14"/>
                </w:rPr>
                <w:t>285. Переходные горизонты главы 21</w:t>
              </w:r>
            </w:hyperlink>
            <w:r>
              <w:rPr>
                <w:rFonts w:ascii="Liberation Serif" w:hAnsi="Liberation Serif" w:cs="Liberation Serif"/>
                <w:b w:val="0"/>
                <w:sz w:val="14"/>
              </w:rPr>
              <w:t xml:space="preserve">; </w:t>
            </w:r>
            <w:hyperlink w:anchor="h_2881" w:history="1">
              <w:r>
                <w:rPr>
                  <w:color w:val="2F75B5"/>
                  <w:u w:val="single"/>
                  <w:sz w:val="14"/>
                </w:rPr>
                <w:t>289. Вычислительный сертификат EVOL-TRANSFER-PATH v0.18</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Отделение прогноза от intervention law.</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когомология</w:t>
            </w:r>
          </w:p>
        </w:tc>
        <w:tc>
          <w:tcPr>
            <w:tcW w:type="dxa" w:w="4876"/>
            <w:vAlign w:val="center"/>
            <w:tcMar>
              <w:top w:w="80" w:type="dxa"/>
              <w:start w:w="100" w:type="dxa"/>
              <w:bottom w:w="80" w:type="dxa"/>
              <w:end w:w="100" w:type="dxa"/>
            </w:tcMar>
          </w:tcPr>
          <w:p>
            <w:pPr>
              <w:spacing w:before="0" w:after="0" w:line="240" w:lineRule="auto"/>
            </w:pPr>
            <w:hyperlink w:anchor="h_176" w:history="1">
              <w:r>
                <w:rPr>
                  <w:color w:val="2F75B5"/>
                  <w:u w:val="single"/>
                  <w:sz w:val="14"/>
                </w:rPr>
                <w:t>Глава 15. Относительные и редуцированные когомологии</w:t>
              </w:r>
            </w:hyperlink>
            <w:r>
              <w:rPr>
                <w:rFonts w:ascii="Liberation Serif" w:hAnsi="Liberation Serif" w:cs="Liberation Serif"/>
                <w:b w:val="0"/>
                <w:sz w:val="14"/>
              </w:rPr>
              <w:t xml:space="preserve">; </w:t>
            </w:r>
            <w:hyperlink w:anchor="h_779" w:history="1">
              <w:r>
                <w:rPr>
                  <w:color w:val="2F75B5"/>
                  <w:u w:val="single"/>
                  <w:sz w:val="14"/>
                </w:rPr>
                <w:t>39. Когомологические препятствия глобализации</w:t>
              </w:r>
            </w:hyperlink>
            <w:r>
              <w:rPr>
                <w:rFonts w:ascii="Liberation Serif" w:hAnsi="Liberation Serif" w:cs="Liberation Serif"/>
                <w:b w:val="0"/>
                <w:sz w:val="14"/>
              </w:rPr>
              <w:t xml:space="preserve">; </w:t>
            </w:r>
            <w:hyperlink w:anchor="h_909" w:history="1">
              <w:r>
                <w:rPr>
                  <w:color w:val="2F75B5"/>
                  <w:u w:val="single"/>
                  <w:sz w:val="14"/>
                </w:rPr>
                <w:t>50. Касательный комплекс и кокасательная двойственность</w:t>
              </w:r>
            </w:hyperlink>
            <w:r>
              <w:rPr>
                <w:rFonts w:ascii="Liberation Serif" w:hAnsi="Liberation Serif" w:cs="Liberation Serif"/>
                <w:b w:val="0"/>
                <w:sz w:val="14"/>
              </w:rPr>
              <w:t xml:space="preserve">; </w:t>
            </w:r>
            <w:hyperlink w:anchor="h_1198" w:history="1">
              <w:r>
                <w:rPr>
                  <w:color w:val="2F75B5"/>
                  <w:u w:val="single"/>
                  <w:sz w:val="14"/>
                </w:rPr>
                <w:t>73. Почему d²=0 не является автоматическим</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H²/H³, obstruction carriers.</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контрпример</w:t>
            </w:r>
          </w:p>
        </w:tc>
        <w:tc>
          <w:tcPr>
            <w:tcW w:type="dxa" w:w="4876"/>
            <w:vAlign w:val="center"/>
            <w:tcMar>
              <w:top w:w="80" w:type="dxa"/>
              <w:start w:w="100" w:type="dxa"/>
              <w:bottom w:w="80" w:type="dxa"/>
              <w:end w:w="100" w:type="dxa"/>
            </w:tcMar>
          </w:tcPr>
          <w:p>
            <w:pPr>
              <w:spacing w:before="0" w:after="0" w:line="240" w:lineRule="auto"/>
            </w:pPr>
            <w:hyperlink w:anchor="h_43" w:history="1">
              <w:r>
                <w:rPr>
                  <w:color w:val="2F75B5"/>
                  <w:u w:val="single"/>
                  <w:sz w:val="14"/>
                </w:rPr>
                <w:t>Карта зависимостей</w:t>
              </w:r>
            </w:hyperlink>
            <w:r>
              <w:rPr>
                <w:rFonts w:ascii="Liberation Serif" w:hAnsi="Liberation Serif" w:cs="Liberation Serif"/>
                <w:b w:val="0"/>
                <w:sz w:val="14"/>
              </w:rPr>
              <w:t xml:space="preserve">; </w:t>
            </w:r>
            <w:hyperlink w:anchor="h_49" w:history="1">
              <w:r>
                <w:rPr>
                  <w:color w:val="2F75B5"/>
                  <w:u w:val="single"/>
                  <w:sz w:val="14"/>
                </w:rPr>
                <w:t>Глава 1. Интерфейс с Томом I и границы предмета</w:t>
              </w:r>
            </w:hyperlink>
            <w:r>
              <w:rPr>
                <w:rFonts w:ascii="Liberation Serif" w:hAnsi="Liberation Serif" w:cs="Liberation Serif"/>
                <w:b w:val="0"/>
                <w:sz w:val="14"/>
              </w:rPr>
              <w:t xml:space="preserve">; </w:t>
            </w:r>
            <w:hyperlink w:anchor="h_57" w:history="1">
              <w:r>
                <w:rPr>
                  <w:color w:val="2F75B5"/>
                  <w:u w:val="single"/>
                  <w:sz w:val="14"/>
                </w:rPr>
                <w:t>Глава 2. Замороженный реестр обозначений</w:t>
              </w:r>
            </w:hyperlink>
            <w:r>
              <w:rPr>
                <w:rFonts w:ascii="Liberation Serif" w:hAnsi="Liberation Serif" w:cs="Liberation Serif"/>
                <w:b w:val="0"/>
                <w:sz w:val="14"/>
              </w:rPr>
              <w:t xml:space="preserve">; </w:t>
            </w:r>
            <w:hyperlink w:anchor="h_66" w:history="1">
              <w:r>
                <w:rPr>
                  <w:color w:val="2F75B5"/>
                  <w:u w:val="single"/>
                  <w:sz w:val="14"/>
                </w:rPr>
                <w:t>Глава 3. Категория NAPG, объекты, морфизмы и области определ</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Отрицательные тесты сильных формулировок.</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кривизна</w:t>
            </w:r>
          </w:p>
        </w:tc>
        <w:tc>
          <w:tcPr>
            <w:tcW w:type="dxa" w:w="4876"/>
            <w:vAlign w:val="center"/>
            <w:tcMar>
              <w:top w:w="80" w:type="dxa"/>
              <w:start w:w="100" w:type="dxa"/>
              <w:bottom w:w="80" w:type="dxa"/>
              <w:end w:w="100" w:type="dxa"/>
            </w:tcMar>
          </w:tcPr>
          <w:p>
            <w:pPr>
              <w:spacing w:before="0" w:after="0" w:line="240" w:lineRule="auto"/>
            </w:pPr>
            <w:hyperlink w:anchor="h_114" w:history="1">
              <w:r>
                <w:rPr>
                  <w:color w:val="2F75B5"/>
                  <w:u w:val="single"/>
                  <w:sz w:val="14"/>
                </w:rPr>
                <w:t>Глава 9. Связности, кривизна, голономия и ассоциаторная крив</w:t>
              </w:r>
            </w:hyperlink>
            <w:r>
              <w:rPr>
                <w:rFonts w:ascii="Liberation Serif" w:hAnsi="Liberation Serif" w:cs="Liberation Serif"/>
                <w:b w:val="0"/>
                <w:sz w:val="14"/>
              </w:rPr>
              <w:t xml:space="preserve">; </w:t>
            </w:r>
            <w:hyperlink w:anchor="h_997" w:history="1">
              <w:r>
                <w:rPr>
                  <w:color w:val="2F75B5"/>
                  <w:u w:val="single"/>
                  <w:sz w:val="14"/>
                </w:rPr>
                <w:t>58. Глава 9: связности, кривизна, голономия и ассоциаторная </w:t>
              </w:r>
            </w:hyperlink>
            <w:r>
              <w:rPr>
                <w:rFonts w:ascii="Liberation Serif" w:hAnsi="Liberation Serif" w:cs="Liberation Serif"/>
                <w:b w:val="0"/>
                <w:sz w:val="14"/>
              </w:rPr>
              <w:t xml:space="preserve">; </w:t>
            </w:r>
            <w:hyperlink w:anchor="h_1017" w:history="1">
              <w:r>
                <w:rPr>
                  <w:color w:val="2F75B5"/>
                  <w:u w:val="single"/>
                  <w:sz w:val="14"/>
                </w:rPr>
                <w:t>60. Кривизна, малые контуры и D-голономия</w:t>
              </w:r>
            </w:hyperlink>
            <w:r>
              <w:rPr>
                <w:rFonts w:ascii="Liberation Serif" w:hAnsi="Liberation Serif" w:cs="Liberation Serif"/>
                <w:b w:val="0"/>
                <w:sz w:val="14"/>
              </w:rPr>
              <w:t xml:space="preserve">; </w:t>
            </w:r>
            <w:hyperlink w:anchor="h_1047" w:history="1">
              <w:r>
                <w:rPr>
                  <w:color w:val="2F75B5"/>
                  <w:u w:val="single"/>
                  <w:sz w:val="14"/>
                </w:rPr>
                <w:t>62. Ковариантная производная и ассоциаторная кривизна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Связность и ассоциаторная кривизна.</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марковская полугруппа</w:t>
            </w:r>
          </w:p>
        </w:tc>
        <w:tc>
          <w:tcPr>
            <w:tcW w:type="dxa" w:w="4876"/>
            <w:vAlign w:val="center"/>
            <w:tcMar>
              <w:top w:w="80" w:type="dxa"/>
              <w:start w:w="100" w:type="dxa"/>
              <w:bottom w:w="80" w:type="dxa"/>
              <w:end w:w="100" w:type="dxa"/>
            </w:tcMar>
          </w:tcPr>
          <w:p>
            <w:pPr>
              <w:spacing w:before="0" w:after="0" w:line="240" w:lineRule="auto"/>
            </w:pPr>
            <w:hyperlink w:anchor="h_2637" w:history="1">
              <w:r>
                <w:rPr>
                  <w:color w:val="2F75B5"/>
                  <w:u w:val="single"/>
                  <w:sz w:val="14"/>
                </w:rPr>
                <w:t>252. Полугруппы, генераторы и transfer operators</w:t>
              </w:r>
            </w:hyperlink>
            <w:r>
              <w:rPr>
                <w:rFonts w:ascii="Liberation Serif" w:hAnsi="Liberation Serif" w:cs="Liberation Serif"/>
                <w:b w:val="0"/>
                <w:sz w:val="14"/>
              </w:rPr>
              <w:t xml:space="preserve">; </w:t>
            </w:r>
            <w:hyperlink w:anchor="h_2690" w:history="1">
              <w:r>
                <w:rPr>
                  <w:color w:val="2F75B5"/>
                  <w:u w:val="single"/>
                  <w:sz w:val="14"/>
                </w:rPr>
                <w:t>260. Контрпримеры и разделяющие модели</w:t>
              </w:r>
            </w:hyperlink>
            <w:r>
              <w:rPr>
                <w:rFonts w:ascii="Liberation Serif" w:hAnsi="Liberation Serif" w:cs="Liberation Serif"/>
                <w:b w:val="0"/>
                <w:sz w:val="14"/>
              </w:rPr>
              <w:t xml:space="preserve">; </w:t>
            </w:r>
            <w:hyperlink w:anchor="h_2775" w:history="1">
              <w:r>
                <w:rPr>
                  <w:color w:val="2F75B5"/>
                  <w:u w:val="single"/>
                  <w:sz w:val="14"/>
                </w:rPr>
                <w:t>271. Markov kernels и Chapman–Kolmogorov</w:t>
              </w:r>
            </w:hyperlink>
            <w:r>
              <w:rPr>
                <w:rFonts w:ascii="Liberation Serif" w:hAnsi="Liberation Serif" w:cs="Liberation Serif"/>
                <w:b w:val="0"/>
                <w:sz w:val="14"/>
              </w:rPr>
              <w:t xml:space="preserve">; </w:t>
            </w:r>
            <w:hyperlink w:anchor="h_2791" w:history="1">
              <w:r>
                <w:rPr>
                  <w:color w:val="2F75B5"/>
                  <w:u w:val="single"/>
                  <w:sz w:val="14"/>
                </w:rPr>
                <w:t>274. Причинные Volterra kernels и память</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Стохастическая эволюция.</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минимальный комплекс</w:t>
            </w:r>
          </w:p>
        </w:tc>
        <w:tc>
          <w:tcPr>
            <w:tcW w:type="dxa" w:w="4876"/>
            <w:vAlign w:val="center"/>
            <w:tcMar>
              <w:top w:w="80" w:type="dxa"/>
              <w:start w:w="100" w:type="dxa"/>
              <w:bottom w:w="80" w:type="dxa"/>
              <w:end w:w="100" w:type="dxa"/>
            </w:tcMar>
          </w:tcPr>
          <w:p>
            <w:pPr>
              <w:spacing w:before="0" w:after="0" w:line="240" w:lineRule="auto"/>
            </w:pPr>
            <w:hyperlink w:anchor="h_138" w:history="1">
              <w:r>
                <w:rPr>
                  <w:color w:val="2F75B5"/>
                  <w:u w:val="single"/>
                  <w:sz w:val="14"/>
                </w:rPr>
                <w:t>Глава 12. Внутренний минимальный комплекс C_min•, δ_min и Θ_</w:t>
              </w:r>
            </w:hyperlink>
            <w:r>
              <w:rPr>
                <w:rFonts w:ascii="Liberation Serif" w:hAnsi="Liberation Serif" w:cs="Liberation Serif"/>
                <w:b w:val="0"/>
                <w:sz w:val="14"/>
              </w:rPr>
              <w:t xml:space="preserve">; </w:t>
            </w:r>
            <w:hyperlink w:anchor="h_1322" w:history="1">
              <w:r>
                <w:rPr>
                  <w:color w:val="2F75B5"/>
                  <w:u w:val="single"/>
                  <w:sz w:val="14"/>
                </w:rPr>
                <w:t>82. Доказательные обязательства, источники и контрольная точ</w:t>
              </w:r>
            </w:hyperlink>
            <w:r>
              <w:rPr>
                <w:rFonts w:ascii="Liberation Serif" w:hAnsi="Liberation Serif" w:cs="Liberation Serif"/>
                <w:b w:val="0"/>
                <w:sz w:val="14"/>
              </w:rPr>
              <w:t xml:space="preserve">; </w:t>
            </w:r>
            <w:hyperlink w:anchor="h_1340" w:history="1">
              <w:r>
                <w:rPr>
                  <w:color w:val="2F75B5"/>
                  <w:u w:val="single"/>
                  <w:sz w:val="14"/>
                </w:rPr>
                <w:t>83. Глава 12. Внутренняя конструкция C_min^•, δ_min и Θ_min</w:t>
              </w:r>
            </w:hyperlink>
            <w:r>
              <w:rPr>
                <w:rFonts w:ascii="Liberation Serif" w:hAnsi="Liberation Serif" w:cs="Liberation Serif"/>
                <w:b w:val="0"/>
                <w:sz w:val="14"/>
              </w:rPr>
              <w:t xml:space="preserve">; </w:t>
            </w:r>
            <w:hyperlink w:anchor="h_1344" w:history="1">
              <w:r>
                <w:rPr>
                  <w:color w:val="2F75B5"/>
                  <w:u w:val="single"/>
                  <w:sz w:val="14"/>
                </w:rPr>
                <w:t>84. Definition Core: квадратичный кадр и минимальный комплек</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Внутренний комплекс препятствий.</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монодромия</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779" w:history="1">
              <w:r>
                <w:rPr>
                  <w:color w:val="2F75B5"/>
                  <w:u w:val="single"/>
                  <w:sz w:val="14"/>
                </w:rPr>
                <w:t>39. Когомологические препятствия глобализации</w:t>
              </w:r>
            </w:hyperlink>
            <w:r>
              <w:rPr>
                <w:rFonts w:ascii="Liberation Serif" w:hAnsi="Liberation Serif" w:cs="Liberation Serif"/>
                <w:b w:val="0"/>
                <w:sz w:val="14"/>
              </w:rPr>
              <w:t xml:space="preserve">; </w:t>
            </w:r>
            <w:hyperlink w:anchor="h_2098" w:history="1">
              <w:r>
                <w:rPr>
                  <w:color w:val="2F75B5"/>
                  <w:u w:val="single"/>
                  <w:sz w:val="14"/>
                </w:rPr>
                <w:t>173. Prior art, граница авторского вклада и контрольная точк</w:t>
              </w:r>
            </w:hyperlink>
            <w:r>
              <w:rPr>
                <w:rFonts w:ascii="Liberation Serif" w:hAnsi="Liberation Serif" w:cs="Liberation Serif"/>
                <w:b w:val="0"/>
                <w:sz w:val="14"/>
              </w:rPr>
              <w:t xml:space="preserve">; </w:t>
            </w:r>
            <w:hyperlink w:anchor="h_2154" w:history="1">
              <w:r>
                <w:rPr>
                  <w:color w:val="2F75B5"/>
                  <w:u w:val="single"/>
                  <w:sz w:val="14"/>
                </w:rPr>
                <w:t>180. Ветви, нормализация и branch ledger</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Перестановка ветвей.</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мотивный инвариант</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2539" w:history="1">
              <w:r>
                <w:rPr>
                  <w:color w:val="2F75B5"/>
                  <w:u w:val="single"/>
                  <w:sz w:val="14"/>
                </w:rPr>
                <w:t>237. Контрольная точка и граница вывода</w:t>
              </w:r>
            </w:hyperlink>
            <w:r>
              <w:rPr>
                <w:rFonts w:ascii="Liberation Serif" w:hAnsi="Liberation Serif" w:cs="Liberation Serif"/>
                <w:b w:val="0"/>
                <w:sz w:val="14"/>
              </w:rPr>
              <w:t xml:space="preserve">; </w:t>
            </w:r>
            <w:hyperlink w:anchor="h_2561" w:history="1">
              <w:r>
                <w:rPr>
                  <w:color w:val="2F75B5"/>
                  <w:u w:val="single"/>
                  <w:sz w:val="14"/>
                </w:rPr>
                <w:t>240. Мотивный носитель и Grothendieck-кольцо разновидностей</w:t>
              </w:r>
            </w:hyperlink>
            <w:r>
              <w:rPr>
                <w:rFonts w:ascii="Liberation Serif" w:hAnsi="Liberation Serif" w:cs="Liberation Serif"/>
                <w:b w:val="0"/>
                <w:sz w:val="14"/>
              </w:rPr>
              <w:t xml:space="preserve">; </w:t>
            </w:r>
            <w:hyperlink w:anchor="h_2581" w:history="1">
              <w:r>
                <w:rPr>
                  <w:color w:val="2F75B5"/>
                  <w:u w:val="single"/>
                  <w:sz w:val="14"/>
                </w:rPr>
                <w:t>243. Motivic vanishing cycles и orientation data</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Refined/motivic carriers.</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непредвосхищение</w:t>
            </w:r>
          </w:p>
        </w:tc>
        <w:tc>
          <w:tcPr>
            <w:tcW w:type="dxa" w:w="4876"/>
            <w:vAlign w:val="center"/>
            <w:tcMar>
              <w:top w:w="80" w:type="dxa"/>
              <w:start w:w="100" w:type="dxa"/>
              <w:bottom w:w="80" w:type="dxa"/>
              <w:end w:w="100" w:type="dxa"/>
            </w:tcMar>
          </w:tcPr>
          <w:p>
            <w:pPr>
              <w:spacing w:before="0" w:after="0" w:line="240" w:lineRule="auto"/>
            </w:pPr>
            <w:hyperlink w:anchor="h_2775" w:history="1">
              <w:r>
                <w:rPr>
                  <w:color w:val="2F75B5"/>
                  <w:u w:val="single"/>
                  <w:sz w:val="14"/>
                </w:rPr>
                <w:t>271. Markov kernels и Chapman–Kolmogorov</w:t>
              </w:r>
            </w:hyperlink>
            <w:r>
              <w:rPr>
                <w:rFonts w:ascii="Liberation Serif" w:hAnsi="Liberation Serif" w:cs="Liberation Serif"/>
                <w:b w:val="0"/>
                <w:sz w:val="14"/>
              </w:rPr>
              <w:t xml:space="preserve">; </w:t>
            </w:r>
            <w:hyperlink w:anchor="h_2791" w:history="1">
              <w:r>
                <w:rPr>
                  <w:color w:val="2F75B5"/>
                  <w:u w:val="single"/>
                  <w:sz w:val="14"/>
                </w:rPr>
                <w:t>274. Причинные Volterra kernels и память</w:t>
              </w:r>
            </w:hyperlink>
            <w:r>
              <w:rPr>
                <w:rFonts w:ascii="Liberation Serif" w:hAnsi="Liberation Serif" w:cs="Liberation Serif"/>
                <w:b w:val="0"/>
                <w:sz w:val="14"/>
              </w:rPr>
              <w:t xml:space="preserve">; </w:t>
            </w:r>
            <w:hyperlink w:anchor="h_2796" w:history="1">
              <w:r>
                <w:rPr>
                  <w:color w:val="2F75B5"/>
                  <w:u w:val="single"/>
                  <w:sz w:val="14"/>
                </w:rPr>
                <w:t>275. Non-anticipation как строгий причинный firewall</w:t>
              </w:r>
            </w:hyperlink>
            <w:r>
              <w:rPr>
                <w:rFonts w:ascii="Liberation Serif" w:hAnsi="Liberation Serif" w:cs="Liberation Serif"/>
                <w:b w:val="0"/>
                <w:sz w:val="14"/>
              </w:rPr>
              <w:t xml:space="preserve">; </w:t>
            </w:r>
            <w:hyperlink w:anchor="h_2837" w:history="1">
              <w:r>
                <w:rPr>
                  <w:color w:val="2F75B5"/>
                  <w:u w:val="single"/>
                  <w:sz w:val="14"/>
                </w:rPr>
                <w:t>284. Динамический и причинный вектор невязок</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Временной causal firewall.</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обструкция</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152" w:history="1">
              <w:r>
                <w:rPr>
                  <w:color w:val="2F75B5"/>
                  <w:u w:val="single"/>
                  <w:sz w:val="14"/>
                </w:rPr>
                <w:t>Глава 13. Внешний E-слой и отображение Π_E</w:t>
              </w:r>
            </w:hyperlink>
            <w:r>
              <w:rPr>
                <w:rFonts w:ascii="Liberation Serif" w:hAnsi="Liberation Serif" w:cs="Liberation Serif"/>
                <w:b w:val="0"/>
                <w:sz w:val="14"/>
              </w:rPr>
              <w:t xml:space="preserve">; </w:t>
            </w:r>
            <w:hyperlink w:anchor="h_168" w:history="1">
              <w:r>
                <w:rPr>
                  <w:color w:val="2F75B5"/>
                  <w:u w:val="single"/>
                  <w:sz w:val="14"/>
                </w:rPr>
                <w:t>Глава 14. Пространства препятствий и проектирование</w:t>
              </w:r>
            </w:hyperlink>
            <w:r>
              <w:rPr>
                <w:rFonts w:ascii="Liberation Serif" w:hAnsi="Liberation Serif" w:cs="Liberation Serif"/>
                <w:b w:val="0"/>
                <w:sz w:val="14"/>
              </w:rPr>
              <w:t xml:space="preserve">; </w:t>
            </w:r>
            <w:hyperlink w:anchor="h_184" w:history="1">
              <w:r>
                <w:rPr>
                  <w:color w:val="2F75B5"/>
                  <w:u w:val="single"/>
                  <w:sz w:val="14"/>
                </w:rPr>
                <w:t>Глава 16. Деформации, модульные пространства и препятствия</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Класс невозможности подъёма.</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однородная координата Λ</w:t>
            </w:r>
          </w:p>
        </w:tc>
        <w:tc>
          <w:tcPr>
            <w:tcW w:type="dxa" w:w="4876"/>
            <w:vAlign w:val="center"/>
            <w:tcMar>
              <w:top w:w="80" w:type="dxa"/>
              <w:start w:w="100" w:type="dxa"/>
              <w:bottom w:w="80" w:type="dxa"/>
              <w:end w:w="100" w:type="dxa"/>
            </w:tcMar>
          </w:tcPr>
          <w:p>
            <w:pPr>
              <w:spacing w:before="0" w:after="0" w:line="240" w:lineRule="auto"/>
            </w:pPr>
            <w:hyperlink w:anchor="h_3393" w:history="1">
              <w:r>
                <w:rPr>
                  <w:color w:val="2F75B5"/>
                  <w:u w:val="single"/>
                  <w:sz w:val="14"/>
                </w:rPr>
                <w:t>374. Однородная Reper-координата без искусственного полюса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Полюс-безопасная проективная координата.</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оператор Куранниши</w:t>
            </w:r>
          </w:p>
        </w:tc>
        <w:tc>
          <w:tcPr>
            <w:tcW w:type="dxa" w:w="4876"/>
            <w:vAlign w:val="center"/>
            <w:tcMar>
              <w:top w:w="80" w:type="dxa"/>
              <w:start w:w="100" w:type="dxa"/>
              <w:bottom w:w="80" w:type="dxa"/>
              <w:end w:w="100" w:type="dxa"/>
            </w:tcMar>
          </w:tcPr>
          <w:p>
            <w:pPr>
              <w:spacing w:before="0" w:after="0" w:line="240" w:lineRule="auto"/>
            </w:pPr>
            <w:hyperlink w:anchor="h_430" w:history="1">
              <w:r>
                <w:rPr>
                  <w:color w:val="2F75B5"/>
                  <w:u w:val="single"/>
                  <w:sz w:val="14"/>
                </w:rPr>
                <w:t>19. Глава 5. Ассоциатор, R⋆R, ядра, центры и инварианты</w:t>
              </w:r>
            </w:hyperlink>
            <w:r>
              <w:rPr>
                <w:rFonts w:ascii="Liberation Serif" w:hAnsi="Liberation Serif" w:cs="Liberation Serif"/>
                <w:b w:val="0"/>
                <w:sz w:val="14"/>
              </w:rPr>
              <w:t xml:space="preserve">; </w:t>
            </w:r>
            <w:hyperlink w:anchor="h_566" w:history="1">
              <w:r>
                <w:rPr>
                  <w:color w:val="2F75B5"/>
                  <w:u w:val="single"/>
                  <w:sz w:val="14"/>
                </w:rPr>
                <w:t>27. Условная пара Spec_R / Gamma_R</w:t>
              </w:r>
            </w:hyperlink>
            <w:r>
              <w:rPr>
                <w:rFonts w:ascii="Liberation Serif" w:hAnsi="Liberation Serif" w:cs="Liberation Serif"/>
                <w:b w:val="0"/>
                <w:sz w:val="14"/>
              </w:rPr>
              <w:t xml:space="preserve">; </w:t>
            </w:r>
            <w:hyperlink w:anchor="h_646" w:history="1">
              <w:r>
                <w:rPr>
                  <w:color w:val="2F75B5"/>
                  <w:u w:val="single"/>
                  <w:sz w:val="14"/>
                </w:rPr>
                <w:t>31. Двойной предсказательный шлюз KLT-RBD</w:t>
              </w:r>
            </w:hyperlink>
            <w:r>
              <w:rPr>
                <w:rFonts w:ascii="Liberation Serif" w:hAnsi="Liberation Serif" w:cs="Liberation Serif"/>
                <w:b w:val="0"/>
                <w:sz w:val="14"/>
              </w:rPr>
              <w:t xml:space="preserve">; </w:t>
            </w:r>
            <w:hyperlink w:anchor="h_691" w:history="1">
              <w:r>
                <w:rPr>
                  <w:color w:val="2F75B5"/>
                  <w:u w:val="single"/>
                  <w:sz w:val="14"/>
                </w:rPr>
                <w:t>33. Вычислительный сертификат v0.4</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Высшие препятствия.</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остановочное время</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2905" w:history="1">
              <w:r>
                <w:rPr>
                  <w:color w:val="2F75B5"/>
                  <w:u w:val="single"/>
                  <w:sz w:val="14"/>
                </w:rPr>
                <w:t>292. Контрольная точка и граница вывода</w:t>
              </w:r>
            </w:hyperlink>
            <w:r>
              <w:rPr>
                <w:rFonts w:ascii="Liberation Serif" w:hAnsi="Liberation Serif" w:cs="Liberation Serif"/>
                <w:b w:val="0"/>
                <w:sz w:val="14"/>
              </w:rPr>
              <w:t xml:space="preserve">; </w:t>
            </w:r>
            <w:hyperlink w:anchor="h_2911" w:history="1">
              <w:r>
                <w:rPr>
                  <w:color w:val="2F75B5"/>
                  <w:u w:val="single"/>
                  <w:sz w:val="14"/>
                </w:rPr>
                <w:t>Глава 22. Стохастические эволюции, martingale problems, stop</w:t>
              </w:r>
            </w:hyperlink>
            <w:r>
              <w:rPr>
                <w:rFonts w:ascii="Liberation Serif" w:hAnsi="Liberation Serif" w:cs="Liberation Serif"/>
                <w:b w:val="0"/>
                <w:sz w:val="14"/>
              </w:rPr>
              <w:t xml:space="preserve">; </w:t>
            </w:r>
            <w:hyperlink w:anchor="h_2914" w:history="1">
              <w:r>
                <w:rPr>
                  <w:color w:val="2F75B5"/>
                  <w:u w:val="single"/>
                  <w:sz w:val="14"/>
                </w:rPr>
                <w:t>293. Стохастический базис и usual conditions</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Optional sampling и sequential tests.</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параллельный перенос</w:t>
            </w:r>
          </w:p>
        </w:tc>
        <w:tc>
          <w:tcPr>
            <w:tcW w:type="dxa" w:w="4876"/>
            <w:vAlign w:val="center"/>
            <w:tcMar>
              <w:top w:w="80" w:type="dxa"/>
              <w:start w:w="100" w:type="dxa"/>
              <w:bottom w:w="80" w:type="dxa"/>
              <w:end w:w="100" w:type="dxa"/>
            </w:tcMar>
          </w:tcPr>
          <w:p>
            <w:pPr>
              <w:spacing w:before="0" w:after="0" w:line="240" w:lineRule="auto"/>
            </w:pPr>
            <w:hyperlink w:anchor="h_1002" w:history="1">
              <w:r>
                <w:rPr>
                  <w:color w:val="2F75B5"/>
                  <w:u w:val="single"/>
                  <w:sz w:val="14"/>
                </w:rPr>
                <w:t>59. Типизированная NAPG-связность и D-допустимые пути</w:t>
              </w:r>
            </w:hyperlink>
            <w:r>
              <w:rPr>
                <w:rFonts w:ascii="Liberation Serif" w:hAnsi="Liberation Serif" w:cs="Liberation Serif"/>
                <w:b w:val="0"/>
                <w:sz w:val="14"/>
              </w:rPr>
              <w:t xml:space="preserve">; </w:t>
            </w:r>
            <w:hyperlink w:anchor="h_1017" w:history="1">
              <w:r>
                <w:rPr>
                  <w:color w:val="2F75B5"/>
                  <w:u w:val="single"/>
                  <w:sz w:val="14"/>
                </w:rPr>
                <w:t>60. Кривизна, малые контуры и D-голономия</w:t>
              </w:r>
            </w:hyperlink>
            <w:r>
              <w:rPr>
                <w:rFonts w:ascii="Liberation Serif" w:hAnsi="Liberation Serif" w:cs="Liberation Serif"/>
                <w:b w:val="0"/>
                <w:sz w:val="14"/>
              </w:rPr>
              <w:t xml:space="preserve">; </w:t>
            </w:r>
            <w:hyperlink w:anchor="h_1031" w:history="1">
              <w:r>
                <w:rPr>
                  <w:color w:val="2F75B5"/>
                  <w:u w:val="single"/>
                  <w:sz w:val="14"/>
                </w:rPr>
                <w:t>61. Совместимость связности с пакетным умножением</w:t>
              </w:r>
            </w:hyperlink>
            <w:r>
              <w:rPr>
                <w:rFonts w:ascii="Liberation Serif" w:hAnsi="Liberation Serif" w:cs="Liberation Serif"/>
                <w:b w:val="0"/>
                <w:sz w:val="14"/>
              </w:rPr>
              <w:t xml:space="preserve">; </w:t>
            </w:r>
            <w:hyperlink w:anchor="h_1047" w:history="1">
              <w:r>
                <w:rPr>
                  <w:color w:val="2F75B5"/>
                  <w:u w:val="single"/>
                  <w:sz w:val="14"/>
                </w:rPr>
                <w:t>62. Ковариантная производная и ассоциаторная кривизна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Transport in NAPG bundles.</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предметный указатель</w:t>
            </w:r>
          </w:p>
        </w:tc>
        <w:tc>
          <w:tcPr>
            <w:tcW w:type="dxa" w:w="4876"/>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см. общий корпус</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Навигационный слой v0.22.</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проективизация</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1635" w:history="1">
              <w:r>
                <w:rPr>
                  <w:color w:val="2F75B5"/>
                  <w:u w:val="single"/>
                  <w:sz w:val="14"/>
                </w:rPr>
                <w:t>116. Глава 14. Пространства препятствий и проективные носите</w:t>
              </w:r>
            </w:hyperlink>
            <w:r>
              <w:rPr>
                <w:rFonts w:ascii="Liberation Serif" w:hAnsi="Liberation Serif" w:cs="Liberation Serif"/>
                <w:b w:val="0"/>
                <w:sz w:val="14"/>
              </w:rPr>
              <w:t xml:space="preserve">; </w:t>
            </w:r>
            <w:hyperlink w:anchor="h_1651" w:history="1">
              <w:r>
                <w:rPr>
                  <w:color w:val="2F75B5"/>
                  <w:u w:val="single"/>
                  <w:sz w:val="14"/>
                </w:rPr>
                <w:t>117. Проективизация пространства препятствий</w:t>
              </w:r>
            </w:hyperlink>
            <w:r>
              <w:rPr>
                <w:rFonts w:ascii="Liberation Serif" w:hAnsi="Liberation Serif" w:cs="Liberation Serif"/>
                <w:b w:val="0"/>
                <w:sz w:val="14"/>
              </w:rPr>
              <w:t xml:space="preserve">; </w:t>
            </w:r>
            <w:hyperlink w:anchor="h_1743" w:history="1">
              <w:r>
                <w:rPr>
                  <w:color w:val="2F75B5"/>
                  <w:u w:val="single"/>
                  <w:sz w:val="14"/>
                </w:rPr>
                <w:t>130. Prior art и граница авторского вклада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Потеря масштаба и нулевого класса.</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производящий ряд</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2539" w:history="1">
              <w:r>
                <w:rPr>
                  <w:color w:val="2F75B5"/>
                  <w:u w:val="single"/>
                  <w:sz w:val="14"/>
                </w:rPr>
                <w:t>237. Контрольная точка и граница вывода</w:t>
              </w:r>
            </w:hyperlink>
            <w:r>
              <w:rPr>
                <w:rFonts w:ascii="Liberation Serif" w:hAnsi="Liberation Serif" w:cs="Liberation Serif"/>
                <w:b w:val="0"/>
                <w:sz w:val="14"/>
              </w:rPr>
              <w:t xml:space="preserve">; </w:t>
            </w:r>
            <w:hyperlink w:anchor="h_2544" w:history="1">
              <w:r>
                <w:rPr>
                  <w:color w:val="2F75B5"/>
                  <w:u w:val="single"/>
                  <w:sz w:val="14"/>
                </w:rPr>
                <w:t>Глава 20. Категорифицированные, мотивные и уточнённые виртуа</w:t>
              </w:r>
            </w:hyperlink>
            <w:r>
              <w:rPr>
                <w:rFonts w:ascii="Liberation Serif" w:hAnsi="Liberation Serif" w:cs="Liberation Serif"/>
                <w:b w:val="0"/>
                <w:sz w:val="14"/>
              </w:rPr>
              <w:t xml:space="preserve">; </w:t>
            </w:r>
            <w:hyperlink w:anchor="h_2601" w:history="1">
              <w:r>
                <w:rPr>
                  <w:color w:val="2F75B5"/>
                  <w:u w:val="single"/>
                  <w:sz w:val="14"/>
                </w:rPr>
                <w:t>247. Производящие ряды как завершённые градуированные объект</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Формальный ряд не является временем.</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пространство модулей</w:t>
            </w:r>
          </w:p>
        </w:tc>
        <w:tc>
          <w:tcPr>
            <w:tcW w:type="dxa" w:w="4876"/>
            <w:vAlign w:val="center"/>
            <w:tcMar>
              <w:top w:w="80" w:type="dxa"/>
              <w:start w:w="100" w:type="dxa"/>
              <w:bottom w:w="80" w:type="dxa"/>
              <w:end w:w="100" w:type="dxa"/>
            </w:tcMar>
          </w:tcPr>
          <w:p>
            <w:pPr>
              <w:spacing w:before="0" w:after="0" w:line="240" w:lineRule="auto"/>
            </w:pPr>
            <w:hyperlink w:anchor="h_184" w:history="1">
              <w:r>
                <w:rPr>
                  <w:color w:val="2F75B5"/>
                  <w:u w:val="single"/>
                  <w:sz w:val="14"/>
                </w:rPr>
                <w:t>Глава 16. Деформации, модульные пространства и препятствия</w:t>
              </w:r>
            </w:hyperlink>
            <w:r>
              <w:rPr>
                <w:rFonts w:ascii="Liberation Serif" w:hAnsi="Liberation Serif" w:cs="Liberation Serif"/>
                <w:b w:val="0"/>
                <w:sz w:val="14"/>
              </w:rPr>
              <w:t xml:space="preserve">; </w:t>
            </w:r>
            <w:hyperlink w:anchor="h_534" w:history="1">
              <w:r>
                <w:rPr>
                  <w:color w:val="2F75B5"/>
                  <w:u w:val="single"/>
                  <w:sz w:val="14"/>
                </w:rPr>
                <w:t>25. Глава 6. Пакетно-реперная алгебро-геометрическая двойств</w:t>
              </w:r>
            </w:hyperlink>
            <w:r>
              <w:rPr>
                <w:rFonts w:ascii="Liberation Serif" w:hAnsi="Liberation Serif" w:cs="Liberation Serif"/>
                <w:b w:val="0"/>
                <w:sz w:val="14"/>
              </w:rPr>
              <w:t xml:space="preserve">; </w:t>
            </w:r>
            <w:hyperlink w:anchor="h_764" w:history="1">
              <w:r>
                <w:rPr>
                  <w:color w:val="2F75B5"/>
                  <w:u w:val="single"/>
                  <w:sz w:val="14"/>
                </w:rPr>
                <w:t>38. Пакетные, реперные и Hodge-расслоения</w:t>
              </w:r>
            </w:hyperlink>
            <w:r>
              <w:rPr>
                <w:rFonts w:ascii="Liberation Serif" w:hAnsi="Liberation Serif" w:cs="Liberation Serif"/>
                <w:b w:val="0"/>
                <w:sz w:val="14"/>
              </w:rPr>
              <w:t xml:space="preserve">; </w:t>
            </w:r>
            <w:hyperlink w:anchor="h_779" w:history="1">
              <w:r>
                <w:rPr>
                  <w:color w:val="2F75B5"/>
                  <w:u w:val="single"/>
                  <w:sz w:val="14"/>
                </w:rPr>
                <w:t>39. Когомологические препятствия глобализации</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Coarse/stacky/derived levels.</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редкое событие</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3105" w:history="1">
              <w:r>
                <w:rPr>
                  <w:color w:val="2F75B5"/>
                  <w:u w:val="single"/>
                  <w:sz w:val="14"/>
                </w:rPr>
                <w:t>327. Контрольная точка и граница вывода</w:t>
              </w:r>
            </w:hyperlink>
            <w:r>
              <w:rPr>
                <w:rFonts w:ascii="Liberation Serif" w:hAnsi="Liberation Serif" w:cs="Liberation Serif"/>
                <w:b w:val="0"/>
                <w:sz w:val="14"/>
              </w:rPr>
              <w:t xml:space="preserve">; </w:t>
            </w:r>
            <w:hyperlink w:anchor="h_3160" w:history="1">
              <w:r>
                <w:rPr>
                  <w:color w:val="2F75B5"/>
                  <w:u w:val="single"/>
                  <w:sz w:val="14"/>
                </w:rPr>
                <w:t>339. Редкособытийная геометрия Reper-path</w:t>
              </w:r>
            </w:hyperlink>
            <w:r>
              <w:rPr>
                <w:rFonts w:ascii="Liberation Serif" w:hAnsi="Liberation Serif" w:cs="Liberation Serif"/>
                <w:b w:val="0"/>
                <w:sz w:val="14"/>
              </w:rPr>
              <w:t xml:space="preserve">; </w:t>
            </w:r>
            <w:hyperlink w:anchor="h_3168" w:history="1">
              <w:r>
                <w:rPr>
                  <w:color w:val="2F75B5"/>
                  <w:u w:val="single"/>
                  <w:sz w:val="14"/>
                </w:rPr>
                <w:t>340. Полюса λ и расширенный contraction firewall</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Risk bounds, action barriers.</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робастное множество</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3105" w:history="1">
              <w:r>
                <w:rPr>
                  <w:color w:val="2F75B5"/>
                  <w:u w:val="single"/>
                  <w:sz w:val="14"/>
                </w:rPr>
                <w:t>327. Контрольная точка и граница вывода</w:t>
              </w:r>
            </w:hyperlink>
            <w:r>
              <w:rPr>
                <w:rFonts w:ascii="Liberation Serif" w:hAnsi="Liberation Serif" w:cs="Liberation Serif"/>
                <w:b w:val="0"/>
                <w:sz w:val="14"/>
              </w:rPr>
              <w:t xml:space="preserve">; </w:t>
            </w:r>
            <w:hyperlink w:anchor="h_3226" w:history="1">
              <w:r>
                <w:rPr>
                  <w:color w:val="2F75B5"/>
                  <w:u w:val="single"/>
                  <w:sz w:val="14"/>
                </w:rPr>
                <w:t>352. Ambiguity sets: робастный слой</w:t>
              </w:r>
            </w:hyperlink>
            <w:r>
              <w:rPr>
                <w:rFonts w:ascii="Liberation Serif" w:hAnsi="Liberation Serif" w:cs="Liberation Serif"/>
                <w:b w:val="0"/>
                <w:sz w:val="14"/>
              </w:rPr>
              <w:t xml:space="preserve">; </w:t>
            </w:r>
            <w:hyperlink w:anchor="h_3230" w:history="1">
              <w:r>
                <w:rPr>
                  <w:color w:val="2F75B5"/>
                  <w:u w:val="single"/>
                  <w:sz w:val="14"/>
                </w:rPr>
                <w:t>353. KL и f-divergence ambiguity</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KL/Wasserstein uncertainty sets.</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связность</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114" w:history="1">
              <w:r>
                <w:rPr>
                  <w:color w:val="2F75B5"/>
                  <w:u w:val="single"/>
                  <w:sz w:val="14"/>
                </w:rPr>
                <w:t>Глава 9. Связности, кривизна, голономия и ассоциаторная крив</w:t>
              </w:r>
            </w:hyperlink>
            <w:r>
              <w:rPr>
                <w:rFonts w:ascii="Liberation Serif" w:hAnsi="Liberation Serif" w:cs="Liberation Serif"/>
                <w:b w:val="0"/>
                <w:sz w:val="14"/>
              </w:rPr>
              <w:t xml:space="preserve">; </w:t>
            </w:r>
            <w:hyperlink w:anchor="h_997" w:history="1">
              <w:r>
                <w:rPr>
                  <w:color w:val="2F75B5"/>
                  <w:u w:val="single"/>
                  <w:sz w:val="14"/>
                </w:rPr>
                <w:t>58. Глава 9: связности, кривизна, голономия и ассоциаторная </w:t>
              </w:r>
            </w:hyperlink>
            <w:r>
              <w:rPr>
                <w:rFonts w:ascii="Liberation Serif" w:hAnsi="Liberation Serif" w:cs="Liberation Serif"/>
                <w:b w:val="0"/>
                <w:sz w:val="14"/>
              </w:rPr>
              <w:t xml:space="preserve">; </w:t>
            </w:r>
            <w:hyperlink w:anchor="h_1002" w:history="1">
              <w:r>
                <w:rPr>
                  <w:color w:val="2F75B5"/>
                  <w:u w:val="single"/>
                  <w:sz w:val="14"/>
                </w:rPr>
                <w:t>59. Типизированная NAPG-связность и D-допустимые пути</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Connection on NAPG bundle.</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стратификация</w:t>
            </w:r>
          </w:p>
        </w:tc>
        <w:tc>
          <w:tcPr>
            <w:tcW w:type="dxa" w:w="4876"/>
            <w:vAlign w:val="center"/>
            <w:tcMar>
              <w:top w:w="80" w:type="dxa"/>
              <w:start w:w="100" w:type="dxa"/>
              <w:bottom w:w="80" w:type="dxa"/>
              <w:end w:w="100" w:type="dxa"/>
            </w:tcMar>
          </w:tcPr>
          <w:p>
            <w:pPr>
              <w:spacing w:before="0" w:after="0" w:line="240" w:lineRule="auto"/>
            </w:pPr>
            <w:hyperlink w:anchor="h_1170" w:history="1">
              <w:r>
                <w:rPr>
                  <w:color w:val="2F75B5"/>
                  <w:u w:val="single"/>
                  <w:sz w:val="14"/>
                </w:rPr>
                <w:t>71. Замороженная нотация и четыре типа операторов</w:t>
              </w:r>
            </w:hyperlink>
            <w:r>
              <w:rPr>
                <w:rFonts w:ascii="Liberation Serif" w:hAnsi="Liberation Serif" w:cs="Liberation Serif"/>
                <w:b w:val="0"/>
                <w:sz w:val="14"/>
              </w:rPr>
              <w:t xml:space="preserve">; </w:t>
            </w:r>
            <w:hyperlink w:anchor="h_1246" w:history="1">
              <w:r>
                <w:rPr>
                  <w:color w:val="2F75B5"/>
                  <w:u w:val="single"/>
                  <w:sz w:val="14"/>
                </w:rPr>
                <w:t>76. Hodge-слой: кодифференциал и лапласиан без подмены обозн</w:t>
              </w:r>
            </w:hyperlink>
            <w:r>
              <w:rPr>
                <w:rFonts w:ascii="Liberation Serif" w:hAnsi="Liberation Serif" w:cs="Liberation Serif"/>
                <w:b w:val="0"/>
                <w:sz w:val="14"/>
              </w:rPr>
              <w:t xml:space="preserve">; </w:t>
            </w:r>
            <w:hyperlink w:anchor="h_1743" w:history="1">
              <w:r>
                <w:rPr>
                  <w:color w:val="2F75B5"/>
                  <w:u w:val="single"/>
                  <w:sz w:val="14"/>
                </w:rPr>
                <w:t>130. Prior art и граница авторского вклада</w:t>
              </w:r>
            </w:hyperlink>
            <w:r>
              <w:rPr>
                <w:rFonts w:ascii="Liberation Serif" w:hAnsi="Liberation Serif" w:cs="Liberation Serif"/>
                <w:b w:val="0"/>
                <w:sz w:val="14"/>
              </w:rPr>
              <w:t xml:space="preserve">; </w:t>
            </w:r>
            <w:hyperlink w:anchor="h_1826" w:history="1">
              <w:r>
                <w:rPr>
                  <w:color w:val="2F75B5"/>
                  <w:u w:val="single"/>
                  <w:sz w:val="14"/>
                </w:rPr>
                <w:t>137. Стратифицированная Hodge-реализация NAPG</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Whitney strata и переходные локусы.</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фальсифицируемость</w:t>
            </w:r>
          </w:p>
        </w:tc>
        <w:tc>
          <w:tcPr>
            <w:tcW w:type="dxa" w:w="4876"/>
            <w:vAlign w:val="center"/>
            <w:tcMar>
              <w:top w:w="80" w:type="dxa"/>
              <w:start w:w="100" w:type="dxa"/>
              <w:bottom w:w="80" w:type="dxa"/>
              <w:end w:w="100" w:type="dxa"/>
            </w:tcMar>
          </w:tcPr>
          <w:p>
            <w:pPr>
              <w:spacing w:before="0" w:after="0" w:line="240" w:lineRule="auto"/>
            </w:pPr>
            <w:hyperlink w:anchor="h_16" w:history="1">
              <w:r>
                <w:rPr>
                  <w:color w:val="2F75B5"/>
                  <w:u w:val="single"/>
                  <w:sz w:val="14"/>
                </w:rPr>
                <w:t>Содержание и маршрут сборки</w:t>
              </w:r>
            </w:hyperlink>
            <w:r>
              <w:rPr>
                <w:rFonts w:ascii="Liberation Serif" w:hAnsi="Liberation Serif" w:cs="Liberation Serif"/>
                <w:b w:val="0"/>
                <w:sz w:val="14"/>
              </w:rPr>
              <w:t xml:space="preserve">; </w:t>
            </w:r>
            <w:hyperlink w:anchor="h_3354" w:history="1">
              <w:r>
                <w:rPr>
                  <w:color w:val="2F75B5"/>
                  <w:u w:val="single"/>
                  <w:sz w:val="14"/>
                </w:rPr>
                <w:t>370. Контрольная точка и граница вывода</w:t>
              </w:r>
            </w:hyperlink>
            <w:r>
              <w:rPr>
                <w:rFonts w:ascii="Liberation Serif" w:hAnsi="Liberation Serif" w:cs="Liberation Serif"/>
                <w:b w:val="0"/>
                <w:sz w:val="14"/>
              </w:rPr>
              <w:t xml:space="preserve">; </w:t>
            </w:r>
            <w:hyperlink w:anchor="h_3362" w:history="1">
              <w:r>
                <w:rPr>
                  <w:color w:val="2F75B5"/>
                  <w:u w:val="single"/>
                  <w:sz w:val="14"/>
                </w:rPr>
                <w:t>Глава 24. End-to-end предсказательный оператор KLT-RBD, комп</w:t>
              </w:r>
            </w:hyperlink>
            <w:r>
              <w:rPr>
                <w:rFonts w:ascii="Liberation Serif" w:hAnsi="Liberation Serif" w:cs="Liberation Serif"/>
                <w:b w:val="0"/>
                <w:sz w:val="14"/>
              </w:rPr>
              <w:t xml:space="preserve">; </w:t>
            </w:r>
            <w:hyperlink w:anchor="h_3591" w:history="1">
              <w:r>
                <w:rPr>
                  <w:color w:val="2F75B5"/>
                  <w:u w:val="single"/>
                  <w:sz w:val="14"/>
                </w:rPr>
                <w:t>408. Контрпример: инфляция вероятностного бюджета</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Негативные интерфейсы утверждений.</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формульный указатель</w:t>
            </w:r>
          </w:p>
        </w:tc>
        <w:tc>
          <w:tcPr>
            <w:tcW w:type="dxa" w:w="4876"/>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см. общий корпус</w:t>
            </w:r>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404 стабильных formula IDs.</w:t>
            </w:r>
          </w:p>
        </w:tc>
      </w:tr>
      <w:tr>
        <w:trPr>
          <w:cantSplit/>
        </w:trPr>
        <w:tc>
          <w:tcPr>
            <w:tcW w:type="dxa" w:w="2268"/>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хеш-цепочка</w:t>
            </w:r>
          </w:p>
        </w:tc>
        <w:tc>
          <w:tcPr>
            <w:tcW w:type="dxa" w:w="4876"/>
            <w:vAlign w:val="center"/>
            <w:tcMar>
              <w:top w:w="80" w:type="dxa"/>
              <w:start w:w="100" w:type="dxa"/>
              <w:bottom w:w="80" w:type="dxa"/>
              <w:end w:w="100" w:type="dxa"/>
            </w:tcMar>
          </w:tcPr>
          <w:p>
            <w:pPr>
              <w:spacing w:before="0" w:after="0" w:line="240" w:lineRule="auto"/>
            </w:pPr>
            <w:hyperlink w:anchor="h_3519" w:history="1">
              <w:r>
                <w:rPr>
                  <w:color w:val="2F75B5"/>
                  <w:u w:val="single"/>
                  <w:sz w:val="14"/>
                </w:rPr>
                <w:t>400. F₁₀-F₁₁: внешняя проверка и release gate</w:t>
              </w:r>
            </w:hyperlink>
          </w:p>
        </w:tc>
        <w:tc>
          <w:tcPr>
            <w:tcW w:type="dxa" w:w="306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4"/>
              </w:rPr>
              <w:t>Байтовая воспроизводимость.</w:t>
            </w:r>
          </w:p>
        </w:tc>
      </w:tr>
    </w:tbl>
    <w:p>
      <w:r>
        <w:br w:type="page"/>
      </w:r>
    </w:p>
    <w:p>
      <w:bookmarkStart w:id="2621" w:name="h_3717"/>
      <w:pPr>
        <w:pStyle w:val="Heading1"/>
      </w:pPr>
      <w:r>
        <w:t>Приложение T2-E. Accessibility и publication-gate checklist</w:t>
      </w:r>
      <w:bookmarkEnd w:id="2621"/>
    </w:p>
    <w:tbl>
      <w:tblPr>
        <w:tblStyle w:val="TableGrid"/>
        <w:tblW w:type="auto" w:w="0"/>
        <w:jc w:val="center"/>
        <w:tblLook w:firstColumn="1" w:firstRow="1" w:lastColumn="0" w:lastRow="0" w:noHBand="0" w:noVBand="1" w:val="04A0"/>
      </w:tblPr>
      <w:tblGrid>
        <w:gridCol w:w="3251"/>
        <w:gridCol w:w="3251"/>
        <w:gridCol w:w="3251"/>
      </w:tblGrid>
      <w:tr>
        <w:trPr>
          <w:tblHeader w:val="true"/>
          <w:cantSplit/>
        </w:trPr>
        <w:tc>
          <w:tcPr>
            <w:tcW w:type="dxa" w:w="1417"/>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6"/>
              </w:rPr>
              <w:t>ID</w:t>
            </w:r>
          </w:p>
        </w:tc>
        <w:tc>
          <w:tcPr>
            <w:tcW w:type="dxa" w:w="6123"/>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6"/>
              </w:rPr>
              <w:t>Проверка</w:t>
            </w:r>
          </w:p>
        </w:tc>
        <w:tc>
          <w:tcPr>
            <w:tcW w:type="dxa" w:w="2721"/>
            <w:vAlign w:val="center"/>
            <w:tcMar>
              <w:top w:w="80" w:type="dxa"/>
              <w:start w:w="100" w:type="dxa"/>
              <w:bottom w:w="80" w:type="dxa"/>
              <w:end w:w="100" w:type="dxa"/>
            </w:tcMar>
            <w:shd w:fill="1F4E78"/>
          </w:tcPr>
          <w:p>
            <w:pPr>
              <w:spacing w:before="0" w:after="0" w:line="240" w:lineRule="auto"/>
            </w:pPr>
            <w:r>
              <w:rPr>
                <w:rFonts w:ascii="Liberation Sans" w:hAnsi="Liberation Sans" w:cs="Liberation Sans"/>
                <w:b/>
                <w:color w:val="FFFFFF"/>
                <w:sz w:val="16"/>
              </w:rPr>
              <w:t>Вердикт</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A11Y-01</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Все изображения имеют непустой alt text</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 after OOXML remediation</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A11Y-02</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Все таблицы имеют header row</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 after OOXML remediation</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A11Y-03</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Основной язык документа ru-RU</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A11Y-04</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Заголовки Heading 1/2 формируют outline</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PASS/verify in PDF</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NAV-01</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Typed theorem IDs уникальны</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NAV-02</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Formula IDs уникальны</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NAV-03</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PO range непрерывен</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NAV-04</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Внутренние anchors разрешимы</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PASS/verify after save</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PDF-01</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Текст извлекается без OCR</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VERIFY AFTER EXPORT</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PDF-02</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Количество страниц и outline проверены</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VERIFY AFTER EXPORT</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PUB-01</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OPEN/COND сохранены</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PUB-02</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EXT-RUN не заявлен исполненным</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PUB-03</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Юридический смысл регистрации не расширен</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PUB-04</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Авторство Курпишева И.Б. сохранено</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FRZ-01</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v0.21 сохранён как rollback point</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w:t>
            </w:r>
          </w:p>
        </w:tc>
      </w:tr>
      <w:tr>
        <w:trPr>
          <w:cantSplit/>
        </w:trPr>
        <w:tc>
          <w:tcPr>
            <w:tcW w:type="dxa" w:w="1417"/>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FRZ-02</w:t>
            </w:r>
          </w:p>
        </w:tc>
        <w:tc>
          <w:tcPr>
            <w:tcW w:type="dxa" w:w="6123"/>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Freeze допускается только с blocker ledger</w:t>
            </w:r>
          </w:p>
        </w:tc>
        <w:tc>
          <w:tcPr>
            <w:tcW w:type="dxa" w:w="2721"/>
            <w:vAlign w:val="center"/>
            <w:tcMar>
              <w:top w:w="80" w:type="dxa"/>
              <w:start w:w="100" w:type="dxa"/>
              <w:bottom w:w="80" w:type="dxa"/>
              <w:end w:w="100" w:type="dxa"/>
            </w:tcMar>
          </w:tcPr>
          <w:p>
            <w:pPr>
              <w:spacing w:before="0" w:after="0" w:line="240" w:lineRule="auto"/>
            </w:pPr>
            <w:r>
              <w:rPr>
                <w:rFonts w:ascii="Liberation Serif" w:hAnsi="Liberation Serif" w:cs="Liberation Serif"/>
                <w:b w:val="0"/>
                <w:sz w:val="16"/>
              </w:rPr>
              <w:t>PASS</w:t>
            </w:r>
          </w:p>
        </w:tc>
      </w:tr>
    </w:tbl>
    <w:p>
      <w:bookmarkStart w:id="2622" w:name="h_3718"/>
      <w:pPr>
        <w:pStyle w:val="Heading1"/>
      </w:pPr>
      <w:r>
        <w:t>Финальная запись T2-RP-v0.22</w:t>
      </w:r>
      <w:bookmarkEnd w:id="2622"/>
    </w:p>
    <w:p>
      <w:pPr>
        <w:pStyle w:val="Quote"/>
      </w:pPr>
      <w:r>
        <w:t>checkpoint=T2-RP-v0.22; source=T2-RP-v0.21; canonical_zero=Tom I v197 RU; theorem_registry=typed; formula_registry=404; PO_registry=001-500; accessibility=remediated; editorial_freeze=ready; mathematical_gate=conditional; empirical_gate=not_passed; truth_layer_promotion=0.</w:t>
      </w:r>
    </w:p>
    <w:sectPr w:rsidR="00FC693F" w:rsidRPr="0006063C" w:rsidSect="00034616">
      <w:headerReference w:type="default" r:id="rId64"/>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val="0"/>
      </w:rPr>
      <w:t>БАЗОВЫЙ ПРОЕКТ KLT-RBD · ТОМ II · NAPG 3.0 · v0.22</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val="0"/>
      </w:rPr>
      <w:t>БАЗОВЫЙ ПРОЕКТ KLT-RBD · ТОМ II · NAPG 3.0 · v0.22</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val="0"/>
      </w:rPr>
      <w:t>БАЗОВЫЙ ПРОЕКТ KLT-RBD · ТОМ II · NAPG 3.0 · v0.22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ru-RU"/>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lang w:val="ru-RU" w:eastAsia="ru-RU" w:bidi="ru-RU"/>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image" Target="media/image34.png"/><Relationship Id="rId62" Type="http://schemas.openxmlformats.org/officeDocument/2006/relationships/image" Target="media/image35.png"/><Relationship Id="rId63" Type="http://schemas.openxmlformats.org/officeDocument/2006/relationships/header" Target="header4.xml"/><Relationship Id="rId64" Type="http://schemas.openxmlformats.org/officeDocument/2006/relationships/header" Target="header5.xml"/><Relationship Id="rId65" Type="http://schemas.openxmlformats.org/officeDocument/2006/relationships/image" Target="media/image36.png"/><Relationship Id="rId66" Type="http://schemas.openxmlformats.org/officeDocument/2006/relationships/image" Target="media/image37.png"/><Relationship Id="rId67" Type="http://schemas.openxmlformats.org/officeDocument/2006/relationships/image" Target="media/image38.png"/><Relationship Id="rId68" Type="http://schemas.openxmlformats.org/officeDocument/2006/relationships/image" Target="media/image39.png"/><Relationship Id="rId69" Type="http://schemas.openxmlformats.org/officeDocument/2006/relationships/image" Target="media/image40.png"/><Relationship Id="rId70" Type="http://schemas.openxmlformats.org/officeDocument/2006/relationships/image" Target="media/image41.png"/><Relationship Id="rId71" Type="http://schemas.openxmlformats.org/officeDocument/2006/relationships/image" Target="media/image42.png"/><Relationship Id="rId72" Type="http://schemas.openxmlformats.org/officeDocument/2006/relationships/image" Target="media/image43.png"/><Relationship Id="rId73" Type="http://schemas.openxmlformats.org/officeDocument/2006/relationships/image" Target="media/image44.png"/><Relationship Id="rId74" Type="http://schemas.openxmlformats.org/officeDocument/2006/relationships/image" Target="media/image45.png"/><Relationship Id="rId75" Type="http://schemas.openxmlformats.org/officeDocument/2006/relationships/image" Target="media/image46.png"/><Relationship Id="rId76" Type="http://schemas.openxmlformats.org/officeDocument/2006/relationships/image" Target="media/image47.png"/><Relationship Id="rId77" Type="http://schemas.openxmlformats.org/officeDocument/2006/relationships/hyperlink" Target="https://arxiv.org/abs/alg-geom/9601010" TargetMode="External"/><Relationship Id="rId78" Type="http://schemas.openxmlformats.org/officeDocument/2006/relationships/hyperlink" Target="https://arxiv.org/abs/math/0404373" TargetMode="External"/><Relationship Id="rId79" Type="http://schemas.openxmlformats.org/officeDocument/2006/relationships/hyperlink" Target="https://arxiv.org/abs/0810.5174" TargetMode="External"/><Relationship Id="rId80" Type="http://schemas.openxmlformats.org/officeDocument/2006/relationships/hyperlink" Target="https://arxiv.org/abs/1409.6908" TargetMode="External"/><Relationship Id="rId81" Type="http://schemas.openxmlformats.org/officeDocument/2006/relationships/hyperlink" Target="https://arxiv.org/abs/1510.07444" TargetMode="External"/><Relationship Id="rId82" Type="http://schemas.openxmlformats.org/officeDocument/2006/relationships/hyperlink" Target="https://arxiv.org/abs/1508.01556" TargetMode="External"/><Relationship Id="rId83" Type="http://schemas.openxmlformats.org/officeDocument/2006/relationships/hyperlink" Target="https://link.springer.com/book/10.1007/BFb0059052" TargetMode="External"/><Relationship Id="rId84" Type="http://schemas.openxmlformats.org/officeDocument/2006/relationships/hyperlink" Target="https://stacks.math.columbia.edu/" TargetMode="External"/><Relationship Id="rId85" Type="http://schemas.openxmlformats.org/officeDocument/2006/relationships/hyperlink" Target="https://kurpishev.com/" TargetMode="External"/><Relationship Id="rId86" Type="http://schemas.openxmlformats.org/officeDocument/2006/relationships/image" Target="media/image48.png"/><Relationship Id="rId87" Type="http://schemas.openxmlformats.org/officeDocument/2006/relationships/image" Target="media/image49.png"/><Relationship Id="rId88" Type="http://schemas.openxmlformats.org/officeDocument/2006/relationships/image" Target="media/image50.png"/><Relationship Id="rId89" Type="http://schemas.openxmlformats.org/officeDocument/2006/relationships/image" Target="media/image51.png"/><Relationship Id="rId90" Type="http://schemas.openxmlformats.org/officeDocument/2006/relationships/image" Target="media/image52.png"/><Relationship Id="rId91" Type="http://schemas.openxmlformats.org/officeDocument/2006/relationships/image" Target="media/image53.png"/><Relationship Id="rId92" Type="http://schemas.openxmlformats.org/officeDocument/2006/relationships/image" Target="media/image54.png"/><Relationship Id="rId93" Type="http://schemas.openxmlformats.org/officeDocument/2006/relationships/image" Target="media/image55.png"/><Relationship Id="rId94" Type="http://schemas.openxmlformats.org/officeDocument/2006/relationships/image" Target="media/image56.png"/><Relationship Id="rId95" Type="http://schemas.openxmlformats.org/officeDocument/2006/relationships/image" Target="media/image57.png"/><Relationship Id="rId96" Type="http://schemas.openxmlformats.org/officeDocument/2006/relationships/image" Target="media/image58.png"/><Relationship Id="rId97" Type="http://schemas.openxmlformats.org/officeDocument/2006/relationships/image" Target="media/image59.png"/><Relationship Id="rId98" Type="http://schemas.openxmlformats.org/officeDocument/2006/relationships/image" Target="media/image60.png"/><Relationship Id="rId99" Type="http://schemas.openxmlformats.org/officeDocument/2006/relationships/image" Target="media/image61.png"/><Relationship Id="rId100" Type="http://schemas.openxmlformats.org/officeDocument/2006/relationships/image" Target="media/image62.png"/><Relationship Id="rId101" Type="http://schemas.openxmlformats.org/officeDocument/2006/relationships/image" Target="media/image63.png"/><Relationship Id="rId102" Type="http://schemas.openxmlformats.org/officeDocument/2006/relationships/image" Target="media/image64.png"/><Relationship Id="rId103" Type="http://schemas.openxmlformats.org/officeDocument/2006/relationships/image" Target="media/image65.png"/><Relationship Id="rId104" Type="http://schemas.openxmlformats.org/officeDocument/2006/relationships/image" Target="media/image66.png"/><Relationship Id="rId105" Type="http://schemas.openxmlformats.org/officeDocument/2006/relationships/image" Target="media/image6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v0.22</dc:title>
  <dc:subject>Интегральный proof audit, реестры, индексы, accessibility и publication gate</dc:subject>
  <dc:creator>Курпишев Иван Борисович</dc:creator>
  <cp:keywords>KLT-RBD; NAPG 3.0; Reper; proof audit; theorem registry; proof obligations; accessibility; publication gate</cp:keywords>
  <dc:description>truth_layer_promotion=0; T2-RP-v0.22; canonical zero point: Tom I v197 RU.</dc:description>
  <cp:lastModifiedBy>OpenAI editorial build for Иван Борисович Курпишев</cp:lastModifiedBy>
  <cp:revision>1</cp:revision>
  <dcterms:created xsi:type="dcterms:W3CDTF">2013-12-23T23:15:00Z</dcterms:created>
  <dcterms:modified xsi:type="dcterms:W3CDTF">2026-07-24T14:37:03Z</dcterms:modified>
  <cp:category/>
</cp:coreProperties>
</file>